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ttec-20260331x10q.htm"/>
        <w:bookmarkStart w:id="1" w:name="ksttec20260331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lineRule="auto" w:line="285" w:before="0" w:after="0"/>
        <w:ind w:left="0" w:right="0" w:hanging="0"/>
        <w:jc w:val="center"/>
        <w:rPr>
          <w:bdr w:val="single" w:sz="24" w:space="1" w:color="000000"/>
        </w:rPr>
      </w:pPr>
      <w:r>
        <w:rPr>
          <w:bdr w:val="single" w:sz="24" w:space="1" w:color="000000"/>
        </w:rPr>
        <w:t>​</w:t>
      </w:r>
    </w:p>
    <w:p>
      <w:pPr>
        <w:pStyle w:val="TextBody"/>
        <w:bidi w:val="0"/>
        <w:spacing w:lineRule="auto" w:line="285" w:before="0" w:after="0"/>
        <w:ind w:left="0" w:right="0" w:hanging="0"/>
        <w:jc w:val="center"/>
        <w:rPr>
          <w:rFonts w:ascii="Arial;Helvetica;sans-serif" w:hAnsi="Arial;Helvetica;sans-serif"/>
          <w:b/>
          <w:sz w:val="20"/>
        </w:rPr>
      </w:pPr>
      <w:bookmarkStart w:id="2" w:name="_7c8d3264_a318_4ae6_aa54_476941c14013"/>
      <w:bookmarkEnd w:id="2"/>
      <w:r>
        <w:rPr>
          <w:rFonts w:ascii="Arial;Helvetica;sans-serif" w:hAnsi="Arial;Helvetica;sans-serif"/>
          <w:b/>
          <w:sz w:val="20"/>
        </w:rPr>
        <w:t>UNITED STATES SECURITIES AND EXCHANGE COMMISSION</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Form 10-Q</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c_HhoMl-kUOsPF7YoqOAng_1_1"/>
      <w:bookmarkStart w:id="4" w:name="_d44db14b_16ee_4b02_b556_4a2f03a6ebdc"/>
      <w:bookmarkStart w:id="5" w:name="Tc_c_HhoMl-kUOsPF7YoqOAng_1_1"/>
      <w:bookmarkStart w:id="6" w:name="_d44db14b_16ee_4b02_b556_4a2f03a6ebdc"/>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269990" cy="175260"/>
                      <wp:effectExtent l="0" t="0" r="0" b="0"/>
                      <wp:wrapNone/>
                      <wp:docPr id="1" name="Frame1"/>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lineRule="auto" w:line="285" w:before="0" w:after="0"/>
              <w:ind w:left="0" w:right="0" w:hanging="0"/>
              <w:jc w:val="both"/>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the quarterly period ended March 31,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7" w:name="Tc_k8Wr6IYgP0G5jj7jCO4ehw_1_1"/>
      <w:bookmarkStart w:id="8" w:name="_68431de7_84cb_4e54_b1e2_ffd844ebdad5"/>
      <w:bookmarkStart w:id="9" w:name="Tc_k8Wr6IYgP0G5jj7jCO4ehw_1_1"/>
      <w:bookmarkStart w:id="10" w:name="_68431de7_84cb_4e54_b1e2_ffd844ebdad5"/>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lineRule="auto" w:line="285" w:before="0" w:after="0"/>
              <w:ind w:left="0" w:right="0" w:hanging="0"/>
              <w:jc w:val="left"/>
              <w:rPr/>
            </w:pPr>
            <w:r>
              <w:rPr/>
              <w:t>​</w:t>
            </w:r>
          </w:p>
        </w:tc>
      </w:tr>
      <w:tr>
        <w:trPr/>
        <w:tc>
          <w:tcPr>
            <w:tcW w:w="331" w:type="dxa"/>
            <w:tcBorders/>
            <w:vAlign w:val="center"/>
          </w:tcPr>
          <w:p>
            <w:pPr>
              <w:pStyle w:val="TableContents"/>
              <w:bidi w:val="0"/>
              <w:spacing w:lineRule="auto" w:line="285" w:before="0" w:after="0"/>
              <w:ind w:left="0" w:right="0" w:hanging="0"/>
              <w:jc w:val="left"/>
              <w:rPr/>
            </w:pPr>
            <w:r>
              <w:rPr/>
              <w:t>☐</w:t>
            </w:r>
          </w:p>
        </w:tc>
        <w:tc>
          <w:tcPr>
            <w:tcW w:w="9874" w:type="dxa"/>
            <w:tcBorders/>
            <w:vAlign w:val="center"/>
          </w:tcPr>
          <w:p>
            <w:pPr>
              <w:pStyle w:val="TableContents"/>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the transition period from          to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Commission File Number 001-11919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8"/>
        </w:rPr>
      </w:pPr>
      <w:r>
        <w:rPr>
          <w:rFonts w:ascii="Arial;Helvetica;sans-serif" w:hAnsi="Arial;Helvetica;sans-serif"/>
          <w:b/>
          <w:sz w:val="28"/>
        </w:rPr>
        <w:t>TTEC Holdings, Inc.</w:t>
      </w:r>
    </w:p>
    <w:p>
      <w:pPr>
        <w:pStyle w:val="TextBody"/>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1" w:name="Tc_EfcbSlS6gEewiaCYoBCfpA_3_2"/>
      <w:bookmarkStart w:id="12" w:name="Tc_njCSQBwWFUWBwga7m5JawA_3_0"/>
      <w:bookmarkStart w:id="13" w:name="Tc_X6b8UkhNFUK0F2zQH6-e0g_2_2"/>
      <w:bookmarkStart w:id="14" w:name="Tc_KM2qQHX6YUCDA5puznJT-A_2_0"/>
      <w:bookmarkStart w:id="15" w:name="_9e498d15_433f_4ebf_aad8_1df8f202a50b"/>
      <w:bookmarkStart w:id="16" w:name="Tc_EfcbSlS6gEewiaCYoBCfpA_3_2"/>
      <w:bookmarkStart w:id="17" w:name="Tc_njCSQBwWFUWBwga7m5JawA_3_0"/>
      <w:bookmarkStart w:id="18" w:name="Tc_X6b8UkhNFUK0F2zQH6-e0g_2_2"/>
      <w:bookmarkStart w:id="19" w:name="Tc_KM2qQHX6YUCDA5puznJT-A_2_0"/>
      <w:bookmarkStart w:id="20" w:name="_9e498d15_433f_4ebf_aad8_1df8f202a50b"/>
      <w:bookmarkEnd w:id="16"/>
      <w:bookmarkEnd w:id="17"/>
      <w:bookmarkEnd w:id="18"/>
      <w:bookmarkEnd w:id="19"/>
      <w:bookmarkEnd w:id="20"/>
    </w:p>
    <w:tbl>
      <w:tblPr>
        <w:tblW w:w="4221" w:type="dxa"/>
        <w:jc w:val="left"/>
        <w:tblInd w:w="0" w:type="dxa"/>
        <w:tblLayout w:type="fixed"/>
        <w:tblCellMar>
          <w:top w:w="0" w:type="dxa"/>
          <w:left w:w="0" w:type="dxa"/>
          <w:bottom w:w="0" w:type="dxa"/>
          <w:right w:w="0" w:type="dxa"/>
        </w:tblCellMar>
      </w:tblPr>
      <w:tblGrid>
        <w:gridCol w:w="2536"/>
        <w:gridCol w:w="109"/>
        <w:gridCol w:w="1576"/>
      </w:tblGrid>
      <w:tr>
        <w:trPr/>
        <w:tc>
          <w:tcPr>
            <w:tcW w:w="25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lineRule="auto" w:line="285" w:before="0" w:after="0"/>
              <w:ind w:left="0" w:right="0" w:hanging="0"/>
              <w:jc w:val="left"/>
              <w:rPr/>
            </w:pPr>
            <w:r>
              <w:rPr/>
              <w:t>​</w:t>
            </w:r>
          </w:p>
        </w:tc>
      </w:tr>
      <w:tr>
        <w:trPr/>
        <w:tc>
          <w:tcPr>
            <w:tcW w:w="253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84-1291044</w:t>
            </w:r>
          </w:p>
        </w:tc>
      </w:tr>
      <w:tr>
        <w:trPr/>
        <w:tc>
          <w:tcPr>
            <w:tcW w:w="253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(State or other jurisdiction of</w:t>
            </w:r>
          </w:p>
        </w:tc>
        <w:tc>
          <w:tcPr>
            <w:tcW w:w="109"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(I.R.S. Employer</w:t>
            </w:r>
          </w:p>
        </w:tc>
      </w:tr>
      <w:tr>
        <w:trPr/>
        <w:tc>
          <w:tcPr>
            <w:tcW w:w="253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incorporation or organization)</w:t>
            </w:r>
          </w:p>
        </w:tc>
        <w:tc>
          <w:tcPr>
            <w:tcW w:w="109"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100 Congress Avenue, Suite 1425</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b/>
          <w:sz w:val="18"/>
        </w:rPr>
        <w:t>Austin, Texas</w:t>
      </w:r>
      <w:r>
        <w:rPr>
          <w:rFonts w:ascii="Arial;Helvetica;sans-serif" w:hAnsi="Arial;Helvetica;sans-serif"/>
          <w:sz w:val="20"/>
        </w:rPr>
        <w:t xml:space="preserve"> </w:t>
      </w:r>
      <w:r>
        <w:rPr>
          <w:rFonts w:ascii="Arial;Helvetica;sans-serif" w:hAnsi="Arial;Helvetica;sans-serif"/>
          <w:b/>
          <w:sz w:val="18"/>
        </w:rPr>
        <w:t>78701</w:t>
      </w:r>
    </w:p>
    <w:p>
      <w:pPr>
        <w:pStyle w:val="TextBody"/>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Registrant’s telephone number, including area code: (303) 397-8100</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Securities registered pursuant to Section 12(b) of the Act:</w:t>
      </w:r>
    </w:p>
    <w:p>
      <w:pPr>
        <w:pStyle w:val="Normal"/>
        <w:bidi w:val="0"/>
        <w:spacing w:before="0" w:after="0"/>
        <w:jc w:val="left"/>
        <w:rPr>
          <w:sz w:val="4"/>
          <w:szCs w:val="4"/>
        </w:rPr>
      </w:pPr>
      <w:r>
        <w:rPr>
          <w:sz w:val="4"/>
          <w:szCs w:val="4"/>
        </w:rPr>
      </w:r>
      <w:bookmarkStart w:id="21" w:name="Tc_sresBQm2kkqUfA2-CuC_iQ_1_2"/>
      <w:bookmarkStart w:id="22" w:name="Tc_cEkAh5w6CEeJDMsufBCnvQ_1_1"/>
      <w:bookmarkStart w:id="23" w:name="Tc_z1COd6HgfE6WKY4A0Qe_Rg_1_0"/>
      <w:bookmarkStart w:id="24" w:name="_d72b2b70_322f_4cda_bfdc_62d268638083"/>
      <w:bookmarkStart w:id="25" w:name="Tc_sresBQm2kkqUfA2-CuC_iQ_1_2"/>
      <w:bookmarkStart w:id="26" w:name="Tc_cEkAh5w6CEeJDMsufBCnvQ_1_1"/>
      <w:bookmarkStart w:id="27" w:name="Tc_z1COd6HgfE6WKY4A0Qe_Rg_1_0"/>
      <w:bookmarkStart w:id="28" w:name="_d72b2b70_322f_4cda_bfdc_62d268638083"/>
      <w:bookmarkEnd w:id="25"/>
      <w:bookmarkEnd w:id="26"/>
      <w:bookmarkEnd w:id="27"/>
      <w:bookmarkEnd w:id="28"/>
    </w:p>
    <w:tbl>
      <w:tblPr>
        <w:tblW w:w="7803" w:type="dxa"/>
        <w:jc w:val="left"/>
        <w:tblInd w:w="0" w:type="dxa"/>
        <w:tblLayout w:type="fixed"/>
        <w:tblCellMar>
          <w:top w:w="0" w:type="dxa"/>
          <w:left w:w="0" w:type="dxa"/>
          <w:bottom w:w="0" w:type="dxa"/>
          <w:right w:w="0" w:type="dxa"/>
        </w:tblCellMar>
      </w:tblPr>
      <w:tblGrid>
        <w:gridCol w:w="2566"/>
        <w:gridCol w:w="1576"/>
        <w:gridCol w:w="3661"/>
      </w:tblGrid>
      <w:tr>
        <w:trPr/>
        <w:tc>
          <w:tcPr>
            <w:tcW w:w="2566" w:type="dxa"/>
            <w:tcBorders/>
            <w:vAlign w:val="center"/>
          </w:tcPr>
          <w:p>
            <w:pPr>
              <w:pStyle w:val="TableContents"/>
              <w:bidi w:val="0"/>
              <w:spacing w:lineRule="auto" w:line="285" w:before="0" w:after="0"/>
              <w:ind w:left="0" w:right="0" w:hanging="0"/>
              <w:jc w:val="left"/>
              <w:rPr/>
            </w:pPr>
            <w:r>
              <w:rPr/>
              <w:t>​</w:t>
            </w:r>
          </w:p>
        </w:tc>
        <w:tc>
          <w:tcPr>
            <w:tcW w:w="1576" w:type="dxa"/>
            <w:tcBorders/>
            <w:vAlign w:val="center"/>
          </w:tcPr>
          <w:p>
            <w:pPr>
              <w:pStyle w:val="TableContents"/>
              <w:bidi w:val="0"/>
              <w:spacing w:lineRule="auto" w:line="285" w:before="0" w:after="0"/>
              <w:ind w:left="0" w:right="0" w:hanging="0"/>
              <w:jc w:val="left"/>
              <w:rPr/>
            </w:pPr>
            <w:r>
              <w:rPr/>
              <w:t>​</w:t>
            </w:r>
          </w:p>
        </w:tc>
        <w:tc>
          <w:tcPr>
            <w:tcW w:w="3661" w:type="dxa"/>
            <w:tcBorders/>
            <w:vAlign w:val="center"/>
          </w:tcPr>
          <w:p>
            <w:pPr>
              <w:pStyle w:val="TableContents"/>
              <w:bidi w:val="0"/>
              <w:spacing w:lineRule="auto" w:line="285" w:before="0" w:after="0"/>
              <w:ind w:left="0" w:right="0" w:hanging="0"/>
              <w:jc w:val="left"/>
              <w:rPr/>
            </w:pPr>
            <w:r>
              <w:rPr/>
              <w:t>​</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4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15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40"/>
              <w:ind w:left="0" w:right="0" w:hanging="0"/>
              <w:jc w:val="center"/>
              <w:rPr>
                <w:rFonts w:ascii="Arial;Helvetica;sans-serif" w:hAnsi="Arial;Helvetica;sans-serif"/>
                <w:b/>
                <w:sz w:val="16"/>
              </w:rPr>
            </w:pPr>
            <w:r>
              <w:rPr>
                <w:rFonts w:ascii="Arial;Helvetica;sans-serif" w:hAnsi="Arial;Helvetica;sans-serif"/>
                <w:b/>
                <w:sz w:val="16"/>
              </w:rPr>
              <w:t>Trading Symbol(s)</w:t>
            </w:r>
          </w:p>
        </w:tc>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40"/>
              <w:ind w:left="0" w:right="0" w:hanging="0"/>
              <w:jc w:val="center"/>
              <w:rPr>
                <w:rFonts w:ascii="Arial;Helvetica;sans-serif" w:hAnsi="Arial;Helvetica;sans-serif"/>
                <w:b/>
                <w:sz w:val="16"/>
              </w:rPr>
            </w:pPr>
            <w:r>
              <w:rPr>
                <w:rFonts w:ascii="Arial;Helvetica;sans-serif" w:hAnsi="Arial;Helvetica;sans-serif"/>
                <w:b/>
                <w:sz w:val="16"/>
              </w:rPr>
              <w:t>Name of each exchange on which registered</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40" w:after="0"/>
              <w:ind w:left="0" w:right="0" w:hanging="0"/>
              <w:jc w:val="center"/>
              <w:rPr>
                <w:rFonts w:ascii="Arial;Helvetica;sans-serif" w:hAnsi="Arial;Helvetica;sans-serif"/>
                <w:sz w:val="14"/>
              </w:rPr>
            </w:pPr>
            <w:r>
              <w:rPr>
                <w:rFonts w:ascii="Arial;Helvetica;sans-serif" w:hAnsi="Arial;Helvetica;sans-serif"/>
                <w:sz w:val="14"/>
              </w:rPr>
              <w:t xml:space="preserve">Common stock of TTEC Holdings, Inc., </w:t>
              <w:br/>
              <w:t>$0.01 par value per share</w:t>
            </w:r>
          </w:p>
        </w:tc>
        <w:tc>
          <w:tcPr>
            <w:tcW w:w="15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40" w:after="0"/>
              <w:ind w:left="0" w:right="0" w:hanging="0"/>
              <w:jc w:val="center"/>
              <w:rPr>
                <w:rFonts w:ascii="Arial;Helvetica;sans-serif" w:hAnsi="Arial;Helvetica;sans-serif"/>
                <w:sz w:val="14"/>
              </w:rPr>
            </w:pPr>
            <w:r>
              <w:rPr>
                <w:rFonts w:ascii="Arial;Helvetica;sans-serif" w:hAnsi="Arial;Helvetica;sans-serif"/>
                <w:sz w:val="14"/>
              </w:rPr>
              <w:t>TTEC</w:t>
            </w:r>
          </w:p>
        </w:tc>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40" w:after="0"/>
              <w:ind w:left="0" w:right="0" w:hanging="0"/>
              <w:jc w:val="center"/>
              <w:rPr>
                <w:rFonts w:ascii="Arial;Helvetica;sans-serif" w:hAnsi="Arial;Helvetica;sans-serif"/>
                <w:sz w:val="14"/>
              </w:rPr>
            </w:pPr>
            <w:r>
              <w:rPr>
                <w:rFonts w:ascii="Arial;Helvetica;sans-serif" w:hAnsi="Arial;Helvetica;sans-serif"/>
                <w:sz w:val="14"/>
              </w:rPr>
              <w:t>NASDAQ</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18"/>
        </w:rPr>
      </w:pPr>
      <w:r>
        <w:rPr>
          <w:rFonts w:ascii="Arial;Helvetica;sans-serif" w:hAnsi="Arial;Helvetica;san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18"/>
        </w:rPr>
        <w:t>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lineRule="auto" w:line="285" w:before="0" w:after="0"/>
        <w:ind w:left="0" w:right="0" w:hanging="0"/>
        <w:jc w:val="left"/>
        <w:rPr/>
      </w:pPr>
      <w:r>
        <w:rPr/>
        <w:t>​</w:t>
      </w:r>
    </w:p>
    <w:p>
      <w:pPr>
        <w:pStyle w:val="TextBody"/>
        <w:bidi w:val="0"/>
        <w:spacing w:lineRule="auto" w:line="300" w:before="0" w:after="0"/>
        <w:ind w:left="0" w:right="0" w:hanging="0"/>
        <w:jc w:val="left"/>
        <w:rPr>
          <w:rFonts w:ascii="Arial;Helvetica;sans-serif" w:hAnsi="Arial;Helvetica;sans-serif"/>
          <w:sz w:val="20"/>
        </w:rPr>
      </w:pPr>
      <w:r>
        <w:rPr>
          <w:rFonts w:ascii="Arial;Helvetica;sans-serif" w:hAnsi="Arial;Helvetica;san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left"/>
        <w:rPr/>
      </w:pPr>
      <w:r>
        <w:rPr/>
        <w:t>​</w:t>
      </w:r>
    </w:p>
    <w:tbl>
      <w:tblPr>
        <w:tblW w:w="8915" w:type="dxa"/>
        <w:jc w:val="left"/>
        <w:tblInd w:w="0" w:type="dxa"/>
        <w:tblLayout w:type="fixed"/>
        <w:tblCellMar>
          <w:top w:w="0" w:type="dxa"/>
          <w:left w:w="0" w:type="dxa"/>
          <w:bottom w:w="0" w:type="dxa"/>
          <w:right w:w="0" w:type="dxa"/>
        </w:tblCellMar>
      </w:tblPr>
      <w:tblGrid>
        <w:gridCol w:w="2236"/>
        <w:gridCol w:w="514"/>
        <w:gridCol w:w="1211"/>
        <w:gridCol w:w="1052"/>
        <w:gridCol w:w="1033"/>
        <w:gridCol w:w="1914"/>
        <w:gridCol w:w="801"/>
        <w:gridCol w:w="154"/>
      </w:tblGrid>
      <w:tr>
        <w:trPr/>
        <w:tc>
          <w:tcPr>
            <w:tcW w:w="2750" w:type="dxa"/>
            <w:gridSpan w:val="2"/>
            <w:tcBorders/>
            <w:vAlign w:val="center"/>
          </w:tcPr>
          <w:p>
            <w:pPr>
              <w:pStyle w:val="TableContents"/>
              <w:bidi w:val="0"/>
              <w:spacing w:before="0" w:after="283"/>
              <w:ind w:left="0" w:right="0" w:hanging="0"/>
              <w:jc w:val="left"/>
              <w:rPr>
                <w:sz w:val="4"/>
                <w:szCs w:val="4"/>
              </w:rPr>
            </w:pPr>
            <w:r>
              <w:rPr>
                <w:sz w:val="4"/>
                <w:szCs w:val="4"/>
              </w:rPr>
            </w:r>
          </w:p>
        </w:tc>
        <w:tc>
          <w:tcPr>
            <w:tcW w:w="2263" w:type="dxa"/>
            <w:gridSpan w:val="2"/>
            <w:tcBorders/>
            <w:vAlign w:val="center"/>
          </w:tcPr>
          <w:p>
            <w:pPr>
              <w:pStyle w:val="TableContents"/>
              <w:bidi w:val="0"/>
              <w:spacing w:before="0" w:after="283"/>
              <w:ind w:left="0" w:right="0" w:hanging="0"/>
              <w:jc w:val="left"/>
              <w:rPr>
                <w:sz w:val="4"/>
                <w:szCs w:val="4"/>
              </w:rPr>
            </w:pPr>
            <w:r>
              <w:rPr>
                <w:sz w:val="4"/>
                <w:szCs w:val="4"/>
              </w:rPr>
            </w:r>
          </w:p>
        </w:tc>
        <w:tc>
          <w:tcPr>
            <w:tcW w:w="2947" w:type="dxa"/>
            <w:gridSpan w:val="2"/>
            <w:tcBorders/>
            <w:vAlign w:val="center"/>
          </w:tcPr>
          <w:p>
            <w:pPr>
              <w:pStyle w:val="TableContents"/>
              <w:bidi w:val="0"/>
              <w:spacing w:before="0" w:after="283"/>
              <w:ind w:left="0" w:right="0" w:hanging="0"/>
              <w:jc w:val="left"/>
              <w:rPr>
                <w:sz w:val="4"/>
                <w:szCs w:val="4"/>
              </w:rPr>
            </w:pPr>
            <w:r>
              <w:rPr>
                <w:sz w:val="4"/>
                <w:szCs w:val="4"/>
              </w:rPr>
            </w:r>
          </w:p>
        </w:tc>
        <w:tc>
          <w:tcPr>
            <w:tcW w:w="95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Large Accelerated Filer ☐</w:t>
            </w:r>
          </w:p>
        </w:tc>
        <w:tc>
          <w:tcPr>
            <w:tcW w:w="1725" w:type="dxa"/>
            <w:gridSpan w:val="2"/>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18"/>
              </w:rPr>
              <w:t>Accelerated Filer</w:t>
            </w:r>
            <w:r>
              <w:rPr>
                <w:rFonts w:ascii="Arial;Helvetica;sans-serif" w:hAnsi="Arial;Helvetica;sans-serif"/>
                <w:sz w:val="20"/>
              </w:rPr>
              <w:t> ☑</w:t>
            </w:r>
          </w:p>
        </w:tc>
        <w:tc>
          <w:tcPr>
            <w:tcW w:w="2085" w:type="dxa"/>
            <w:gridSpan w:val="2"/>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Non-accelerated Filer ☐</w:t>
            </w:r>
          </w:p>
        </w:tc>
        <w:tc>
          <w:tcPr>
            <w:tcW w:w="2715" w:type="dxa"/>
            <w:gridSpan w:val="2"/>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18"/>
              </w:rPr>
              <w:t>Smaller Reporting Company </w:t>
            </w:r>
            <w:r>
              <w:rPr>
                <w:rFonts w:ascii="Arial;Helvetica;sans-serif" w:hAnsi="Arial;Helvetica;sans-serif"/>
                <w:sz w:val="20"/>
              </w:rPr>
              <w:t xml:space="preserve">☑ </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lineRule="auto" w:line="285" w:before="0" w:after="0"/>
              <w:ind w:left="0" w:right="0" w:hanging="0"/>
              <w:jc w:val="center"/>
              <w:rPr/>
            </w:pPr>
            <w:r>
              <w:rPr/>
              <w:t>​</w:t>
            </w:r>
          </w:p>
        </w:tc>
        <w:tc>
          <w:tcPr>
            <w:tcW w:w="1725" w:type="dxa"/>
            <w:gridSpan w:val="2"/>
            <w:tcBorders/>
            <w:vAlign w:val="center"/>
          </w:tcPr>
          <w:p>
            <w:pPr>
              <w:pStyle w:val="TableContents"/>
              <w:bidi w:val="0"/>
              <w:spacing w:lineRule="auto" w:line="285" w:before="0" w:after="0"/>
              <w:ind w:left="0" w:right="0" w:hanging="0"/>
              <w:jc w:val="center"/>
              <w:rPr/>
            </w:pPr>
            <w:r>
              <w:rPr/>
              <w:t>​</w:t>
            </w:r>
          </w:p>
        </w:tc>
        <w:tc>
          <w:tcPr>
            <w:tcW w:w="2085" w:type="dxa"/>
            <w:gridSpan w:val="2"/>
            <w:tcBorders/>
            <w:vAlign w:val="center"/>
          </w:tcPr>
          <w:p>
            <w:pPr>
              <w:pStyle w:val="TableContents"/>
              <w:bidi w:val="0"/>
              <w:spacing w:before="0" w:after="283"/>
              <w:ind w:left="0" w:right="0" w:hanging="0"/>
              <w:jc w:val="left"/>
              <w:rPr>
                <w:sz w:val="4"/>
                <w:szCs w:val="4"/>
              </w:rPr>
            </w:pPr>
            <w:r>
              <w:rPr>
                <w:sz w:val="4"/>
                <w:szCs w:val="4"/>
              </w:rPr>
            </w:r>
          </w:p>
        </w:tc>
        <w:tc>
          <w:tcPr>
            <w:tcW w:w="2715" w:type="dxa"/>
            <w:gridSpan w:val="2"/>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18"/>
              </w:rPr>
              <w:t>Emerging Growth Company </w:t>
            </w:r>
            <w:r>
              <w:rPr>
                <w:rFonts w:ascii="Arial;Helvetica;sans-serif" w:hAnsi="Arial;Helvetica;sans-serif"/>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18"/>
        </w:rPr>
      </w:pPr>
      <w:bookmarkStart w:id="29" w:name="_Hlk7619197"/>
      <w:bookmarkEnd w:id="29"/>
      <w:r>
        <w:rPr>
          <w:rFonts w:ascii="Arial;Helvetica;sans-serif" w:hAnsi="Arial;Helvetica;sans-serif"/>
          <w:sz w:val="18"/>
        </w:rPr>
        <w:t>Indicate by check mark whether the registrant is a shell company (as defined in Rule 12b-2 of the Exchange Act).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18"/>
        </w:rPr>
        <w:t xml:space="preserve">Yes </w:t>
      </w:r>
      <w:r>
        <w:rPr>
          <w:rFonts w:ascii="Arial;Helvetica;sans-serif" w:hAnsi="Arial;Helvetica;sans-serif"/>
          <w:sz w:val="20"/>
        </w:rPr>
        <w:t xml:space="preserve">☐   </w:t>
      </w:r>
      <w:r>
        <w:rPr>
          <w:rFonts w:ascii="Arial;Helvetica;sans-serif" w:hAnsi="Arial;Helvetica;sans-serif"/>
          <w:sz w:val="18"/>
        </w:rPr>
        <w:t xml:space="preserve">No </w:t>
      </w:r>
      <w:r>
        <w:rPr>
          <w:rFonts w:ascii="Arial;Helvetica;sans-serif" w:hAnsi="Arial;Helvetica;san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8"/>
        </w:rPr>
        <w:t>As of May 1, 2026, there were 48,658,381</w:t>
      </w:r>
      <w:r>
        <w:rPr>
          <w:rFonts w:ascii="Arial;Helvetica;sans-serif" w:hAnsi="Arial;Helvetica;sans-serif"/>
          <w:sz w:val="16"/>
        </w:rPr>
        <w:t xml:space="preserve"> </w:t>
      </w:r>
      <w:r>
        <w:rPr>
          <w:rFonts w:ascii="Arial;Helvetica;sans-serif" w:hAnsi="Arial;Helvetica;sans-serif"/>
          <w:sz w:val="18"/>
        </w:rPr>
        <w:t>shares of the registrant’s common stock outstanding.</w:t>
      </w:r>
    </w:p>
    <w:p>
      <w:pPr>
        <w:pStyle w:val="TextBody"/>
        <w:pBdr>
          <w:bottom w:val="single" w:sz="8" w:space="1" w:color="000000"/>
        </w:pBdr>
        <w:bidi w:val="0"/>
        <w:spacing w:lineRule="auto" w:line="285" w:before="0" w:after="0"/>
        <w:ind w:left="0" w:right="0" w:hanging="0"/>
        <w:jc w:val="left"/>
        <w:rPr>
          <w:bdr w:val="single" w:sz="24" w:space="1" w:color="000000"/>
        </w:rPr>
      </w:pPr>
      <w:r>
        <w:rPr>
          <w:bdr w:val="single" w:sz="24" w:space="1" w:color="000000"/>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bookmarkStart w:id="30" w:name="_c178a801_22cf_41af_8f91_41b97f8f0cf0"/>
      <w:bookmarkEnd w:id="30"/>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MARCH 31, 2026 FORM 10-Q</w:t>
      </w:r>
    </w:p>
    <w:p>
      <w:pPr>
        <w:pStyle w:val="TextBody"/>
        <w:bidi w:val="0"/>
        <w:spacing w:lineRule="auto" w:line="285" w:before="0" w:after="0"/>
        <w:ind w:left="0" w:right="0" w:hanging="0"/>
        <w:jc w:val="center"/>
        <w:rPr>
          <w:rFonts w:ascii="Arial;Helvetica;sans-serif" w:hAnsi="Arial;Helvetica;sans-serif"/>
          <w:b/>
          <w:sz w:val="20"/>
        </w:rPr>
      </w:pPr>
      <w:bookmarkStart w:id="31" w:name="Toc"/>
      <w:bookmarkEnd w:id="31"/>
      <w:r>
        <w:rPr>
          <w:rFonts w:ascii="Arial;Helvetica;sans-serif" w:hAnsi="Arial;Helvetica;sans-serif"/>
          <w:b/>
          <w:sz w:val="20"/>
        </w:rPr>
        <w:t>TABLE OF CONTENTS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1"/>
        <w:gridCol w:w="8343"/>
        <w:gridCol w:w="991"/>
      </w:tblGrid>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9285" cy="175260"/>
                      <wp:effectExtent l="0" t="0" r="0" b="0"/>
                      <wp:wrapNone/>
                      <wp:docPr id="3" name="Frame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b/>
                <w:sz w:val="20"/>
              </w:rPr>
            </w:pPr>
            <w:r>
              <w:rPr>
                <w:rFonts w:ascii="Arial;Helvetica;sans-serif" w:hAnsi="Arial;Helvetica;sans-serif"/>
                <w:b/>
                <w:sz w:val="20"/>
              </w:rPr>
              <w:t>Page No.</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hyperlink w:anchor="PARTI_FINANCIALINFORMATION_121954">
              <w:r>
                <w:rPr>
                  <w:rStyle w:val="InternetLink"/>
                  <w:rFonts w:ascii="Arial;Helvetica;sans-serif" w:hAnsi="Arial;Helvetica;sans-serif"/>
                  <w:b/>
                  <w:i w:val="false"/>
                  <w:caps w:val="false"/>
                  <w:smallCaps w:val="false"/>
                  <w:sz w:val="20"/>
                </w:rPr>
                <w:t>PART I. FINANCIAL INFORMATION</w:t>
              </w:r>
            </w:hyperlink>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1_FINANCIALSTATEMENTS_121955">
              <w:r>
                <w:rPr>
                  <w:rStyle w:val="InternetLink"/>
                  <w:rFonts w:ascii="Arial;Helvetica;sans-serif" w:hAnsi="Arial;Helvetica;sans-serif"/>
                  <w:b w:val="false"/>
                  <w:i w:val="false"/>
                  <w:caps w:val="false"/>
                  <w:smallCaps w:val="false"/>
                  <w:sz w:val="20"/>
                </w:rPr>
                <w:t>Item 1.</w:t>
              </w:r>
            </w:hyperlink>
          </w:p>
        </w:tc>
        <w:tc>
          <w:tcPr>
            <w:tcW w:w="8343" w:type="dxa"/>
            <w:tcBorders/>
            <w:vAlign w:val="center"/>
          </w:tcPr>
          <w:p>
            <w:pPr>
              <w:pStyle w:val="TableContents"/>
              <w:bidi w:val="0"/>
              <w:spacing w:lineRule="auto" w:line="285" w:before="0" w:after="0"/>
              <w:ind w:left="0" w:right="0" w:hanging="0"/>
              <w:jc w:val="left"/>
              <w:rPr/>
            </w:pPr>
            <w:hyperlink w:anchor="ITEM1_FINANCIALSTATEMENTS_121955">
              <w:r>
                <w:rPr>
                  <w:rStyle w:val="InternetLink"/>
                  <w:rFonts w:ascii="Arial;Helvetica;sans-serif" w:hAnsi="Arial;Helvetica;sans-serif"/>
                  <w:b w:val="false"/>
                  <w:i w:val="false"/>
                  <w:caps w:val="false"/>
                  <w:smallCaps w:val="false"/>
                  <w:sz w:val="20"/>
                </w:rPr>
                <w:t>Financial Statements</w:t>
              </w:r>
            </w:hyperlink>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BalanceSheets_110353">
              <w:r>
                <w:rPr>
                  <w:rStyle w:val="InternetLink"/>
                  <w:rFonts w:ascii="Arial;Helvetica;sans-serif" w:hAnsi="Arial;Helvetica;sans-serif"/>
                  <w:b w:val="false"/>
                  <w:i w:val="false"/>
                  <w:caps w:val="false"/>
                  <w:smallCaps w:val="false"/>
                  <w:sz w:val="20"/>
                </w:rPr>
                <w:t>Consolidated Balance Sheets as of March 31, 2026 and December 31,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StatementsofComprehe_110355">
              <w:r>
                <w:rPr>
                  <w:rStyle w:val="InternetLink"/>
                  <w:rFonts w:ascii="Arial;Helvetica;sans-serif" w:hAnsi="Arial;Helvetica;sans-serif"/>
                  <w:b w:val="false"/>
                  <w:i w:val="false"/>
                  <w:caps w:val="false"/>
                  <w:smallCaps w:val="false"/>
                  <w:sz w:val="20"/>
                </w:rPr>
                <w:t>Consolidated Statements of Comprehensive Income (Loss) for the three months ended March 31, 2026 and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StatementofStockhold_111529">
              <w:r>
                <w:rPr>
                  <w:rStyle w:val="InternetLink"/>
                  <w:rFonts w:ascii="Arial;Helvetica;sans-serif" w:hAnsi="Arial;Helvetica;sans-serif"/>
                  <w:b w:val="false"/>
                  <w:i w:val="false"/>
                  <w:caps w:val="false"/>
                  <w:smallCaps w:val="false"/>
                  <w:sz w:val="20"/>
                </w:rPr>
                <w:t>Consolidated Statements of Stockholders’ Equity as of and for the three months ended March 31, 2026 and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pBdr/>
              <w:bidi w:val="0"/>
              <w:spacing w:lineRule="auto" w:line="285" w:before="0" w:after="0"/>
              <w:ind w:left="0" w:right="0" w:hanging="0"/>
              <w:jc w:val="left"/>
              <w:rPr/>
            </w:pPr>
            <w:hyperlink w:anchor="ConsolidatedStatementsofCashFlow_112435">
              <w:r>
                <w:rPr>
                  <w:rStyle w:val="InternetLink"/>
                  <w:rFonts w:ascii="Arial;Helvetica;sans-serif" w:hAnsi="Arial;Helvetica;sans-serif"/>
                  <w:b w:val="false"/>
                  <w:i w:val="false"/>
                  <w:caps w:val="false"/>
                  <w:smallCaps w:val="false"/>
                  <w:sz w:val="20"/>
                </w:rPr>
                <w:t>Consolidated Statements of Cash Flows for the three months ended March 31, 2026 and 2025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hyperlink w:anchor="NOTESTOCONSOLIDATEDFINANCIALSTATEMENT">
              <w:r>
                <w:rPr>
                  <w:rStyle w:val="InternetLink"/>
                  <w:rFonts w:ascii="Arial;Helvetica;sans-serif" w:hAnsi="Arial;Helvetica;sans-serif"/>
                  <w:b w:val="false"/>
                  <w:i w:val="false"/>
                  <w:caps w:val="false"/>
                  <w:smallCaps w:val="false"/>
                  <w:sz w:val="20"/>
                </w:rPr>
                <w:t>Notes to the Consolidated Financial Statements (unaudited)</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2_MANAGEMENTSDISCUSSIONANDAN_112048">
              <w:r>
                <w:rPr>
                  <w:rStyle w:val="InternetLink"/>
                  <w:rFonts w:ascii="Arial;Helvetica;sans-serif" w:hAnsi="Arial;Helvetica;sans-serif"/>
                  <w:b w:val="false"/>
                  <w:i w:val="false"/>
                  <w:caps w:val="false"/>
                  <w:smallCaps w:val="false"/>
                  <w:sz w:val="20"/>
                </w:rPr>
                <w:t>Item 2.</w:t>
              </w:r>
            </w:hyperlink>
          </w:p>
        </w:tc>
        <w:tc>
          <w:tcPr>
            <w:tcW w:w="8343" w:type="dxa"/>
            <w:tcBorders/>
            <w:vAlign w:val="center"/>
          </w:tcPr>
          <w:p>
            <w:pPr>
              <w:pStyle w:val="TableContents"/>
              <w:bidi w:val="0"/>
              <w:spacing w:lineRule="auto" w:line="285" w:before="0" w:after="0"/>
              <w:ind w:left="0" w:right="0" w:hanging="0"/>
              <w:jc w:val="left"/>
              <w:rPr/>
            </w:pPr>
            <w:hyperlink w:anchor="ITEM2_MANAGEMENTSDISCUSSIONANDAN_112048">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26</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3_QUANTITATIVEANDQUALITATIVE_034322">
              <w:r>
                <w:rPr>
                  <w:rStyle w:val="InternetLink"/>
                  <w:rFonts w:ascii="Arial;Helvetica;sans-serif" w:hAnsi="Arial;Helvetica;sans-serif"/>
                  <w:b w:val="false"/>
                  <w:i w:val="false"/>
                  <w:caps w:val="false"/>
                  <w:smallCaps w:val="false"/>
                  <w:sz w:val="20"/>
                </w:rPr>
                <w:t>Item 3.</w:t>
              </w:r>
            </w:hyperlink>
          </w:p>
        </w:tc>
        <w:tc>
          <w:tcPr>
            <w:tcW w:w="8343" w:type="dxa"/>
            <w:tcBorders/>
            <w:vAlign w:val="center"/>
          </w:tcPr>
          <w:p>
            <w:pPr>
              <w:pStyle w:val="TableContents"/>
              <w:bidi w:val="0"/>
              <w:spacing w:lineRule="auto" w:line="285" w:before="0" w:after="0"/>
              <w:ind w:left="0" w:right="0" w:hanging="0"/>
              <w:jc w:val="left"/>
              <w:rPr/>
            </w:pPr>
            <w:hyperlink w:anchor="ITEM3_QUANTITATIVEANDQUALITATIVE_034322">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32</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4_CONTROLSANDPROCEDURES_121019">
              <w:r>
                <w:rPr>
                  <w:rStyle w:val="InternetLink"/>
                  <w:rFonts w:ascii="Arial;Helvetica;sans-serif" w:hAnsi="Arial;Helvetica;sans-serif"/>
                  <w:b w:val="false"/>
                  <w:i w:val="false"/>
                  <w:caps w:val="false"/>
                  <w:smallCaps w:val="false"/>
                  <w:sz w:val="20"/>
                </w:rPr>
                <w:t>Item 4.</w:t>
              </w:r>
            </w:hyperlink>
          </w:p>
        </w:tc>
        <w:tc>
          <w:tcPr>
            <w:tcW w:w="8343" w:type="dxa"/>
            <w:tcBorders/>
            <w:vAlign w:val="center"/>
          </w:tcPr>
          <w:p>
            <w:pPr>
              <w:pStyle w:val="TableContents"/>
              <w:bidi w:val="0"/>
              <w:spacing w:lineRule="auto" w:line="285" w:before="0" w:after="0"/>
              <w:ind w:left="0" w:right="0" w:hanging="0"/>
              <w:jc w:val="left"/>
              <w:rPr/>
            </w:pPr>
            <w:hyperlink w:anchor="ITEM4_CONTROLSANDPROCEDURES_121019">
              <w:r>
                <w:rPr>
                  <w:rStyle w:val="InternetLink"/>
                  <w:rFonts w:ascii="Arial;Helvetica;sans-serif" w:hAnsi="Arial;Helvetica;sans-serif"/>
                  <w:b w:val="false"/>
                  <w:i w:val="false"/>
                  <w:caps w:val="false"/>
                  <w:smallCaps w:val="false"/>
                  <w:sz w:val="20"/>
                </w:rPr>
                <w:t>Controls and Procedures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hyperlink w:anchor="PARTII_OTHERINFORMATION_121023">
              <w:r>
                <w:rPr>
                  <w:rStyle w:val="InternetLink"/>
                  <w:rFonts w:ascii="Arial;Helvetica;sans-serif" w:hAnsi="Arial;Helvetica;sans-serif"/>
                  <w:b/>
                  <w:i w:val="false"/>
                  <w:caps w:val="false"/>
                  <w:smallCaps w:val="false"/>
                  <w:sz w:val="20"/>
                </w:rPr>
                <w:t>PART II. OTHER INFORMATION</w:t>
              </w:r>
            </w:hyperlink>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1_LEGALPROCEEDINGS_121025">
              <w:r>
                <w:rPr>
                  <w:rStyle w:val="InternetLink"/>
                  <w:rFonts w:ascii="Arial;Helvetica;sans-serif" w:hAnsi="Arial;Helvetica;sans-serif"/>
                  <w:b w:val="false"/>
                  <w:i w:val="false"/>
                  <w:caps w:val="false"/>
                  <w:smallCaps w:val="false"/>
                  <w:sz w:val="20"/>
                </w:rPr>
                <w:t>Item 1.</w:t>
              </w:r>
            </w:hyperlink>
          </w:p>
        </w:tc>
        <w:tc>
          <w:tcPr>
            <w:tcW w:w="8343" w:type="dxa"/>
            <w:tcBorders/>
            <w:vAlign w:val="center"/>
          </w:tcPr>
          <w:p>
            <w:pPr>
              <w:pStyle w:val="TableContents"/>
              <w:bidi w:val="0"/>
              <w:spacing w:lineRule="auto" w:line="285" w:before="0" w:after="0"/>
              <w:ind w:left="0" w:right="0" w:hanging="0"/>
              <w:jc w:val="left"/>
              <w:rPr/>
            </w:pPr>
            <w:hyperlink w:anchor="ITEM1_LEGALPROCEEDINGS_121025">
              <w:r>
                <w:rPr>
                  <w:rStyle w:val="InternetLink"/>
                  <w:rFonts w:ascii="Arial;Helvetica;sans-serif" w:hAnsi="Arial;Helvetica;sans-serif"/>
                  <w:b w:val="false"/>
                  <w:i w:val="false"/>
                  <w:caps w:val="false"/>
                  <w:smallCaps w:val="false"/>
                  <w:sz w:val="20"/>
                </w:rPr>
                <w:t>Legal Proceedings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1A_RISKFACTORS_121028">
              <w:r>
                <w:rPr>
                  <w:rStyle w:val="InternetLink"/>
                  <w:rFonts w:ascii="Arial;Helvetica;sans-serif" w:hAnsi="Arial;Helvetica;sans-serif"/>
                  <w:b w:val="false"/>
                  <w:i w:val="false"/>
                  <w:caps w:val="false"/>
                  <w:smallCaps w:val="false"/>
                  <w:sz w:val="20"/>
                </w:rPr>
                <w:t>Item 1A.</w:t>
              </w:r>
            </w:hyperlink>
          </w:p>
        </w:tc>
        <w:tc>
          <w:tcPr>
            <w:tcW w:w="8343" w:type="dxa"/>
            <w:tcBorders/>
            <w:vAlign w:val="center"/>
          </w:tcPr>
          <w:p>
            <w:pPr>
              <w:pStyle w:val="TableContents"/>
              <w:bidi w:val="0"/>
              <w:spacing w:lineRule="auto" w:line="285" w:before="0" w:after="0"/>
              <w:ind w:left="0" w:right="0" w:hanging="0"/>
              <w:jc w:val="left"/>
              <w:rPr/>
            </w:pPr>
            <w:hyperlink w:anchor="ITEM1A_RISKFACTORS_121028">
              <w:r>
                <w:rPr>
                  <w:rStyle w:val="InternetLink"/>
                  <w:rFonts w:ascii="Arial;Helvetica;sans-serif" w:hAnsi="Arial;Helvetica;sans-serif"/>
                  <w:b w:val="false"/>
                  <w:i w:val="false"/>
                  <w:caps w:val="false"/>
                  <w:smallCaps w:val="false"/>
                  <w:sz w:val="20"/>
                </w:rPr>
                <w:t>Risk Factors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34</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5OTHERINFORMATION_469585">
              <w:r>
                <w:rPr>
                  <w:rStyle w:val="InternetLink"/>
                  <w:rFonts w:ascii="Arial;Helvetica;sans-serif" w:hAnsi="Arial;Helvetica;sans-serif"/>
                  <w:b w:val="false"/>
                  <w:i w:val="false"/>
                  <w:caps w:val="false"/>
                  <w:smallCaps w:val="false"/>
                  <w:sz w:val="20"/>
                </w:rPr>
                <w:t>Item 5.</w:t>
              </w:r>
            </w:hyperlink>
          </w:p>
        </w:tc>
        <w:tc>
          <w:tcPr>
            <w:tcW w:w="8343" w:type="dxa"/>
            <w:tcBorders/>
            <w:vAlign w:val="center"/>
          </w:tcPr>
          <w:p>
            <w:pPr>
              <w:pStyle w:val="TableContents"/>
              <w:bidi w:val="0"/>
              <w:spacing w:lineRule="auto" w:line="285" w:before="0" w:after="0"/>
              <w:ind w:left="0" w:right="0" w:hanging="0"/>
              <w:jc w:val="left"/>
              <w:rPr/>
            </w:pPr>
            <w:hyperlink w:anchor="ITEM5OTHERINFORMATION_469585">
              <w:r>
                <w:rPr>
                  <w:rStyle w:val="InternetLink"/>
                  <w:rFonts w:ascii="Arial;Helvetica;sans-serif" w:hAnsi="Arial;Helvetica;sans-serif"/>
                  <w:b w:val="false"/>
                  <w:i w:val="false"/>
                  <w:caps w:val="false"/>
                  <w:smallCaps w:val="false"/>
                  <w:sz w:val="20"/>
                </w:rPr>
                <w:t>Other Information</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871" w:type="dxa"/>
            <w:tcBorders/>
            <w:vAlign w:val="center"/>
          </w:tcPr>
          <w:p>
            <w:pPr>
              <w:pStyle w:val="TableContents"/>
              <w:pBdr/>
              <w:bidi w:val="0"/>
              <w:spacing w:lineRule="auto" w:line="285" w:before="0" w:after="0"/>
              <w:ind w:left="0" w:right="0" w:hanging="0"/>
              <w:jc w:val="left"/>
              <w:rPr/>
            </w:pPr>
            <w:hyperlink w:anchor="ITEM6_EXHIBITS_121036">
              <w:r>
                <w:rPr>
                  <w:rStyle w:val="InternetLink"/>
                  <w:rFonts w:ascii="Arial;Helvetica;sans-serif" w:hAnsi="Arial;Helvetica;sans-serif"/>
                  <w:b w:val="false"/>
                  <w:i w:val="false"/>
                  <w:caps w:val="false"/>
                  <w:smallCaps w:val="false"/>
                  <w:sz w:val="20"/>
                </w:rPr>
                <w:t>Item 6.</w:t>
              </w:r>
            </w:hyperlink>
          </w:p>
        </w:tc>
        <w:tc>
          <w:tcPr>
            <w:tcW w:w="8343" w:type="dxa"/>
            <w:tcBorders/>
            <w:vAlign w:val="center"/>
          </w:tcPr>
          <w:p>
            <w:pPr>
              <w:pStyle w:val="TableContents"/>
              <w:bidi w:val="0"/>
              <w:spacing w:lineRule="auto" w:line="285" w:before="0" w:after="0"/>
              <w:ind w:left="0" w:right="0" w:hanging="0"/>
              <w:jc w:val="left"/>
              <w:rPr/>
            </w:pPr>
            <w:hyperlink w:anchor="ITEM6_EXHIBITS_121036">
              <w:r>
                <w:rPr>
                  <w:rStyle w:val="InternetLink"/>
                  <w:rFonts w:ascii="Arial;Helvetica;sans-serif" w:hAnsi="Arial;Helvetica;sans-serif"/>
                  <w:b w:val="false"/>
                  <w:i w:val="false"/>
                  <w:caps w:val="false"/>
                  <w:smallCaps w:val="false"/>
                  <w:sz w:val="20"/>
                </w:rPr>
                <w:t>Exhibits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hyperlink w:anchor="SIGNATURES_121810">
              <w:r>
                <w:rPr>
                  <w:rStyle w:val="InternetLink"/>
                  <w:rFonts w:ascii="Arial;Helvetica;sans-serif" w:hAnsi="Arial;Helvetica;sans-serif"/>
                  <w:b/>
                  <w:i w:val="false"/>
                  <w:caps w:val="false"/>
                  <w:smallCaps w:val="false"/>
                  <w:sz w:val="20"/>
                </w:rPr>
                <w:t>SIGNATURES</w:t>
              </w:r>
            </w:hyperlink>
          </w:p>
        </w:tc>
        <w:tc>
          <w:tcPr>
            <w:tcW w:w="991" w:type="dxa"/>
            <w:tcBorders/>
            <w:vAlign w:val="center"/>
          </w:tcPr>
          <w:p>
            <w:pPr>
              <w:pStyle w:val="TableContents"/>
              <w:bidi w:val="0"/>
              <w:spacing w:lineRule="auto" w:line="285" w:before="0" w:after="0"/>
              <w:ind w:left="0" w:right="0" w:hanging="0"/>
              <w:jc w:val="right"/>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bidi w:val="0"/>
              <w:spacing w:lineRule="auto" w:line="285" w:before="0" w:after="0"/>
              <w:ind w:left="0" w:right="0" w:hanging="0"/>
              <w:jc w:val="left"/>
              <w:rPr/>
            </w:pPr>
            <w:r>
              <w:rPr/>
              <w:t>​</w:t>
            </w:r>
          </w:p>
        </w:tc>
        <w:tc>
          <w:tcPr>
            <w:tcW w:w="8343"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r>
        <w:trPr/>
        <w:tc>
          <w:tcPr>
            <w:tcW w:w="9214" w:type="dxa"/>
            <w:gridSpan w:val="2"/>
            <w:tcBorders/>
            <w:vAlign w:val="center"/>
          </w:tcPr>
          <w:p>
            <w:pPr>
              <w:pStyle w:val="TableContents"/>
              <w:pBdr/>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18"/>
        </w:rPr>
      </w:pPr>
      <w:bookmarkStart w:id="32" w:name="PARTI_FINANCIALINFORMATION_121954"/>
      <w:bookmarkStart w:id="33" w:name="_44fe45de_94e6_4dea_b86d_2173252e9ccc"/>
      <w:bookmarkEnd w:id="32"/>
      <w:bookmarkEnd w:id="33"/>
      <w:r>
        <w:rPr>
          <w:rFonts w:ascii="Arial;Helvetica;sans-serif" w:hAnsi="Arial;Helvetica;sans-serif"/>
          <w:b/>
          <w:sz w:val="18"/>
        </w:rPr>
        <w:t>PART I. FINANCIAL INFORMATION</w:t>
      </w:r>
    </w:p>
    <w:p>
      <w:pPr>
        <w:pStyle w:val="TextBody"/>
        <w:bidi w:val="0"/>
        <w:spacing w:lineRule="auto" w:line="285" w:before="0" w:after="0"/>
        <w:ind w:left="0" w:right="0" w:hanging="0"/>
        <w:jc w:val="center"/>
        <w:rPr>
          <w:rFonts w:ascii="Arial;Helvetica;sans-serif" w:hAnsi="Arial;Helvetica;sans-serif"/>
          <w:b/>
          <w:sz w:val="18"/>
        </w:rPr>
      </w:pPr>
      <w:bookmarkStart w:id="34" w:name="ITEM1_FINANCIALSTATEMENTS_121955"/>
      <w:bookmarkEnd w:id="34"/>
      <w:r>
        <w:rPr>
          <w:rFonts w:ascii="Arial;Helvetica;sans-serif" w:hAnsi="Arial;Helvetica;sans-serif"/>
          <w:b/>
          <w:sz w:val="18"/>
        </w:rPr>
        <w:t>ITEM 1.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HOLDINGS, INC. AND SUBSIDIARIES</w:t>
      </w:r>
    </w:p>
    <w:p>
      <w:pPr>
        <w:pStyle w:val="TextBody"/>
        <w:bidi w:val="0"/>
        <w:spacing w:lineRule="auto" w:line="285" w:before="0" w:after="0"/>
        <w:ind w:left="0" w:right="0" w:hanging="0"/>
        <w:jc w:val="center"/>
        <w:rPr>
          <w:rFonts w:ascii="Arial;Helvetica;sans-serif" w:hAnsi="Arial;Helvetica;sans-serif"/>
          <w:b/>
          <w:sz w:val="18"/>
        </w:rPr>
      </w:pPr>
      <w:bookmarkStart w:id="35" w:name="ConsolidatedBalanceSheets_110353"/>
      <w:bookmarkEnd w:id="35"/>
      <w:r>
        <w:rPr>
          <w:rFonts w:ascii="Arial;Helvetica;sans-serif" w:hAnsi="Arial;Helvetica;sans-serif"/>
          <w:b/>
          <w:sz w:val="18"/>
        </w:rPr>
        <w:t>Consolidated Balance Sheets</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(Amounts in thousands, except share amounts)</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6" w:name="Tc_yZV8UIeVgUianDVy_VHOLg_52_5"/>
      <w:bookmarkStart w:id="37" w:name="Tc_WTloq43KFU2q9C70hcoLIg_52_2"/>
      <w:bookmarkStart w:id="38" w:name="Tc_3SSVXHmvA0u9CwCC4OzwBQ_52_0"/>
      <w:bookmarkStart w:id="39" w:name="Tc_JmnSBjYlZ0CvFNyubAuYAA_51_0"/>
      <w:bookmarkStart w:id="40" w:name="Tc_kFzsecrOT0CkdScuy8KaBw_50_0"/>
      <w:bookmarkStart w:id="41" w:name="Tc_y2qzjUBBZk-Y3xK195QOjg_49_0"/>
      <w:bookmarkStart w:id="42" w:name="Tc_QS6IG2G6B0KFI4ZcJKXKYg_48_0"/>
      <w:bookmarkStart w:id="43" w:name="Tc_CeztY4S3KUCL6P8iY5dyzQ_47_0"/>
      <w:bookmarkStart w:id="44" w:name="Tc_WOUTxlL1pEWmMzKKW_vbVw_46_0"/>
      <w:bookmarkStart w:id="45" w:name="Tc__D5Tet49R0S8iBBvK-31GQ_45_0"/>
      <w:bookmarkStart w:id="46" w:name="Tc_LquG2ij9T06YEbxzBNGvbw_44_0"/>
      <w:bookmarkStart w:id="47" w:name="Tc_dWHgmIRVs0aYMR-WLDPpEA_43_0"/>
      <w:bookmarkStart w:id="48" w:name="Tc_zINdWQ8pQkewxg1wL25bQA_41_0"/>
      <w:bookmarkStart w:id="49" w:name="Tc_R5mBVjG1hEKZYNJiEhvbXg_39_0"/>
      <w:bookmarkStart w:id="50" w:name="Tc_-kAYeVFocUKMkttq2nC9Jg_38_0"/>
      <w:bookmarkStart w:id="51" w:name="Tc_7AlH9LinHEmatz8mDMIFCw_37_0"/>
      <w:bookmarkStart w:id="52" w:name="Tc_9zNgMtn44kaiPUQGqC-Ifg_36_0"/>
      <w:bookmarkStart w:id="53" w:name="Tc_sm_jdLCxiEey2yMFQ11Jww_35_0"/>
      <w:bookmarkStart w:id="54" w:name="Tc_VA4Ax_uiaUutAMJ5zZBUzQ_34_0"/>
      <w:bookmarkStart w:id="55" w:name="Tc_vN9c6kAemUizj1djyB69Hg_33_0"/>
      <w:bookmarkStart w:id="56" w:name="Tc_N8-F_ty3MEmrj2u-EnDYRA_31_0"/>
      <w:bookmarkStart w:id="57" w:name="Tc_TtuDH9Bme0OHnCk9_1_65g_30_0"/>
      <w:bookmarkStart w:id="58" w:name="Tc_PLsNSMv0zUWdroA6lhYvig_29_0"/>
      <w:bookmarkStart w:id="59" w:name="Tc_vElRXaqviEmnxL_1iSJ_mw_28_0"/>
      <w:bookmarkStart w:id="60" w:name="Tc_yJn6v55InEiKT459ZHfNWQ_27_0"/>
      <w:bookmarkStart w:id="61" w:name="Tc_h5umRvVtUkGfKvTrZjgl-Q_26_0"/>
      <w:bookmarkStart w:id="62" w:name="Tc_rkfK5hJBDUmHmlCro37UzA_25_0"/>
      <w:bookmarkStart w:id="63" w:name="Tc_qhSMGC9oFkiTX6ZJqTevUA_24_5"/>
      <w:bookmarkStart w:id="64" w:name="Tc_1x3IeOD1oE6kXebrvIi-lA_24_2"/>
      <w:bookmarkStart w:id="65" w:name="Tc_uC3WEdMhmEGLiHGjFTjMfw_24_0"/>
      <w:bookmarkStart w:id="66" w:name="Tc_rqLP3uAvwUeD0Ngxnl0ayQ_23_0"/>
      <w:bookmarkStart w:id="67" w:name="Tc_ganOI14TN0yGnSnaRz9U0g_22_0"/>
      <w:bookmarkStart w:id="68" w:name="Tc_lZUzJpQItkighnLdi73kgg_20_5"/>
      <w:bookmarkStart w:id="69" w:name="Tc_1dH4enLjqESdF9ab5JNDnw_20_2"/>
      <w:bookmarkStart w:id="70" w:name="Tc_5mVax-lqSkq2V59M6tMT_A_20_0"/>
      <w:bookmarkStart w:id="71" w:name="Tc_LG1tTGSxwkmM9luvNkUKbg_19_0"/>
      <w:bookmarkStart w:id="72" w:name="Tc_N8VcBbIZ5UC1cACPQOSHSg_18_0"/>
      <w:bookmarkStart w:id="73" w:name="Tc_aXBZ6_LcmUOh2iqUQKxlzA_17_0"/>
      <w:bookmarkStart w:id="74" w:name="Tc_xVNBk_OIt0K7J6B5EJiQRA_16_0"/>
      <w:bookmarkStart w:id="75" w:name="Tc_kT01o50p90ekSFvfgn5mpg_15_0"/>
      <w:bookmarkStart w:id="76" w:name="Tc_LUGGdUxFNkygfW-56qMViw_14_0"/>
      <w:bookmarkStart w:id="77" w:name="Tc_OAw4rGFIPkO2SaYugy6I5A_13_0"/>
      <w:bookmarkStart w:id="78" w:name="Tc_PnRb-0dCh0mJsT-6wKvSig_12_0"/>
      <w:bookmarkStart w:id="79" w:name="Tc_-9QtjLQ_i0miIRd5CJugIA_11_0"/>
      <w:bookmarkStart w:id="80" w:name="Tc_IIRJEVuy8kiCwWa5LwRQMg_9_0"/>
      <w:bookmarkStart w:id="81" w:name="Tc_owKpKMeWu0yU378hDiALSA_8_0"/>
      <w:bookmarkStart w:id="82" w:name="Tc_-EOlD34-OUKUCJUGgE0wZg_7_0"/>
      <w:bookmarkStart w:id="83" w:name="Tc_iQjNNehRe0Kt5oGCoWncTQ_6_0"/>
      <w:bookmarkStart w:id="84" w:name="Tc_Yi1jO8ym4kKtuuPQhZLtcA_5_5"/>
      <w:bookmarkStart w:id="85" w:name="Tc_fiTxw1BtKkSfgLdub85eJg_5_2"/>
      <w:bookmarkStart w:id="86" w:name="Tc_ZyfJ_kpBqE6cy621D4bIcg_5_0"/>
      <w:bookmarkStart w:id="87" w:name="Tc_7HOchJ1XEkSqfHtp-M9wug_4_0"/>
      <w:bookmarkStart w:id="88" w:name="Tc_KHfOgU59wkOyMlxrHlOuGQ_3_0"/>
      <w:bookmarkStart w:id="89" w:name="Tc_f3wCAq9WMEGOFIsDkGwPgw_2_5"/>
      <w:bookmarkStart w:id="90" w:name="Tc_LJMgXs3wP0GN2Yr5x6Zm0w_2_2"/>
      <w:bookmarkStart w:id="91" w:name="Tc_gNpqYiNlmUyWCjLSG6wIdg_1_5"/>
      <w:bookmarkStart w:id="92" w:name="Tc_2l6BrfaXE0WNuS2rAaBBBw_1_2"/>
      <w:bookmarkStart w:id="93" w:name="_62f6e044_215d_41e1_ad4f_59ce9b3b012e"/>
      <w:bookmarkStart w:id="94" w:name="_tblColumn_1_1"/>
      <w:bookmarkStart w:id="95" w:name="_tblInd_1_0"/>
      <w:bookmarkStart w:id="96" w:name="Tc_yZV8UIeVgUianDVy_VHOLg_52_5"/>
      <w:bookmarkStart w:id="97" w:name="Tc_WTloq43KFU2q9C70hcoLIg_52_2"/>
      <w:bookmarkStart w:id="98" w:name="Tc_3SSVXHmvA0u9CwCC4OzwBQ_52_0"/>
      <w:bookmarkStart w:id="99" w:name="Tc_JmnSBjYlZ0CvFNyubAuYAA_51_0"/>
      <w:bookmarkStart w:id="100" w:name="Tc_kFzsecrOT0CkdScuy8KaBw_50_0"/>
      <w:bookmarkStart w:id="101" w:name="Tc_y2qzjUBBZk-Y3xK195QOjg_49_0"/>
      <w:bookmarkStart w:id="102" w:name="Tc_QS6IG2G6B0KFI4ZcJKXKYg_48_0"/>
      <w:bookmarkStart w:id="103" w:name="Tc_CeztY4S3KUCL6P8iY5dyzQ_47_0"/>
      <w:bookmarkStart w:id="104" w:name="Tc_WOUTxlL1pEWmMzKKW_vbVw_46_0"/>
      <w:bookmarkStart w:id="105" w:name="Tc__D5Tet49R0S8iBBvK-31GQ_45_0"/>
      <w:bookmarkStart w:id="106" w:name="Tc_LquG2ij9T06YEbxzBNGvbw_44_0"/>
      <w:bookmarkStart w:id="107" w:name="Tc_dWHgmIRVs0aYMR-WLDPpEA_43_0"/>
      <w:bookmarkStart w:id="108" w:name="Tc_zINdWQ8pQkewxg1wL25bQA_41_0"/>
      <w:bookmarkStart w:id="109" w:name="Tc_R5mBVjG1hEKZYNJiEhvbXg_39_0"/>
      <w:bookmarkStart w:id="110" w:name="Tc_-kAYeVFocUKMkttq2nC9Jg_38_0"/>
      <w:bookmarkStart w:id="111" w:name="Tc_7AlH9LinHEmatz8mDMIFCw_37_0"/>
      <w:bookmarkStart w:id="112" w:name="Tc_9zNgMtn44kaiPUQGqC-Ifg_36_0"/>
      <w:bookmarkStart w:id="113" w:name="Tc_sm_jdLCxiEey2yMFQ11Jww_35_0"/>
      <w:bookmarkStart w:id="114" w:name="Tc_VA4Ax_uiaUutAMJ5zZBUzQ_34_0"/>
      <w:bookmarkStart w:id="115" w:name="Tc_vN9c6kAemUizj1djyB69Hg_33_0"/>
      <w:bookmarkStart w:id="116" w:name="Tc_N8-F_ty3MEmrj2u-EnDYRA_31_0"/>
      <w:bookmarkStart w:id="117" w:name="Tc_TtuDH9Bme0OHnCk9_1_65g_30_0"/>
      <w:bookmarkStart w:id="118" w:name="Tc_PLsNSMv0zUWdroA6lhYvig_29_0"/>
      <w:bookmarkStart w:id="119" w:name="Tc_vElRXaqviEmnxL_1iSJ_mw_28_0"/>
      <w:bookmarkStart w:id="120" w:name="Tc_yJn6v55InEiKT459ZHfNWQ_27_0"/>
      <w:bookmarkStart w:id="121" w:name="Tc_h5umRvVtUkGfKvTrZjgl-Q_26_0"/>
      <w:bookmarkStart w:id="122" w:name="Tc_rkfK5hJBDUmHmlCro37UzA_25_0"/>
      <w:bookmarkStart w:id="123" w:name="Tc_qhSMGC9oFkiTX6ZJqTevUA_24_5"/>
      <w:bookmarkStart w:id="124" w:name="Tc_1x3IeOD1oE6kXebrvIi-lA_24_2"/>
      <w:bookmarkStart w:id="125" w:name="Tc_uC3WEdMhmEGLiHGjFTjMfw_24_0"/>
      <w:bookmarkStart w:id="126" w:name="Tc_rqLP3uAvwUeD0Ngxnl0ayQ_23_0"/>
      <w:bookmarkStart w:id="127" w:name="Tc_ganOI14TN0yGnSnaRz9U0g_22_0"/>
      <w:bookmarkStart w:id="128" w:name="Tc_lZUzJpQItkighnLdi73kgg_20_5"/>
      <w:bookmarkStart w:id="129" w:name="Tc_1dH4enLjqESdF9ab5JNDnw_20_2"/>
      <w:bookmarkStart w:id="130" w:name="Tc_5mVax-lqSkq2V59M6tMT_A_20_0"/>
      <w:bookmarkStart w:id="131" w:name="Tc_LG1tTGSxwkmM9luvNkUKbg_19_0"/>
      <w:bookmarkStart w:id="132" w:name="Tc_N8VcBbIZ5UC1cACPQOSHSg_18_0"/>
      <w:bookmarkStart w:id="133" w:name="Tc_aXBZ6_LcmUOh2iqUQKxlzA_17_0"/>
      <w:bookmarkStart w:id="134" w:name="Tc_xVNBk_OIt0K7J6B5EJiQRA_16_0"/>
      <w:bookmarkStart w:id="135" w:name="Tc_kT01o50p90ekSFvfgn5mpg_15_0"/>
      <w:bookmarkStart w:id="136" w:name="Tc_LUGGdUxFNkygfW-56qMViw_14_0"/>
      <w:bookmarkStart w:id="137" w:name="Tc_OAw4rGFIPkO2SaYugy6I5A_13_0"/>
      <w:bookmarkStart w:id="138" w:name="Tc_PnRb-0dCh0mJsT-6wKvSig_12_0"/>
      <w:bookmarkStart w:id="139" w:name="Tc_-9QtjLQ_i0miIRd5CJugIA_11_0"/>
      <w:bookmarkStart w:id="140" w:name="Tc_IIRJEVuy8kiCwWa5LwRQMg_9_0"/>
      <w:bookmarkStart w:id="141" w:name="Tc_owKpKMeWu0yU378hDiALSA_8_0"/>
      <w:bookmarkStart w:id="142" w:name="Tc_-EOlD34-OUKUCJUGgE0wZg_7_0"/>
      <w:bookmarkStart w:id="143" w:name="Tc_iQjNNehRe0Kt5oGCoWncTQ_6_0"/>
      <w:bookmarkStart w:id="144" w:name="Tc_Yi1jO8ym4kKtuuPQhZLtcA_5_5"/>
      <w:bookmarkStart w:id="145" w:name="Tc_fiTxw1BtKkSfgLdub85eJg_5_2"/>
      <w:bookmarkStart w:id="146" w:name="Tc_ZyfJ_kpBqE6cy621D4bIcg_5_0"/>
      <w:bookmarkStart w:id="147" w:name="Tc_7HOchJ1XEkSqfHtp-M9wug_4_0"/>
      <w:bookmarkStart w:id="148" w:name="Tc_KHfOgU59wkOyMlxrHlOuGQ_3_0"/>
      <w:bookmarkStart w:id="149" w:name="Tc_f3wCAq9WMEGOFIsDkGwPgw_2_5"/>
      <w:bookmarkStart w:id="150" w:name="Tc_LJMgXs3wP0GN2Yr5x6Zm0w_2_2"/>
      <w:bookmarkStart w:id="151" w:name="Tc_gNpqYiNlmUyWCjLSG6wIdg_1_5"/>
      <w:bookmarkStart w:id="152" w:name="Tc_2l6BrfaXE0WNuS2rAaBBBw_1_2"/>
      <w:bookmarkStart w:id="153" w:name="_62f6e044_215d_41e1_ad4f_59ce9b3b012e"/>
      <w:bookmarkStart w:id="154" w:name="_tblColumn_1_1"/>
      <w:bookmarkStart w:id="155" w:name="_tblInd_1_0"/>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tbl>
      <w:tblPr>
        <w:tblW w:w="10205" w:type="dxa"/>
        <w:jc w:val="left"/>
        <w:tblInd w:w="0" w:type="dxa"/>
        <w:tblLayout w:type="fixed"/>
        <w:tblCellMar>
          <w:top w:w="0" w:type="dxa"/>
          <w:left w:w="0" w:type="dxa"/>
          <w:bottom w:w="0" w:type="dxa"/>
          <w:right w:w="0" w:type="dxa"/>
        </w:tblCellMar>
      </w:tblPr>
      <w:tblGrid>
        <w:gridCol w:w="7129"/>
        <w:gridCol w:w="346"/>
        <w:gridCol w:w="196"/>
        <w:gridCol w:w="826"/>
        <w:gridCol w:w="346"/>
        <w:gridCol w:w="223"/>
        <w:gridCol w:w="946"/>
        <w:gridCol w:w="193"/>
      </w:tblGrid>
      <w:tr>
        <w:trPr/>
        <w:tc>
          <w:tcPr>
            <w:tcW w:w="7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26915" cy="175260"/>
                      <wp:effectExtent l="0" t="0" r="0" b="0"/>
                      <wp:wrapNone/>
                      <wp:docPr id="4" name="Frame4"/>
                      <a:graphic xmlns:a="http://schemas.openxmlformats.org/drawingml/2006/main">
                        <a:graphicData uri="http://schemas.microsoft.com/office/word/2010/wordprocessingShape">
                          <wps:wsp>
                            <wps:cNvSpPr txBox="1"/>
                            <wps:spPr>
                              <a:xfrm>
                                <a:off x="0" y="0"/>
                                <a:ext cx="4526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175260"/>
                      <wp:effectExtent l="0" t="0" r="0" b="0"/>
                      <wp:wrapNone/>
                      <wp:docPr id="7"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1605" cy="175260"/>
                      <wp:effectExtent l="0" t="0" r="0" b="0"/>
                      <wp:wrapNone/>
                      <wp:docPr id="9" name="Frame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00710" cy="175260"/>
                      <wp:effectExtent l="0" t="0" r="0" b="0"/>
                      <wp:wrapNone/>
                      <wp:docPr id="10" name="Frame1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2555" cy="175260"/>
                      <wp:effectExtent l="0" t="0" r="0" b="0"/>
                      <wp:wrapNone/>
                      <wp:docPr id="11" name="Frame11"/>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1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2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March 31, </w:t>
            </w:r>
          </w:p>
        </w:tc>
        <w:tc>
          <w:tcPr>
            <w:tcW w:w="346" w:type="dxa"/>
            <w:tcBorders/>
            <w:vAlign w:val="center"/>
          </w:tcPr>
          <w:p>
            <w:pPr>
              <w:pStyle w:val="TableContents"/>
              <w:bidi w:val="0"/>
              <w:spacing w:lineRule="auto" w:line="285" w:before="0" w:after="0"/>
              <w:ind w:left="0" w:right="0" w:hanging="0"/>
              <w:jc w:val="left"/>
              <w:rPr/>
            </w:pPr>
            <w:r>
              <w:rPr/>
              <w:t>​</w:t>
            </w:r>
          </w:p>
        </w:tc>
        <w:tc>
          <w:tcPr>
            <w:tcW w:w="1169"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 xml:space="preserve">December 31, </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71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11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7"/>
              </w:rPr>
            </w:pPr>
            <w:r>
              <w:rPr>
                <w:rFonts w:ascii="Arial;Helvetica;sans-serif" w:hAnsi="Arial;Helvetica;sans-serif"/>
                <w:b/>
                <w:sz w:val="17"/>
              </w:rPr>
              <w:t>2025</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88,747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82,901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Accounts receivable, net of allowance of $2,333</w:t>
            </w:r>
            <w:r>
              <w:rPr>
                <w:rFonts w:ascii="Arial;Helvetica;sans-serif" w:hAnsi="Arial;Helvetica;sans-serif"/>
                <w:sz w:val="16"/>
              </w:rPr>
              <w:t xml:space="preserve"> </w:t>
            </w:r>
            <w:r>
              <w:rPr>
                <w:rFonts w:ascii="Arial;Helvetica;sans-serif" w:hAnsi="Arial;Helvetica;sans-serif"/>
                <w:sz w:val="17"/>
              </w:rPr>
              <w:t>and $4,908, respectively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429,447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455,829</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95,068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124,006</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Income and other tax receivables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8,772</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10,615</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622,034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673,351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Long-term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Property, plant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104,478</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111,778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Operating lease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75,760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86,064</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Goodwill</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368,185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368,678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Deferred tax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6,530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6,581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intangible assets,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125,665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133,688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Income and other tax receivables, long-term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8,536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8,595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101,427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110,347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long-term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790,581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825,731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1,412,615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1,499,082</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65,753</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72,637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Accrued employee compensation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113,039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155,400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17,395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19,674</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Income tax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15,959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11,959</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Deferred revenue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60,211</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58,828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Current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32,044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34,188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4,599</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3,266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309,000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355,952</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Line of credit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889,000</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905,000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Deferred tax liabilities,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1,225</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Non-current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52,324</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61,170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Other long-term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59,360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62,832</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1,001,857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1,030,227</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1,310,857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1,386,179</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Commitments and contingencies (Note 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7"/>
              </w:rPr>
            </w:pPr>
            <w:r>
              <w:rPr>
                <w:rFonts w:ascii="Arial;Helvetica;sans-serif" w:hAnsi="Arial;Helvetica;sans-serif"/>
                <w:b/>
                <w:sz w:val="17"/>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8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Preferred stock; $0.01</w:t>
            </w:r>
            <w:r>
              <w:rPr>
                <w:rFonts w:ascii="Arial;Helvetica;sans-serif" w:hAnsi="Arial;Helvetica;sans-serif"/>
                <w:sz w:val="16"/>
              </w:rPr>
              <w:t xml:space="preserve"> </w:t>
            </w:r>
            <w:r>
              <w:rPr>
                <w:rFonts w:ascii="Arial;Helvetica;sans-serif" w:hAnsi="Arial;Helvetica;sans-serif"/>
                <w:sz w:val="17"/>
              </w:rPr>
              <w:t>par value; 10,000,000</w:t>
            </w:r>
            <w:r>
              <w:rPr>
                <w:rFonts w:ascii="Arial;Helvetica;sans-serif" w:hAnsi="Arial;Helvetica;sans-serif"/>
                <w:sz w:val="16"/>
              </w:rPr>
              <w:t xml:space="preserve"> </w:t>
            </w:r>
            <w:r>
              <w:rPr>
                <w:rFonts w:ascii="Arial;Helvetica;sans-serif" w:hAnsi="Arial;Helvetica;sans-serif"/>
                <w:sz w:val="17"/>
              </w:rPr>
              <w:t>shares authorized; zero</w:t>
            </w:r>
            <w:r>
              <w:rPr>
                <w:rFonts w:ascii="Arial;Helvetica;sans-serif" w:hAnsi="Arial;Helvetica;sans-serif"/>
                <w:sz w:val="16"/>
              </w:rPr>
              <w:t xml:space="preserve"> </w:t>
            </w:r>
            <w:r>
              <w:rPr>
                <w:rFonts w:ascii="Arial;Helvetica;sans-serif" w:hAnsi="Arial;Helvetica;sans-serif"/>
                <w:sz w:val="17"/>
              </w:rPr>
              <w:t>shares outstanding as of March 31, 2026 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17"/>
              </w:rPr>
              <w:t>Common stock; $0.01</w:t>
            </w:r>
            <w:r>
              <w:rPr>
                <w:rFonts w:ascii="Arial;Helvetica;sans-serif" w:hAnsi="Arial;Helvetica;sans-serif"/>
                <w:sz w:val="20"/>
              </w:rPr>
              <w:t xml:space="preserve"> </w:t>
            </w:r>
            <w:r>
              <w:rPr>
                <w:rFonts w:ascii="Arial;Helvetica;sans-serif" w:hAnsi="Arial;Helvetica;sans-serif"/>
                <w:sz w:val="17"/>
              </w:rPr>
              <w:t>par value; 150,000,000</w:t>
            </w:r>
            <w:r>
              <w:rPr>
                <w:rFonts w:ascii="Arial;Helvetica;sans-serif" w:hAnsi="Arial;Helvetica;sans-serif"/>
                <w:sz w:val="20"/>
              </w:rPr>
              <w:t xml:space="preserve"> </w:t>
            </w:r>
            <w:r>
              <w:rPr>
                <w:rFonts w:ascii="Arial;Helvetica;sans-serif" w:hAnsi="Arial;Helvetica;sans-serif"/>
                <w:sz w:val="17"/>
              </w:rPr>
              <w:t>shares authorized; 48,611,167</w:t>
            </w:r>
            <w:r>
              <w:rPr>
                <w:rFonts w:ascii="Arial;Helvetica;sans-serif" w:hAnsi="Arial;Helvetica;sans-serif"/>
                <w:sz w:val="20"/>
              </w:rPr>
              <w:t xml:space="preserve"> </w:t>
            </w:r>
            <w:r>
              <w:rPr>
                <w:rFonts w:ascii="Arial;Helvetica;sans-serif" w:hAnsi="Arial;Helvetica;sans-serif"/>
                <w:sz w:val="17"/>
              </w:rPr>
              <w:t>and 48,560,973</w:t>
            </w:r>
            <w:r>
              <w:rPr>
                <w:rFonts w:ascii="Arial;Helvetica;sans-serif" w:hAnsi="Arial;Helvetica;sans-serif"/>
                <w:sz w:val="20"/>
              </w:rPr>
              <w:t xml:space="preserve"> </w:t>
            </w:r>
            <w:r>
              <w:rPr>
                <w:rFonts w:ascii="Arial;Helvetica;sans-serif" w:hAnsi="Arial;Helvetica;sans-serif"/>
                <w:sz w:val="17"/>
              </w:rPr>
              <w:t xml:space="preserve">shares outstanding as of </w:t>
            </w:r>
            <w:r>
              <w:rPr>
                <w:rFonts w:ascii="Arial;Helvetica;sans-serif" w:hAnsi="Arial;Helvetica;sans-serif"/>
                <w:b w:val="false"/>
                <w:i w:val="false"/>
                <w:caps w:val="false"/>
                <w:smallCaps w:val="false"/>
                <w:sz w:val="17"/>
              </w:rPr>
              <w:t>March 31, 2026</w:t>
            </w:r>
            <w:r>
              <w:rPr>
                <w:rFonts w:ascii="Arial;Helvetica;sans-serif" w:hAnsi="Arial;Helvetica;sans-serif"/>
                <w:sz w:val="20"/>
              </w:rPr>
              <w:t xml:space="preserve"> </w:t>
            </w:r>
            <w:r>
              <w:rPr>
                <w:rFonts w:ascii="Arial;Helvetica;sans-serif" w:hAnsi="Arial;Helvetica;sans-serif"/>
                <w:sz w:val="17"/>
              </w:rPr>
              <w:t xml:space="preserve">and </w:t>
            </w:r>
            <w:r>
              <w:rPr>
                <w:rFonts w:ascii="Arial;Helvetica;sans-serif" w:hAnsi="Arial;Helvetica;sans-serif"/>
                <w:b w:val="false"/>
                <w:i w:val="false"/>
                <w:caps w:val="false"/>
                <w:smallCaps w:val="false"/>
                <w:sz w:val="17"/>
              </w:rPr>
              <w:t>December 31, 2025</w:t>
            </w:r>
            <w:r>
              <w:rPr>
                <w:rFonts w:ascii="Arial;Helvetica;sans-serif" w:hAnsi="Arial;Helvetica;sans-serif"/>
                <w:sz w:val="17"/>
              </w:rPr>
              <w:t>,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486</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Additional paid-in capital</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435,047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432,268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7"/>
              </w:rPr>
              <w:t>Treasury stock at cost: 34,328,112</w:t>
            </w:r>
            <w:r>
              <w:rPr>
                <w:rFonts w:ascii="Arial;Helvetica;sans-serif" w:hAnsi="Arial;Helvetica;sans-serif"/>
                <w:sz w:val="16"/>
              </w:rPr>
              <w:t xml:space="preserve"> </w:t>
            </w:r>
            <w:r>
              <w:rPr>
                <w:rFonts w:ascii="Arial;Helvetica;sans-serif" w:hAnsi="Arial;Helvetica;sans-serif"/>
                <w:sz w:val="17"/>
              </w:rPr>
              <w:t>and 34,328,112</w:t>
            </w:r>
            <w:r>
              <w:rPr>
                <w:rFonts w:ascii="Arial;Helvetica;sans-serif" w:hAnsi="Arial;Helvetica;sans-serif"/>
                <w:sz w:val="16"/>
              </w:rPr>
              <w:t xml:space="preserve"> </w:t>
            </w:r>
            <w:r>
              <w:rPr>
                <w:rFonts w:ascii="Arial;Helvetica;sans-serif" w:hAnsi="Arial;Helvetica;sans-serif"/>
                <w:sz w:val="17"/>
              </w:rPr>
              <w:t>shares as of March 31, 2026 and December 31, 2025,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(584,900)</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Accumulated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82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(113,657)</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(106,938)</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Retained earnings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82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346,542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354,151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Noncontrolling interest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18,239</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17,836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1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101,758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112,903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7129" w:type="dxa"/>
            <w:tcBorders/>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1,412,615</w:t>
            </w:r>
          </w:p>
        </w:tc>
        <w:tc>
          <w:tcPr>
            <w:tcW w:w="346"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7"/>
              </w:rPr>
            </w:pPr>
            <w:r>
              <w:rPr>
                <w:rFonts w:ascii="Arial;Helvetica;sans-serif" w:hAnsi="Arial;Helvetica;sans-serif"/>
                <w:sz w:val="17"/>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7"/>
              </w:rPr>
            </w:pPr>
            <w:r>
              <w:rPr>
                <w:rFonts w:ascii="Arial;Helvetica;sans-serif" w:hAnsi="Arial;Helvetica;sans-serif"/>
                <w:sz w:val="17"/>
              </w:rPr>
              <w:t>1,499,082</w:t>
            </w:r>
          </w:p>
        </w:tc>
        <w:tc>
          <w:tcPr>
            <w:tcW w:w="19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18"/>
        </w:rPr>
      </w:pPr>
      <w:bookmarkStart w:id="156" w:name="_ced4e6c5_38e4_4701_9fa6_fce07b025208"/>
      <w:bookmarkEnd w:id="156"/>
      <w:r>
        <w:rPr>
          <w:rFonts w:ascii="Arial;Helvetica;sans-serif" w:hAnsi="Arial;Helvetica;sans-serif"/>
          <w:b/>
          <w:sz w:val="18"/>
        </w:rPr>
        <w:t>TTEC HOLDINGS, INC. AND SUBSIDIARIES</w:t>
      </w:r>
    </w:p>
    <w:p>
      <w:pPr>
        <w:pStyle w:val="TextBody"/>
        <w:bidi w:val="0"/>
        <w:spacing w:lineRule="auto" w:line="285" w:before="0" w:after="0"/>
        <w:ind w:left="0" w:right="0" w:hanging="0"/>
        <w:jc w:val="center"/>
        <w:rPr>
          <w:rFonts w:ascii="Arial;Helvetica;sans-serif" w:hAnsi="Arial;Helvetica;sans-serif"/>
          <w:b/>
          <w:sz w:val="18"/>
        </w:rPr>
      </w:pPr>
      <w:bookmarkStart w:id="157" w:name="ConsolidatedStatementsofComprehe_110355"/>
      <w:bookmarkEnd w:id="157"/>
      <w:r>
        <w:rPr>
          <w:rFonts w:ascii="Arial;Helvetica;sans-serif" w:hAnsi="Arial;Helvetica;sans-serif"/>
          <w:b/>
          <w:sz w:val="18"/>
        </w:rPr>
        <w:t>Consolidated Statements of Comprehensive Income (Loss)</w:t>
      </w:r>
    </w:p>
    <w:p>
      <w:pPr>
        <w:pStyle w:val="TextBody"/>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(Amounts in thousands, except per share amounts)</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58" w:name="Tc_dNJ9sg7x7UaOEccAepB1ZQ_49_5"/>
      <w:bookmarkStart w:id="159" w:name="Tc_rJLzc0FvJE-pFPzr1BiiEA_49_2"/>
      <w:bookmarkStart w:id="160" w:name="Tc_ztOB8p6mG0C0sGmg0wLQtg_49_0"/>
      <w:bookmarkStart w:id="161" w:name="Tc_ZL1pHwK36k6FqWVURHI-iA_48_5"/>
      <w:bookmarkStart w:id="162" w:name="Tc_hXXYLwP2lkSyqbuKyOKqrA_48_2"/>
      <w:bookmarkStart w:id="163" w:name="Tc_ymQExs06nEib-WXWR8Knzg_48_0"/>
      <w:bookmarkStart w:id="164" w:name="Tc_eYWcWFbsK0uHYrUtiWIr0w_47_0"/>
      <w:bookmarkStart w:id="165" w:name="Tc_zpqzoLsCEkyv6eEOGelz-A_45_0"/>
      <w:bookmarkStart w:id="166" w:name="Tc_BlTX-N_VokKVhEq83HhGig_44_0"/>
      <w:bookmarkStart w:id="167" w:name="Tc_E9bBvMm1B0CMq8Cln9c2FQ_43_0"/>
      <w:bookmarkStart w:id="168" w:name="Tc_sHeTSHB_bEOQAQVqCqm89A_41_5"/>
      <w:bookmarkStart w:id="169" w:name="Tc_tji8A7Dp0UGuy_YVAXjpdg_41_2"/>
      <w:bookmarkStart w:id="170" w:name="Tc__rOA6kB4Rkaz14k8xivnFA_41_0"/>
      <w:bookmarkStart w:id="171" w:name="Tc_KO4oOfgfkUKM0RR_SIa1_w_39_0"/>
      <w:bookmarkStart w:id="172" w:name="Tc_gvYifzpylU21Xw-t-MmM2g_37_0"/>
      <w:bookmarkStart w:id="173" w:name="Tc_ocOGLrLx7U2GGI-ELcDzYg_36_0"/>
      <w:bookmarkStart w:id="174" w:name="Tc_pLrrkjIoAU-sNwLnJQ2NOg_35_0"/>
      <w:bookmarkStart w:id="175" w:name="Tc_q5QL-UD3mUeFGbUMrE_eHg_34_0"/>
      <w:bookmarkStart w:id="176" w:name="Tc_EJWb6Pd4Kk27Np5at93r0Q_33_0"/>
      <w:bookmarkStart w:id="177" w:name="Tc_adPme7mPBkickDBsMe0ESw_32_5"/>
      <w:bookmarkStart w:id="178" w:name="Tc_cTm9ehRdB0G_aTnbkB2voQ_32_2"/>
      <w:bookmarkStart w:id="179" w:name="Tc_H2QXaYG4lkW_abiz5h4qKg_32_0"/>
      <w:bookmarkStart w:id="180" w:name="Tc_PKPtNbhLVEeArEjdH14tdw_31_0"/>
      <w:bookmarkStart w:id="181" w:name="Tc_NTdFS8v5zEOBhLAnrYJiOQ_29_5"/>
      <w:bookmarkStart w:id="182" w:name="Tc_K5c_Z79El0iwnND_dK2tAA_29_2"/>
      <w:bookmarkStart w:id="183" w:name="Tc_biM4IJmTHEmLG3MSiFpzNQ_29_0"/>
      <w:bookmarkStart w:id="184" w:name="Tc_9QusVhy3ukyRs-p50xiloA_27_0"/>
      <w:bookmarkStart w:id="185" w:name="Tc_ZzTjQdc-00iQDk4f4Qbtew_25_0"/>
      <w:bookmarkStart w:id="186" w:name="Tc_IYBruToztkOMElrcRjAmXg_23_0"/>
      <w:bookmarkStart w:id="187" w:name="Tc_3zB2rIlGxESHHBNyp54B-Q_21_0"/>
      <w:bookmarkStart w:id="188" w:name="Tc_ThH_ndl710a77h4Na3qHBg_19_0"/>
      <w:bookmarkStart w:id="189" w:name="Tc_HNIrO67WBEu90Q7u2ktXsQ_18_0"/>
      <w:bookmarkStart w:id="190" w:name="Tc_PzZJOxJOtkWnREJf5I6E4g_17_0"/>
      <w:bookmarkStart w:id="191" w:name="Tc_izk6e3qjgkeaZyhZb8FKYQ_16_0"/>
      <w:bookmarkStart w:id="192" w:name="Tc_pbY49ZpZZEKuNzPX2XXAMg_15_0"/>
      <w:bookmarkStart w:id="193" w:name="Tc_IpesNINhSkKyxfvsRmwJQQ_13_0"/>
      <w:bookmarkStart w:id="194" w:name="Tc_-QNdnFtGPku1fmkL3-yojg_11_0"/>
      <w:bookmarkStart w:id="195" w:name="Tc_KUzFBmmvt0yyG8YRuxnXFw_10_0"/>
      <w:bookmarkStart w:id="196" w:name="Tc_siGklDtF10uUkltpxiuq7g_9_0"/>
      <w:bookmarkStart w:id="197" w:name="Tc_7I3qwuMNIk6GOdO-2jWHQw_8_0"/>
      <w:bookmarkStart w:id="198" w:name="Tc_ITbY-EGuj0emGupTrFQ_Hw_7_0"/>
      <w:bookmarkStart w:id="199" w:name="Tc_EBFQsKQemEaGhGK4klAR8w_6_0"/>
      <w:bookmarkStart w:id="200" w:name="Tc_k2_Mt476mUCcKfPc2Cc9CQ_5_0"/>
      <w:bookmarkStart w:id="201" w:name="Tc_o9fllAghm0SHmrjl8lsusQ_3_5"/>
      <w:bookmarkStart w:id="202" w:name="Tc_ic7Yx2wSz0mdKoBTyA4lUw_3_2"/>
      <w:bookmarkStart w:id="203" w:name="Tc_NkkOH1kmdE6VjNpaUls01w_2_5"/>
      <w:bookmarkStart w:id="204" w:name="Tc_fbyc2F6f1UC-d2mKTzXJng_2_2"/>
      <w:bookmarkStart w:id="205" w:name="Tc_cerfRblQPUqsU-CYOQW5pQ_1_2"/>
      <w:bookmarkStart w:id="206" w:name="_276508ff_2809_4c15_80f1_f7926ed7b529"/>
      <w:bookmarkStart w:id="207" w:name="Tc_dNJ9sg7x7UaOEccAepB1ZQ_49_5"/>
      <w:bookmarkStart w:id="208" w:name="Tc_rJLzc0FvJE-pFPzr1BiiEA_49_2"/>
      <w:bookmarkStart w:id="209" w:name="Tc_ztOB8p6mG0C0sGmg0wLQtg_49_0"/>
      <w:bookmarkStart w:id="210" w:name="Tc_ZL1pHwK36k6FqWVURHI-iA_48_5"/>
      <w:bookmarkStart w:id="211" w:name="Tc_hXXYLwP2lkSyqbuKyOKqrA_48_2"/>
      <w:bookmarkStart w:id="212" w:name="Tc_ymQExs06nEib-WXWR8Knzg_48_0"/>
      <w:bookmarkStart w:id="213" w:name="Tc_eYWcWFbsK0uHYrUtiWIr0w_47_0"/>
      <w:bookmarkStart w:id="214" w:name="Tc_zpqzoLsCEkyv6eEOGelz-A_45_0"/>
      <w:bookmarkStart w:id="215" w:name="Tc_BlTX-N_VokKVhEq83HhGig_44_0"/>
      <w:bookmarkStart w:id="216" w:name="Tc_E9bBvMm1B0CMq8Cln9c2FQ_43_0"/>
      <w:bookmarkStart w:id="217" w:name="Tc_sHeTSHB_bEOQAQVqCqm89A_41_5"/>
      <w:bookmarkStart w:id="218" w:name="Tc_tji8A7Dp0UGuy_YVAXjpdg_41_2"/>
      <w:bookmarkStart w:id="219" w:name="Tc__rOA6kB4Rkaz14k8xivnFA_41_0"/>
      <w:bookmarkStart w:id="220" w:name="Tc_KO4oOfgfkUKM0RR_SIa1_w_39_0"/>
      <w:bookmarkStart w:id="221" w:name="Tc_gvYifzpylU21Xw-t-MmM2g_37_0"/>
      <w:bookmarkStart w:id="222" w:name="Tc_ocOGLrLx7U2GGI-ELcDzYg_36_0"/>
      <w:bookmarkStart w:id="223" w:name="Tc_pLrrkjIoAU-sNwLnJQ2NOg_35_0"/>
      <w:bookmarkStart w:id="224" w:name="Tc_q5QL-UD3mUeFGbUMrE_eHg_34_0"/>
      <w:bookmarkStart w:id="225" w:name="Tc_EJWb6Pd4Kk27Np5at93r0Q_33_0"/>
      <w:bookmarkStart w:id="226" w:name="Tc_adPme7mPBkickDBsMe0ESw_32_5"/>
      <w:bookmarkStart w:id="227" w:name="Tc_cTm9ehRdB0G_aTnbkB2voQ_32_2"/>
      <w:bookmarkStart w:id="228" w:name="Tc_H2QXaYG4lkW_abiz5h4qKg_32_0"/>
      <w:bookmarkStart w:id="229" w:name="Tc_PKPtNbhLVEeArEjdH14tdw_31_0"/>
      <w:bookmarkStart w:id="230" w:name="Tc_NTdFS8v5zEOBhLAnrYJiOQ_29_5"/>
      <w:bookmarkStart w:id="231" w:name="Tc_K5c_Z79El0iwnND_dK2tAA_29_2"/>
      <w:bookmarkStart w:id="232" w:name="Tc_biM4IJmTHEmLG3MSiFpzNQ_29_0"/>
      <w:bookmarkStart w:id="233" w:name="Tc_9QusVhy3ukyRs-p50xiloA_27_0"/>
      <w:bookmarkStart w:id="234" w:name="Tc_ZzTjQdc-00iQDk4f4Qbtew_25_0"/>
      <w:bookmarkStart w:id="235" w:name="Tc_IYBruToztkOMElrcRjAmXg_23_0"/>
      <w:bookmarkStart w:id="236" w:name="Tc_3zB2rIlGxESHHBNyp54B-Q_21_0"/>
      <w:bookmarkStart w:id="237" w:name="Tc_ThH_ndl710a77h4Na3qHBg_19_0"/>
      <w:bookmarkStart w:id="238" w:name="Tc_HNIrO67WBEu90Q7u2ktXsQ_18_0"/>
      <w:bookmarkStart w:id="239" w:name="Tc_PzZJOxJOtkWnREJf5I6E4g_17_0"/>
      <w:bookmarkStart w:id="240" w:name="Tc_izk6e3qjgkeaZyhZb8FKYQ_16_0"/>
      <w:bookmarkStart w:id="241" w:name="Tc_pbY49ZpZZEKuNzPX2XXAMg_15_0"/>
      <w:bookmarkStart w:id="242" w:name="Tc_IpesNINhSkKyxfvsRmwJQQ_13_0"/>
      <w:bookmarkStart w:id="243" w:name="Tc_-QNdnFtGPku1fmkL3-yojg_11_0"/>
      <w:bookmarkStart w:id="244" w:name="Tc_KUzFBmmvt0yyG8YRuxnXFw_10_0"/>
      <w:bookmarkStart w:id="245" w:name="Tc_siGklDtF10uUkltpxiuq7g_9_0"/>
      <w:bookmarkStart w:id="246" w:name="Tc_7I3qwuMNIk6GOdO-2jWHQw_8_0"/>
      <w:bookmarkStart w:id="247" w:name="Tc_ITbY-EGuj0emGupTrFQ_Hw_7_0"/>
      <w:bookmarkStart w:id="248" w:name="Tc_EBFQsKQemEaGhGK4klAR8w_6_0"/>
      <w:bookmarkStart w:id="249" w:name="Tc_k2_Mt476mUCcKfPc2Cc9CQ_5_0"/>
      <w:bookmarkStart w:id="250" w:name="Tc_o9fllAghm0SHmrjl8lsusQ_3_5"/>
      <w:bookmarkStart w:id="251" w:name="Tc_ic7Yx2wSz0mdKoBTyA4lUw_3_2"/>
      <w:bookmarkStart w:id="252" w:name="Tc_NkkOH1kmdE6VjNpaUls01w_2_5"/>
      <w:bookmarkStart w:id="253" w:name="Tc_fbyc2F6f1UC-d2mKTzXJng_2_2"/>
      <w:bookmarkStart w:id="254" w:name="Tc_cerfRblQPUqsU-CYOQW5pQ_1_2"/>
      <w:bookmarkStart w:id="255" w:name="_276508ff_2809_4c15_80f1_f7926ed7b529"/>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tbl>
      <w:tblPr>
        <w:tblW w:w="10205" w:type="dxa"/>
        <w:jc w:val="left"/>
        <w:tblInd w:w="0" w:type="dxa"/>
        <w:tblLayout w:type="fixed"/>
        <w:tblCellMar>
          <w:top w:w="0" w:type="dxa"/>
          <w:left w:w="0" w:type="dxa"/>
          <w:bottom w:w="0" w:type="dxa"/>
          <w:right w:w="0" w:type="dxa"/>
        </w:tblCellMar>
      </w:tblPr>
      <w:tblGrid>
        <w:gridCol w:w="6884"/>
        <w:gridCol w:w="346"/>
        <w:gridCol w:w="251"/>
        <w:gridCol w:w="932"/>
        <w:gridCol w:w="413"/>
        <w:gridCol w:w="251"/>
        <w:gridCol w:w="934"/>
        <w:gridCol w:w="194"/>
      </w:tblGrid>
      <w:tr>
        <w:trPr/>
        <w:tc>
          <w:tcPr>
            <w:tcW w:w="6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371340" cy="175260"/>
                      <wp:effectExtent l="0" t="0" r="0" b="0"/>
                      <wp:wrapNone/>
                      <wp:docPr id="12" name="Frame12"/>
                      <a:graphic xmlns:a="http://schemas.openxmlformats.org/drawingml/2006/main">
                        <a:graphicData uri="http://schemas.microsoft.com/office/word/2010/wordprocessingShape">
                          <wps:wsp>
                            <wps:cNvSpPr txBox="1"/>
                            <wps:spPr>
                              <a:xfrm>
                                <a:off x="0" y="0"/>
                                <a:ext cx="437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9385" cy="175260"/>
                      <wp:effectExtent l="0" t="0" r="0" b="0"/>
                      <wp:wrapNone/>
                      <wp:docPr id="14" name="Frame14"/>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820" cy="175260"/>
                      <wp:effectExtent l="0" t="0" r="0" b="0"/>
                      <wp:wrapNone/>
                      <wp:docPr id="15" name="Frame15"/>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2255" cy="175260"/>
                      <wp:effectExtent l="0" t="0" r="0" b="0"/>
                      <wp:wrapNone/>
                      <wp:docPr id="16" name="Frame16"/>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59385" cy="175260"/>
                      <wp:effectExtent l="0" t="0" r="0" b="0"/>
                      <wp:wrapNone/>
                      <wp:docPr id="17" name="Frame1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3090" cy="175260"/>
                      <wp:effectExtent l="0" t="0" r="0" b="0"/>
                      <wp:wrapNone/>
                      <wp:docPr id="18" name="Frame18"/>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3190" cy="175260"/>
                      <wp:effectExtent l="0" t="0" r="0" b="0"/>
                      <wp:wrapNone/>
                      <wp:docPr id="19" name="Frame1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81"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13" w:type="dxa"/>
            <w:tcBorders/>
            <w:vAlign w:val="center"/>
          </w:tcPr>
          <w:p>
            <w:pPr>
              <w:pStyle w:val="TableContents"/>
              <w:bidi w:val="0"/>
              <w:spacing w:lineRule="auto" w:line="285"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Revenue</w:t>
            </w:r>
          </w:p>
        </w:tc>
        <w:tc>
          <w:tcPr>
            <w:tcW w:w="346" w:type="dxa"/>
            <w:tcBorders/>
            <w:shd w:fill="CCEEFF" w:val="clear"/>
            <w:vAlign w:val="center"/>
          </w:tcPr>
          <w:p>
            <w:pPr>
              <w:pStyle w:val="TableContents"/>
              <w:bidi w:val="0"/>
              <w:spacing w:lineRule="auto" w:line="285" w:before="0" w:after="0"/>
              <w:ind w:left="0" w:right="0" w:hanging="0"/>
              <w:jc w:val="center"/>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496,175</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534,228</w:t>
            </w:r>
          </w:p>
        </w:tc>
        <w:tc>
          <w:tcPr>
            <w:tcW w:w="194" w:type="dxa"/>
            <w:tcBorders/>
            <w:shd w:fill="CCEEFF" w:val="clear"/>
            <w:vAlign w:val="center"/>
          </w:tcPr>
          <w:p>
            <w:pPr>
              <w:pStyle w:val="TableContents"/>
              <w:bidi w:val="0"/>
              <w:spacing w:lineRule="auto" w:line="285" w:before="0" w:after="0"/>
              <w:ind w:left="0" w:right="0" w:hanging="0"/>
              <w:jc w:val="center"/>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2" w:type="dxa"/>
            <w:tcBorders/>
            <w:shd w:fill="CCEEFF" w:val="cle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4"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Cost of services (exclusive of depreciation and amortization presented separately below)</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387,866</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414,547</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66,539</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70,037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21,305</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22,698</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Restructuring charges,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1,450</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1,996</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Impairment losses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520</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477,680</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510,039</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Income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18,495</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24,189</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2" w:type="dxa"/>
            <w:tcBorders/>
            <w:shd w:fill="CCEEFF" w:val="cle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4"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451</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4,580</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(16,984)</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(19,797)</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658</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3,589</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(15,875)</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(11,628)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Income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2,620</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12,561</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(7,797)</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(9,315)</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Net (loss)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(5,177)</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3,246</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(loss) income attributable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(2,432)</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(1,862)</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Net (loss) income attributable to TTEC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(7,609)</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1,384</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2" w:type="dxa"/>
            <w:tcBorders/>
            <w:shd w:fill="CCEEFF" w:val="cle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4"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(5,177)</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3,246</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Foreign currency translation adjustments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(5,255)</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6,638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valuation, gross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(1,756)</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2,468</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net of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other comprehensive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(6,948)</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9,164</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comprehensive (loss)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(12,125)</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12,410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Less: Comprehensive income attributable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(2,203)</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(1,878)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Comprehensive (loss) income attributable to TTEC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(14,328)</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10,532</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Weighted average shares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2" w:type="dxa"/>
            <w:tcBorders/>
            <w:shd w:fill="CCEEFF" w:val="cle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4"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48,580</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47,771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48,580</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48,225</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2" w:type="dxa"/>
            <w:tcBorders/>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34"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Net (loss) income per share attributable to TTEC stockholders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2" w:type="dxa"/>
            <w:tcBorders/>
            <w:shd w:fill="CCEEFF" w:val="cle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34"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88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(0.16)</w:t>
            </w:r>
          </w:p>
        </w:tc>
        <w:tc>
          <w:tcPr>
            <w:tcW w:w="413"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0.03</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88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(0.16)</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0.03</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16"/>
        </w:rPr>
      </w:pPr>
      <w:bookmarkStart w:id="256" w:name="_a963d905_5e61_4ac9_b355_57bba1597164"/>
      <w:bookmarkEnd w:id="256"/>
      <w:r>
        <w:rPr>
          <w:rFonts w:ascii="Arial;Helvetica;sans-serif" w:hAnsi="Arial;Helvetica;sans-serif"/>
          <w:b/>
          <w:sz w:val="16"/>
        </w:rPr>
        <w:t>TTEC HOLDINGS, INC. AND SUBSIDIARIES</w:t>
      </w:r>
    </w:p>
    <w:p>
      <w:pPr>
        <w:pStyle w:val="TextBody"/>
        <w:bidi w:val="0"/>
        <w:spacing w:lineRule="auto" w:line="285" w:before="0" w:after="0"/>
        <w:ind w:left="0" w:right="0" w:hanging="0"/>
        <w:jc w:val="center"/>
        <w:rPr>
          <w:rFonts w:ascii="Arial;Helvetica;sans-serif" w:hAnsi="Arial;Helvetica;sans-serif"/>
          <w:b/>
          <w:sz w:val="16"/>
        </w:rPr>
      </w:pPr>
      <w:bookmarkStart w:id="257" w:name="ConsolidatedStatementofStockhold_111529"/>
      <w:bookmarkEnd w:id="257"/>
      <w:r>
        <w:rPr>
          <w:rFonts w:ascii="Arial;Helvetica;sans-serif" w:hAnsi="Arial;Helvetica;sans-serif"/>
          <w:b/>
          <w:sz w:val="16"/>
        </w:rPr>
        <w:t>Consolidated Statements of Stockholders’ Equity</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(Amounts in thousands)</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(Unaudited)</w:t>
      </w:r>
    </w:p>
    <w:p>
      <w:pPr>
        <w:pStyle w:val="TextBody"/>
        <w:bidi w:val="0"/>
        <w:spacing w:lineRule="auto" w:line="285" w:before="0" w:after="0"/>
        <w:ind w:left="0" w:right="0" w:hanging="0"/>
        <w:jc w:val="left"/>
        <w:rPr>
          <w:rFonts w:ascii="Arial;Helvetica;sans-serif" w:hAnsi="Arial;Helvetica;sans-serif"/>
          <w:b/>
          <w:sz w:val="14"/>
        </w:rPr>
      </w:pPr>
      <w:r>
        <w:rPr>
          <w:rFonts w:ascii="Arial;Helvetica;sans-serif" w:hAnsi="Arial;Helvetica;sans-serif"/>
          <w:b/>
          <w:sz w:val="14"/>
        </w:rPr>
        <w:t>Three months ended March 31, 2025 and 2026</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58" w:name="Tc_JpEl_Lsd90urrW8GSkWxvw_14_22"/>
      <w:bookmarkStart w:id="259" w:name="Tc_D7gpJrhyl0ykUU0Vdrpuyg_14_19"/>
      <w:bookmarkStart w:id="260" w:name="Tc_Hc_ujJaKnEiFK6QZrivEsw_14_16"/>
      <w:bookmarkStart w:id="261" w:name="Tc_tALf7ZkhXEaEa_B0E6FH1w_14_13"/>
      <w:bookmarkStart w:id="262" w:name="Tc_eN9tDIYTSkiDnPxtBSQSQg_14_10"/>
      <w:bookmarkStart w:id="263" w:name="Tc_-5CUZMujn0e9raFkOuXIkQ_14_7"/>
      <w:bookmarkStart w:id="264" w:name="Tc_3vM_sATPhEOV3cfrrVDL4g_14_4"/>
      <w:bookmarkStart w:id="265" w:name="Tc_gSvq-ayeSEmkl_csCYeSug_14_0"/>
      <w:bookmarkStart w:id="266" w:name="Tc_VpFS9HcXZ0uJ8r0oq7nxUg_13_20"/>
      <w:bookmarkStart w:id="267" w:name="Tc_pwGVRpv_90axaxXerdi-iQ_13_17"/>
      <w:bookmarkStart w:id="268" w:name="Tc_yRd-AxLy-06MmwJkFMEYFQ_13_11"/>
      <w:bookmarkStart w:id="269" w:name="Tc_Ed7rYT7CIEKED5baVEOr1g_13_8"/>
      <w:bookmarkStart w:id="270" w:name="Tc_avNvEbmHmUScFW_dkU-P3A_13_5"/>
      <w:bookmarkStart w:id="271" w:name="Tc_w3skm5BtyEWesLkc26qHRA_13_2"/>
      <w:bookmarkStart w:id="272" w:name="Tc_EOz2oQeEOkauiuS9rDij-Q_13_0"/>
      <w:bookmarkStart w:id="273" w:name="Tc_K4tIcOenY02U9jP6-b-SXA_12_20"/>
      <w:bookmarkStart w:id="274" w:name="Tc_mZ7HPsskekO6HTLrbniZHg_12_17"/>
      <w:bookmarkStart w:id="275" w:name="Tc_3WxafLRSIUSTrhg0Ku28mw_12_14"/>
      <w:bookmarkStart w:id="276" w:name="Tc_kfdZ8TESEESj04QvF4o1jw_12_8"/>
      <w:bookmarkStart w:id="277" w:name="Tc_zIi8kETuU067FXoCPPP5wA_12_5"/>
      <w:bookmarkStart w:id="278" w:name="Tc_SGjIBdSlI0mPf1-21-JflA_12_2"/>
      <w:bookmarkStart w:id="279" w:name="Tc_OCdCQ53hEkm-2plNl6jeVA_12_0"/>
      <w:bookmarkStart w:id="280" w:name="Tc_dVtF1UL9XkalWYXfP6s6vg_11_20"/>
      <w:bookmarkStart w:id="281" w:name="Tc_C4MqHVAZZEqNiWZXLuC6rg_11_17"/>
      <w:bookmarkStart w:id="282" w:name="Tc_nrFv8o5zfE-kipJO9Kl5RA_11_14"/>
      <w:bookmarkStart w:id="283" w:name="Tc_BbuZIenA20GVvPwRwEW7Ew_11_8"/>
      <w:bookmarkStart w:id="284" w:name="Tc_ZuLZgp_5IEGzeZn0C3PxEw_11_0"/>
      <w:bookmarkStart w:id="285" w:name="Tc_aLOKCCczyUm438lOMg059g_10_20"/>
      <w:bookmarkStart w:id="286" w:name="Tc_79loO3wODESmZ3GWuZ5n4w_10_17"/>
      <w:bookmarkStart w:id="287" w:name="Tc_RYYBfKlFBEmYZABXD1sm4A_10_11"/>
      <w:bookmarkStart w:id="288" w:name="Tc_dWZLQFQXBUa5Fn0KYcrx1Q_10_8"/>
      <w:bookmarkStart w:id="289" w:name="Tc_Ui9due7XBE-9E_qvp6HWWQ_10_5"/>
      <w:bookmarkStart w:id="290" w:name="Tc_XKP-f1TNfUKACgFLAT_BmQ_10_2"/>
      <w:bookmarkStart w:id="291" w:name="Tc_cYAjyKIOfEeZwH4Fv38svA_10_0"/>
      <w:bookmarkStart w:id="292" w:name="Tc_Ng2L6aDak0qKD_fGO8iASA_9_17"/>
      <w:bookmarkStart w:id="293" w:name="Tc_I8b2uOjC-0C7jMY5RRq46Q_9_11"/>
      <w:bookmarkStart w:id="294" w:name="Tc_rmq5v_HzJkOOhgVacxOYSg_9_8"/>
      <w:bookmarkStart w:id="295" w:name="Tc_vDvXwPeelUCZf7tC1JS9vg_9_5"/>
      <w:bookmarkStart w:id="296" w:name="Tc_Fqory2eK0EyrzLUe7gyyRQ_9_2"/>
      <w:bookmarkStart w:id="297" w:name="Tc_ZFzoidiBP0aH6p6hvb0AdA_9_0"/>
      <w:bookmarkStart w:id="298" w:name="Tc_oEBHG5_B8kyxjZU71VGMiA_8_17"/>
      <w:bookmarkStart w:id="299" w:name="Tc_O2h0QM_EGk2qQqGfiJflFQ_8_14"/>
      <w:bookmarkStart w:id="300" w:name="Tc_-pcJtb2_G0maXSxhrgUaxw_8_11"/>
      <w:bookmarkStart w:id="301" w:name="Tc_oPwyFA364kmAQa_b2UDEEg_8_8"/>
      <w:bookmarkStart w:id="302" w:name="Tc_cZRJ51mF_EqN3NzyTvcahQ_8_5"/>
      <w:bookmarkStart w:id="303" w:name="Tc_0WT-MT1JaEieR1MY4XDGsw_8_2"/>
      <w:bookmarkStart w:id="304" w:name="Tc_mWv4cw3rNE-xZmXsbm5TYQ_8_0"/>
      <w:bookmarkStart w:id="305" w:name="Tc_x5PWIcnn7Ey9RcNDqwwnnA_7_14"/>
      <w:bookmarkStart w:id="306" w:name="Tc_mmHFQ7sxcEuY0oosk4uh2Q_7_11"/>
      <w:bookmarkStart w:id="307" w:name="Tc_epXzRAfxNkOUL88CMi5ykA_7_8"/>
      <w:bookmarkStart w:id="308" w:name="Tc_w-gvbi0YYEWK6P8L22vAeQ_7_5"/>
      <w:bookmarkStart w:id="309" w:name="Tc_uxHdzQxg2E64kg4-nvE6ww_7_2"/>
      <w:bookmarkStart w:id="310" w:name="Tc_ExjGbk__aU2ANBH4CVi50g_7_0"/>
      <w:bookmarkStart w:id="311" w:name="Tc_Mh_G2U8zekag14DkWI73yQ_6_22"/>
      <w:bookmarkStart w:id="312" w:name="Tc_iIC3yVUL3kKkfKtow1ZD6w_6_19"/>
      <w:bookmarkStart w:id="313" w:name="Tc_iw8SoV8Ae0yFcubciuDBfw_6_16"/>
      <w:bookmarkStart w:id="314" w:name="Tc_AKaF9D6lhkuJHhIhvBy7RQ_6_13"/>
      <w:bookmarkStart w:id="315" w:name="Tc_J4vsqwtcsUW5AhaJu0robw_6_10"/>
      <w:bookmarkStart w:id="316" w:name="Tc_TMIj0yiVbU2M30pyGGx6sg_6_7"/>
      <w:bookmarkStart w:id="317" w:name="Tc_vKefk9j3WUOhSSoueo2eHA_6_4"/>
      <w:bookmarkStart w:id="318" w:name="Tc_Na0zNILPn0ijMOSInymTcA_6_0"/>
      <w:bookmarkStart w:id="319" w:name="Tc_sHmrCTDm0EOwj7E9AoMLgg_5_22"/>
      <w:bookmarkStart w:id="320" w:name="Tc_OhkwkKJ4nkWJyLwtSMwKlw_5_19"/>
      <w:bookmarkStart w:id="321" w:name="Tc_miLY72w9gUKOYJTMY6CW8A_5_16"/>
      <w:bookmarkStart w:id="322" w:name="Tc_mSqSzmG2pUScWKqYdWsjJA_5_13"/>
      <w:bookmarkStart w:id="323" w:name="Tc_QjkYCVDW2EG2aT_2O-JkRg_5_10"/>
      <w:bookmarkStart w:id="324" w:name="Tc_jeB-vjmm1kueGutIPzDrlQ_5_7"/>
      <w:bookmarkStart w:id="325" w:name="Tc_1RAK82peV0i9raIzckoDZw_5_4"/>
      <w:bookmarkStart w:id="326" w:name="Tc_3UDD_E9ylUiMPyToDPwVdA_5_2"/>
      <w:bookmarkStart w:id="327" w:name="Tc_WtOlJGTbrUKt9QUWxVuTXg_4_19"/>
      <w:bookmarkStart w:id="328" w:name="Tc_AfI9y701P0W-4CFMf05qWA_4_16"/>
      <w:bookmarkStart w:id="329" w:name="Tc_fj_Lidizy0SwEishGn7m_g_4_13"/>
      <w:bookmarkStart w:id="330" w:name="Tc_wmxso3XSl0a8WjgXooj5wQ_4_10"/>
      <w:bookmarkStart w:id="331" w:name="Tc_G-UES2dqKkyVDG0cAcmLDQ_4_7"/>
      <w:bookmarkStart w:id="332" w:name="Tc_U7sOEnRJaEKjIXtH64Ignw_4_2"/>
      <w:bookmarkStart w:id="333" w:name="Tc_XLZyTL_GMEyVNbqsIO5nYw_3_13"/>
      <w:bookmarkStart w:id="334" w:name="Tc_R6hv0jvxakuQA5s7rs9isg_2_13"/>
      <w:bookmarkStart w:id="335" w:name="Tc_xB9pkfszt0CWZ4167hBXYg_1_2"/>
      <w:bookmarkStart w:id="336" w:name="_9dcd818d_305d_46c3_8d13_b513a864a9e7"/>
      <w:bookmarkStart w:id="337" w:name="Tc_JpEl_Lsd90urrW8GSkWxvw_14_22"/>
      <w:bookmarkStart w:id="338" w:name="Tc_D7gpJrhyl0ykUU0Vdrpuyg_14_19"/>
      <w:bookmarkStart w:id="339" w:name="Tc_Hc_ujJaKnEiFK6QZrivEsw_14_16"/>
      <w:bookmarkStart w:id="340" w:name="Tc_tALf7ZkhXEaEa_B0E6FH1w_14_13"/>
      <w:bookmarkStart w:id="341" w:name="Tc_eN9tDIYTSkiDnPxtBSQSQg_14_10"/>
      <w:bookmarkStart w:id="342" w:name="Tc_-5CUZMujn0e9raFkOuXIkQ_14_7"/>
      <w:bookmarkStart w:id="343" w:name="Tc_3vM_sATPhEOV3cfrrVDL4g_14_4"/>
      <w:bookmarkStart w:id="344" w:name="Tc_gSvq-ayeSEmkl_csCYeSug_14_0"/>
      <w:bookmarkStart w:id="345" w:name="Tc_VpFS9HcXZ0uJ8r0oq7nxUg_13_20"/>
      <w:bookmarkStart w:id="346" w:name="Tc_pwGVRpv_90axaxXerdi-iQ_13_17"/>
      <w:bookmarkStart w:id="347" w:name="Tc_yRd-AxLy-06MmwJkFMEYFQ_13_11"/>
      <w:bookmarkStart w:id="348" w:name="Tc_Ed7rYT7CIEKED5baVEOr1g_13_8"/>
      <w:bookmarkStart w:id="349" w:name="Tc_avNvEbmHmUScFW_dkU-P3A_13_5"/>
      <w:bookmarkStart w:id="350" w:name="Tc_w3skm5BtyEWesLkc26qHRA_13_2"/>
      <w:bookmarkStart w:id="351" w:name="Tc_EOz2oQeEOkauiuS9rDij-Q_13_0"/>
      <w:bookmarkStart w:id="352" w:name="Tc_K4tIcOenY02U9jP6-b-SXA_12_20"/>
      <w:bookmarkStart w:id="353" w:name="Tc_mZ7HPsskekO6HTLrbniZHg_12_17"/>
      <w:bookmarkStart w:id="354" w:name="Tc_3WxafLRSIUSTrhg0Ku28mw_12_14"/>
      <w:bookmarkStart w:id="355" w:name="Tc_kfdZ8TESEESj04QvF4o1jw_12_8"/>
      <w:bookmarkStart w:id="356" w:name="Tc_zIi8kETuU067FXoCPPP5wA_12_5"/>
      <w:bookmarkStart w:id="357" w:name="Tc_SGjIBdSlI0mPf1-21-JflA_12_2"/>
      <w:bookmarkStart w:id="358" w:name="Tc_OCdCQ53hEkm-2plNl6jeVA_12_0"/>
      <w:bookmarkStart w:id="359" w:name="Tc_dVtF1UL9XkalWYXfP6s6vg_11_20"/>
      <w:bookmarkStart w:id="360" w:name="Tc_C4MqHVAZZEqNiWZXLuC6rg_11_17"/>
      <w:bookmarkStart w:id="361" w:name="Tc_nrFv8o5zfE-kipJO9Kl5RA_11_14"/>
      <w:bookmarkStart w:id="362" w:name="Tc_BbuZIenA20GVvPwRwEW7Ew_11_8"/>
      <w:bookmarkStart w:id="363" w:name="Tc_ZuLZgp_5IEGzeZn0C3PxEw_11_0"/>
      <w:bookmarkStart w:id="364" w:name="Tc_aLOKCCczyUm438lOMg059g_10_20"/>
      <w:bookmarkStart w:id="365" w:name="Tc_79loO3wODESmZ3GWuZ5n4w_10_17"/>
      <w:bookmarkStart w:id="366" w:name="Tc_RYYBfKlFBEmYZABXD1sm4A_10_11"/>
      <w:bookmarkStart w:id="367" w:name="Tc_dWZLQFQXBUa5Fn0KYcrx1Q_10_8"/>
      <w:bookmarkStart w:id="368" w:name="Tc_Ui9due7XBE-9E_qvp6HWWQ_10_5"/>
      <w:bookmarkStart w:id="369" w:name="Tc_XKP-f1TNfUKACgFLAT_BmQ_10_2"/>
      <w:bookmarkStart w:id="370" w:name="Tc_cYAjyKIOfEeZwH4Fv38svA_10_0"/>
      <w:bookmarkStart w:id="371" w:name="Tc_Ng2L6aDak0qKD_fGO8iASA_9_17"/>
      <w:bookmarkStart w:id="372" w:name="Tc_I8b2uOjC-0C7jMY5RRq46Q_9_11"/>
      <w:bookmarkStart w:id="373" w:name="Tc_rmq5v_HzJkOOhgVacxOYSg_9_8"/>
      <w:bookmarkStart w:id="374" w:name="Tc_vDvXwPeelUCZf7tC1JS9vg_9_5"/>
      <w:bookmarkStart w:id="375" w:name="Tc_Fqory2eK0EyrzLUe7gyyRQ_9_2"/>
      <w:bookmarkStart w:id="376" w:name="Tc_ZFzoidiBP0aH6p6hvb0AdA_9_0"/>
      <w:bookmarkStart w:id="377" w:name="Tc_oEBHG5_B8kyxjZU71VGMiA_8_17"/>
      <w:bookmarkStart w:id="378" w:name="Tc_O2h0QM_EGk2qQqGfiJflFQ_8_14"/>
      <w:bookmarkStart w:id="379" w:name="Tc_-pcJtb2_G0maXSxhrgUaxw_8_11"/>
      <w:bookmarkStart w:id="380" w:name="Tc_oPwyFA364kmAQa_b2UDEEg_8_8"/>
      <w:bookmarkStart w:id="381" w:name="Tc_cZRJ51mF_EqN3NzyTvcahQ_8_5"/>
      <w:bookmarkStart w:id="382" w:name="Tc_0WT-MT1JaEieR1MY4XDGsw_8_2"/>
      <w:bookmarkStart w:id="383" w:name="Tc_mWv4cw3rNE-xZmXsbm5TYQ_8_0"/>
      <w:bookmarkStart w:id="384" w:name="Tc_x5PWIcnn7Ey9RcNDqwwnnA_7_14"/>
      <w:bookmarkStart w:id="385" w:name="Tc_mmHFQ7sxcEuY0oosk4uh2Q_7_11"/>
      <w:bookmarkStart w:id="386" w:name="Tc_epXzRAfxNkOUL88CMi5ykA_7_8"/>
      <w:bookmarkStart w:id="387" w:name="Tc_w-gvbi0YYEWK6P8L22vAeQ_7_5"/>
      <w:bookmarkStart w:id="388" w:name="Tc_uxHdzQxg2E64kg4-nvE6ww_7_2"/>
      <w:bookmarkStart w:id="389" w:name="Tc_ExjGbk__aU2ANBH4CVi50g_7_0"/>
      <w:bookmarkStart w:id="390" w:name="Tc_Mh_G2U8zekag14DkWI73yQ_6_22"/>
      <w:bookmarkStart w:id="391" w:name="Tc_iIC3yVUL3kKkfKtow1ZD6w_6_19"/>
      <w:bookmarkStart w:id="392" w:name="Tc_iw8SoV8Ae0yFcubciuDBfw_6_16"/>
      <w:bookmarkStart w:id="393" w:name="Tc_AKaF9D6lhkuJHhIhvBy7RQ_6_13"/>
      <w:bookmarkStart w:id="394" w:name="Tc_J4vsqwtcsUW5AhaJu0robw_6_10"/>
      <w:bookmarkStart w:id="395" w:name="Tc_TMIj0yiVbU2M30pyGGx6sg_6_7"/>
      <w:bookmarkStart w:id="396" w:name="Tc_vKefk9j3WUOhSSoueo2eHA_6_4"/>
      <w:bookmarkStart w:id="397" w:name="Tc_Na0zNILPn0ijMOSInymTcA_6_0"/>
      <w:bookmarkStart w:id="398" w:name="Tc_sHmrCTDm0EOwj7E9AoMLgg_5_22"/>
      <w:bookmarkStart w:id="399" w:name="Tc_OhkwkKJ4nkWJyLwtSMwKlw_5_19"/>
      <w:bookmarkStart w:id="400" w:name="Tc_miLY72w9gUKOYJTMY6CW8A_5_16"/>
      <w:bookmarkStart w:id="401" w:name="Tc_mSqSzmG2pUScWKqYdWsjJA_5_13"/>
      <w:bookmarkStart w:id="402" w:name="Tc_QjkYCVDW2EG2aT_2O-JkRg_5_10"/>
      <w:bookmarkStart w:id="403" w:name="Tc_jeB-vjmm1kueGutIPzDrlQ_5_7"/>
      <w:bookmarkStart w:id="404" w:name="Tc_1RAK82peV0i9raIzckoDZw_5_4"/>
      <w:bookmarkStart w:id="405" w:name="Tc_3UDD_E9ylUiMPyToDPwVdA_5_2"/>
      <w:bookmarkStart w:id="406" w:name="Tc_WtOlJGTbrUKt9QUWxVuTXg_4_19"/>
      <w:bookmarkStart w:id="407" w:name="Tc_AfI9y701P0W-4CFMf05qWA_4_16"/>
      <w:bookmarkStart w:id="408" w:name="Tc_fj_Lidizy0SwEishGn7m_g_4_13"/>
      <w:bookmarkStart w:id="409" w:name="Tc_wmxso3XSl0a8WjgXooj5wQ_4_10"/>
      <w:bookmarkStart w:id="410" w:name="Tc_G-UES2dqKkyVDG0cAcmLDQ_4_7"/>
      <w:bookmarkStart w:id="411" w:name="Tc_U7sOEnRJaEKjIXtH64Ignw_4_2"/>
      <w:bookmarkStart w:id="412" w:name="Tc_XLZyTL_GMEyVNbqsIO5nYw_3_13"/>
      <w:bookmarkStart w:id="413" w:name="Tc_R6hv0jvxakuQA5s7rs9isg_2_13"/>
      <w:bookmarkStart w:id="414" w:name="Tc_xB9pkfszt0CWZ4167hBXYg_1_2"/>
      <w:bookmarkStart w:id="415" w:name="_9dcd818d_305d_46c3_8d13_b513a864a9e7"/>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tbl>
      <w:tblPr>
        <w:tblW w:w="10412" w:type="dxa"/>
        <w:jc w:val="left"/>
        <w:tblInd w:w="0" w:type="dxa"/>
        <w:tblLayout w:type="fixed"/>
        <w:tblCellMar>
          <w:top w:w="0" w:type="dxa"/>
          <w:left w:w="0" w:type="dxa"/>
          <w:bottom w:w="0" w:type="dxa"/>
          <w:right w:w="0" w:type="dxa"/>
        </w:tblCellMar>
      </w:tblPr>
      <w:tblGrid>
        <w:gridCol w:w="856"/>
        <w:gridCol w:w="346"/>
        <w:gridCol w:w="481"/>
        <w:gridCol w:w="346"/>
        <w:gridCol w:w="346"/>
        <w:gridCol w:w="346"/>
        <w:gridCol w:w="346"/>
        <w:gridCol w:w="346"/>
        <w:gridCol w:w="541"/>
        <w:gridCol w:w="346"/>
        <w:gridCol w:w="376"/>
        <w:gridCol w:w="540"/>
        <w:gridCol w:w="346"/>
        <w:gridCol w:w="228"/>
        <w:gridCol w:w="748"/>
        <w:gridCol w:w="346"/>
        <w:gridCol w:w="346"/>
        <w:gridCol w:w="496"/>
        <w:gridCol w:w="346"/>
        <w:gridCol w:w="425"/>
        <w:gridCol w:w="536"/>
        <w:gridCol w:w="346"/>
        <w:gridCol w:w="346"/>
        <w:gridCol w:w="496"/>
        <w:gridCol w:w="191"/>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43560" cy="175260"/>
                      <wp:effectExtent l="0" t="0" r="0" b="0"/>
                      <wp:wrapNone/>
                      <wp:docPr id="20" name="Frame2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05435" cy="175260"/>
                      <wp:effectExtent l="0" t="0" r="0" b="0"/>
                      <wp:wrapNone/>
                      <wp:docPr id="22" name="Frame2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43535" cy="175260"/>
                      <wp:effectExtent l="0" t="0" r="0" b="0"/>
                      <wp:wrapNone/>
                      <wp:docPr id="28" name="Frame2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8760" cy="175260"/>
                      <wp:effectExtent l="0" t="0" r="0" b="0"/>
                      <wp:wrapNone/>
                      <wp:docPr id="30" name="Frame3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42900" cy="175260"/>
                      <wp:effectExtent l="0" t="0" r="0" b="0"/>
                      <wp:wrapNone/>
                      <wp:docPr id="31" name="Frame3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4780" cy="175260"/>
                      <wp:effectExtent l="0" t="0" r="0" b="0"/>
                      <wp:wrapNone/>
                      <wp:docPr id="33" name="Frame3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74980" cy="175260"/>
                      <wp:effectExtent l="0" t="0" r="0" b="0"/>
                      <wp:wrapNone/>
                      <wp:docPr id="34" name="Frame34"/>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14960" cy="175260"/>
                      <wp:effectExtent l="0" t="0" r="0" b="0"/>
                      <wp:wrapNone/>
                      <wp:docPr id="37" name="Frame3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69875" cy="175260"/>
                      <wp:effectExtent l="0" t="0" r="0" b="0"/>
                      <wp:wrapNone/>
                      <wp:docPr id="39" name="Frame39"/>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0360" cy="175260"/>
                      <wp:effectExtent l="0" t="0" r="0" b="0"/>
                      <wp:wrapNone/>
                      <wp:docPr id="40" name="Frame40"/>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14960" cy="175260"/>
                      <wp:effectExtent l="0" t="0" r="0" b="0"/>
                      <wp:wrapNone/>
                      <wp:docPr id="43" name="Frame4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1285" cy="175260"/>
                      <wp:effectExtent l="0" t="0" r="0" b="0"/>
                      <wp:wrapNone/>
                      <wp:docPr id="44" name="Frame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9" w:type="dxa"/>
            <w:gridSpan w:val="2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Stockholders’ Equity of the Company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81"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76" w:type="dxa"/>
            <w:tcBorders/>
            <w:vAlign w:val="center"/>
          </w:tcPr>
          <w:p>
            <w:pPr>
              <w:pStyle w:val="TableContents"/>
              <w:bidi w:val="0"/>
              <w:spacing w:lineRule="auto" w:line="285" w:before="0" w:after="0"/>
              <w:ind w:left="0" w:right="0" w:hanging="0"/>
              <w:jc w:val="left"/>
              <w:rPr/>
            </w:pPr>
            <w:r>
              <w:rPr/>
              <w:t>  ​ ​ ​</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Accumulated</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left"/>
              <w:rPr/>
            </w:pPr>
            <w:r>
              <w:rPr/>
              <w:t>  ​ ​ ​</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Treasury</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Comprehensive</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Retained</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Noncontrolling</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lineRule="auto" w:line="285"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Paid-in Capital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Income (Loss)</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interest</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Total 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December 31, 2024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47,749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420,181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(132,121)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546,617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17,865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268,119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Net income</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1,384</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1,862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3,246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Payments distributed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(2,211)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Foreign currency translation adjustments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6,622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16</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6,638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Derivatives valuation,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2,468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2,468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(63)</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3,250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Other, net of tax</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March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47,804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423,368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(122,973)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548,001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17,532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281,506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416" w:name="Tc_U1gJIR4dQ0yTfr9yKSOBUQ_14_22"/>
      <w:bookmarkStart w:id="417" w:name="Tc_R0NEIZQAB068XlOQMagk4g_14_19"/>
      <w:bookmarkStart w:id="418" w:name="Tc_xFqboRSG-065zUb_G_RlEQ_14_16"/>
      <w:bookmarkStart w:id="419" w:name="Tc_s21irrN0XECgprf3e5brnA_14_13"/>
      <w:bookmarkStart w:id="420" w:name="Tc_ZSsR1f2myU-t2VwKNMTVmQ_14_10"/>
      <w:bookmarkStart w:id="421" w:name="Tc_Fx0diwTWiUKnlfxbvLNdWw_14_7"/>
      <w:bookmarkStart w:id="422" w:name="Tc_rQxVPPdq8kiny0J_45zaMg_14_4"/>
      <w:bookmarkStart w:id="423" w:name="Tc_0MJSlzPVgEOiLFoND3vKOw_14_0"/>
      <w:bookmarkStart w:id="424" w:name="Tc_p6FeDiraC0ip0wbJSNBpFA_13_20"/>
      <w:bookmarkStart w:id="425" w:name="Tc_1oiHKI7ehkiUgJ0B6qy3eg_13_17"/>
      <w:bookmarkStart w:id="426" w:name="Tc_ugjALK9HW0mnFlF5gO5m0Q_13_11"/>
      <w:bookmarkStart w:id="427" w:name="Tc_qY8YSdQyRUmsKviKVtkBGw_13_8"/>
      <w:bookmarkStart w:id="428" w:name="Tc_kcg_7HukekWPLPGF3_MHKg_13_5"/>
      <w:bookmarkStart w:id="429" w:name="Tc_FaZLKswj606YndXVZcEQPg_13_2"/>
      <w:bookmarkStart w:id="430" w:name="Tc_Z9IR3-A7c02YV2jy2KSDZA_13_0"/>
      <w:bookmarkStart w:id="431" w:name="Tc_4z0ifDt-r0CJzLx5diTaHQ_12_20"/>
      <w:bookmarkStart w:id="432" w:name="Tc_9mZWOnQl0USJKAEifOfQpw_12_17"/>
      <w:bookmarkStart w:id="433" w:name="Tc_At-WHfVcb0K6rEc13sma7Q_12_14"/>
      <w:bookmarkStart w:id="434" w:name="Tc_Upm-aV4-dUu3qa9Jn1gfbA_12_8"/>
      <w:bookmarkStart w:id="435" w:name="Tc_zvS7xXCYTEe5SOgDDwCFLw_12_5"/>
      <w:bookmarkStart w:id="436" w:name="Tc_XGgzDz_wqUS4TXKOQBNBeA_12_2"/>
      <w:bookmarkStart w:id="437" w:name="Tc_ivy28xTOL02ybOWsAj7Yvg_12_0"/>
      <w:bookmarkStart w:id="438" w:name="Tc_gBzPVqOIJECTDwEpQSzbaA_11_20"/>
      <w:bookmarkStart w:id="439" w:name="Tc_M7y7EQBPYUuHQTNc41rsiA_11_17"/>
      <w:bookmarkStart w:id="440" w:name="Tc_vuJjySwBw0anlpuMBtn7xg_11_14"/>
      <w:bookmarkStart w:id="441" w:name="Tc_xzmhgDqId0O4arYhsaNjCg_11_8"/>
      <w:bookmarkStart w:id="442" w:name="Tc_X2D6-rIe_UCC8-DqZ6cPTw_11_0"/>
      <w:bookmarkStart w:id="443" w:name="Tc_2tlatZHf5Eu5IQlC3eeF0g_10_20"/>
      <w:bookmarkStart w:id="444" w:name="Tc_nZBOBHNIJkyxEYBXeQTLZw_10_17"/>
      <w:bookmarkStart w:id="445" w:name="Tc_d9DTNyPUBUylIX20mxUJoQ_10_11"/>
      <w:bookmarkStart w:id="446" w:name="Tc_Hmv1gOOb-UmQ85Vn_voPUQ_10_8"/>
      <w:bookmarkStart w:id="447" w:name="Tc_BzfXMgwmvEeqlZe3bFXH9A_10_5"/>
      <w:bookmarkStart w:id="448" w:name="Tc_DcQhjHmN7UCqsS7yv9OK0g_10_2"/>
      <w:bookmarkStart w:id="449" w:name="Tc_iGcEFLdQckSZEJzJefIfNg_10_0"/>
      <w:bookmarkStart w:id="450" w:name="Tc_eT6L3Z2XLkurAiqAHItrXQ_9_17"/>
      <w:bookmarkStart w:id="451" w:name="Tc_lXFVcN3_9UadsWMBPlHgxg_9_11"/>
      <w:bookmarkStart w:id="452" w:name="Tc_aw1zlawIxkegwiMSK1kpNQ_9_8"/>
      <w:bookmarkStart w:id="453" w:name="Tc_cMRwR0RFckiA5obbZGYqbg_9_5"/>
      <w:bookmarkStart w:id="454" w:name="Tc_ylWRzAWJPk-n86OsxzkLNw_9_2"/>
      <w:bookmarkStart w:id="455" w:name="Tc_PpQxLuwHTkeZytsTppP_GQ_9_0"/>
      <w:bookmarkStart w:id="456" w:name="Tc_caWUqyQoPkeNUSop7hJ3Mw_8_17"/>
      <w:bookmarkStart w:id="457" w:name="Tc_D2QX7qQKUUGk65jAdvzn0A_8_14"/>
      <w:bookmarkStart w:id="458" w:name="Tc_gHj7uhd8J0W4uj9qULQn3w_8_11"/>
      <w:bookmarkStart w:id="459" w:name="Tc__GCzVizWoEWm1jmDmnMz2Q_8_8"/>
      <w:bookmarkStart w:id="460" w:name="Tc_i-strQQOBECJziR9tJ9Byw_8_5"/>
      <w:bookmarkStart w:id="461" w:name="Tc_JIl7Ntu470qJs2HZ31OMVg_8_2"/>
      <w:bookmarkStart w:id="462" w:name="Tc_Oqgqar6VG0yyiixQ8M2CsQ_8_0"/>
      <w:bookmarkStart w:id="463" w:name="Tc_w_8ptslCqUKU_ah7zNRkkQ_7_14"/>
      <w:bookmarkStart w:id="464" w:name="Tc_pi0wTkx9iEqwthEoPQyEhw_7_11"/>
      <w:bookmarkStart w:id="465" w:name="Tc_3Gr4u032dEiulshImDFpzQ_7_8"/>
      <w:bookmarkStart w:id="466" w:name="Tc_97kNxq8XJEuwy6rcT770dQ_7_5"/>
      <w:bookmarkStart w:id="467" w:name="Tc_cvjzw6nxzEizkGG9jUsuFg_7_2"/>
      <w:bookmarkStart w:id="468" w:name="Tc_ztJlgXm2VUK1COQSCSV_qQ_7_0"/>
      <w:bookmarkStart w:id="469" w:name="Tc_mRne5krHskWSAnQqpGGcYg_6_22"/>
      <w:bookmarkStart w:id="470" w:name="Tc_XyQNJEH7MUCu4kbFU9itQg_6_19"/>
      <w:bookmarkStart w:id="471" w:name="Tc_hIZbDbxsB0O7iKKDVb2uHA_6_16"/>
      <w:bookmarkStart w:id="472" w:name="Tc_UoJJph5rdkiEOi1b__HjHg_6_13"/>
      <w:bookmarkStart w:id="473" w:name="Tc_oKzKAJR_tkqdiTz3UuZErw_6_10"/>
      <w:bookmarkStart w:id="474" w:name="Tc_MMnfIjEPI06mpSNusOi5pg_6_7"/>
      <w:bookmarkStart w:id="475" w:name="Tc_GLqFiTEOHkyn4VE0j1hzOA_6_4"/>
      <w:bookmarkStart w:id="476" w:name="Tc_Ionw3f6zCEecudMtcpCQ3Q_6_0"/>
      <w:bookmarkStart w:id="477" w:name="Tc_9Lsl73ngskW_5jA7IGkzAg_5_22"/>
      <w:bookmarkStart w:id="478" w:name="Tc_jZH-dlEvb0i5TJ5zoUhVzA_5_19"/>
      <w:bookmarkStart w:id="479" w:name="Tc__GDVWeT1VESFBsfO0HKN5Q_5_16"/>
      <w:bookmarkStart w:id="480" w:name="Tc_BbpsCVtoLUSHYGA2msNozw_5_13"/>
      <w:bookmarkStart w:id="481" w:name="Tc_pWJqcBarskuteBuiyvnVxg_5_10"/>
      <w:bookmarkStart w:id="482" w:name="Tc_vZ1AakTqbUOBjYMnptD3sg_5_7"/>
      <w:bookmarkStart w:id="483" w:name="Tc_921HeJSKgkOYQ7iHLXrTQA_5_4"/>
      <w:bookmarkStart w:id="484" w:name="Tc_bEiTiVu8E0Cde2KGRjALuA_5_2"/>
      <w:bookmarkStart w:id="485" w:name="Tc_lRG_ygEjak2yZx0aLjO1Cg_4_19"/>
      <w:bookmarkStart w:id="486" w:name="Tc_ykHukiOkM0-yLY7f9_Txyw_4_16"/>
      <w:bookmarkStart w:id="487" w:name="Tc_Tq-lHxa0Y0CMZYFF72J8MA_4_13"/>
      <w:bookmarkStart w:id="488" w:name="Tc_jx6LIN3YT0Sey9EM_CRGcg_4_10"/>
      <w:bookmarkStart w:id="489" w:name="Tc_LwI5KfkOF0STrrc0uj3CVA_4_7"/>
      <w:bookmarkStart w:id="490" w:name="Tc_9WpPuPOBB0KEEiREBKH9Ew_4_2"/>
      <w:bookmarkStart w:id="491" w:name="Tc_NvJBzkhvTkuzRtV9W1YmSQ_3_13"/>
      <w:bookmarkStart w:id="492" w:name="Tc_30YFcrtTV0et6NM19GHRHA_2_13"/>
      <w:bookmarkStart w:id="493" w:name="Tc_7SBPv6g4z0CTPTjTy-b5ig_1_2"/>
      <w:bookmarkStart w:id="494" w:name="_cb562a98_abdd_4c4f_82b0_0e2a5d052f7a"/>
      <w:bookmarkStart w:id="495" w:name="Tc_U1gJIR4dQ0yTfr9yKSOBUQ_14_22"/>
      <w:bookmarkStart w:id="496" w:name="Tc_R0NEIZQAB068XlOQMagk4g_14_19"/>
      <w:bookmarkStart w:id="497" w:name="Tc_xFqboRSG-065zUb_G_RlEQ_14_16"/>
      <w:bookmarkStart w:id="498" w:name="Tc_s21irrN0XECgprf3e5brnA_14_13"/>
      <w:bookmarkStart w:id="499" w:name="Tc_ZSsR1f2myU-t2VwKNMTVmQ_14_10"/>
      <w:bookmarkStart w:id="500" w:name="Tc_Fx0diwTWiUKnlfxbvLNdWw_14_7"/>
      <w:bookmarkStart w:id="501" w:name="Tc_rQxVPPdq8kiny0J_45zaMg_14_4"/>
      <w:bookmarkStart w:id="502" w:name="Tc_0MJSlzPVgEOiLFoND3vKOw_14_0"/>
      <w:bookmarkStart w:id="503" w:name="Tc_p6FeDiraC0ip0wbJSNBpFA_13_20"/>
      <w:bookmarkStart w:id="504" w:name="Tc_1oiHKI7ehkiUgJ0B6qy3eg_13_17"/>
      <w:bookmarkStart w:id="505" w:name="Tc_ugjALK9HW0mnFlF5gO5m0Q_13_11"/>
      <w:bookmarkStart w:id="506" w:name="Tc_qY8YSdQyRUmsKviKVtkBGw_13_8"/>
      <w:bookmarkStart w:id="507" w:name="Tc_kcg_7HukekWPLPGF3_MHKg_13_5"/>
      <w:bookmarkStart w:id="508" w:name="Tc_FaZLKswj606YndXVZcEQPg_13_2"/>
      <w:bookmarkStart w:id="509" w:name="Tc_Z9IR3-A7c02YV2jy2KSDZA_13_0"/>
      <w:bookmarkStart w:id="510" w:name="Tc_4z0ifDt-r0CJzLx5diTaHQ_12_20"/>
      <w:bookmarkStart w:id="511" w:name="Tc_9mZWOnQl0USJKAEifOfQpw_12_17"/>
      <w:bookmarkStart w:id="512" w:name="Tc_At-WHfVcb0K6rEc13sma7Q_12_14"/>
      <w:bookmarkStart w:id="513" w:name="Tc_Upm-aV4-dUu3qa9Jn1gfbA_12_8"/>
      <w:bookmarkStart w:id="514" w:name="Tc_zvS7xXCYTEe5SOgDDwCFLw_12_5"/>
      <w:bookmarkStart w:id="515" w:name="Tc_XGgzDz_wqUS4TXKOQBNBeA_12_2"/>
      <w:bookmarkStart w:id="516" w:name="Tc_ivy28xTOL02ybOWsAj7Yvg_12_0"/>
      <w:bookmarkStart w:id="517" w:name="Tc_gBzPVqOIJECTDwEpQSzbaA_11_20"/>
      <w:bookmarkStart w:id="518" w:name="Tc_M7y7EQBPYUuHQTNc41rsiA_11_17"/>
      <w:bookmarkStart w:id="519" w:name="Tc_vuJjySwBw0anlpuMBtn7xg_11_14"/>
      <w:bookmarkStart w:id="520" w:name="Tc_xzmhgDqId0O4arYhsaNjCg_11_8"/>
      <w:bookmarkStart w:id="521" w:name="Tc_X2D6-rIe_UCC8-DqZ6cPTw_11_0"/>
      <w:bookmarkStart w:id="522" w:name="Tc_2tlatZHf5Eu5IQlC3eeF0g_10_20"/>
      <w:bookmarkStart w:id="523" w:name="Tc_nZBOBHNIJkyxEYBXeQTLZw_10_17"/>
      <w:bookmarkStart w:id="524" w:name="Tc_d9DTNyPUBUylIX20mxUJoQ_10_11"/>
      <w:bookmarkStart w:id="525" w:name="Tc_Hmv1gOOb-UmQ85Vn_voPUQ_10_8"/>
      <w:bookmarkStart w:id="526" w:name="Tc_BzfXMgwmvEeqlZe3bFXH9A_10_5"/>
      <w:bookmarkStart w:id="527" w:name="Tc_DcQhjHmN7UCqsS7yv9OK0g_10_2"/>
      <w:bookmarkStart w:id="528" w:name="Tc_iGcEFLdQckSZEJzJefIfNg_10_0"/>
      <w:bookmarkStart w:id="529" w:name="Tc_eT6L3Z2XLkurAiqAHItrXQ_9_17"/>
      <w:bookmarkStart w:id="530" w:name="Tc_lXFVcN3_9UadsWMBPlHgxg_9_11"/>
      <w:bookmarkStart w:id="531" w:name="Tc_aw1zlawIxkegwiMSK1kpNQ_9_8"/>
      <w:bookmarkStart w:id="532" w:name="Tc_cMRwR0RFckiA5obbZGYqbg_9_5"/>
      <w:bookmarkStart w:id="533" w:name="Tc_ylWRzAWJPk-n86OsxzkLNw_9_2"/>
      <w:bookmarkStart w:id="534" w:name="Tc_PpQxLuwHTkeZytsTppP_GQ_9_0"/>
      <w:bookmarkStart w:id="535" w:name="Tc_caWUqyQoPkeNUSop7hJ3Mw_8_17"/>
      <w:bookmarkStart w:id="536" w:name="Tc_D2QX7qQKUUGk65jAdvzn0A_8_14"/>
      <w:bookmarkStart w:id="537" w:name="Tc_gHj7uhd8J0W4uj9qULQn3w_8_11"/>
      <w:bookmarkStart w:id="538" w:name="Tc__GCzVizWoEWm1jmDmnMz2Q_8_8"/>
      <w:bookmarkStart w:id="539" w:name="Tc_i-strQQOBECJziR9tJ9Byw_8_5"/>
      <w:bookmarkStart w:id="540" w:name="Tc_JIl7Ntu470qJs2HZ31OMVg_8_2"/>
      <w:bookmarkStart w:id="541" w:name="Tc_Oqgqar6VG0yyiixQ8M2CsQ_8_0"/>
      <w:bookmarkStart w:id="542" w:name="Tc_w_8ptslCqUKU_ah7zNRkkQ_7_14"/>
      <w:bookmarkStart w:id="543" w:name="Tc_pi0wTkx9iEqwthEoPQyEhw_7_11"/>
      <w:bookmarkStart w:id="544" w:name="Tc_3Gr4u032dEiulshImDFpzQ_7_8"/>
      <w:bookmarkStart w:id="545" w:name="Tc_97kNxq8XJEuwy6rcT770dQ_7_5"/>
      <w:bookmarkStart w:id="546" w:name="Tc_cvjzw6nxzEizkGG9jUsuFg_7_2"/>
      <w:bookmarkStart w:id="547" w:name="Tc_ztJlgXm2VUK1COQSCSV_qQ_7_0"/>
      <w:bookmarkStart w:id="548" w:name="Tc_mRne5krHskWSAnQqpGGcYg_6_22"/>
      <w:bookmarkStart w:id="549" w:name="Tc_XyQNJEH7MUCu4kbFU9itQg_6_19"/>
      <w:bookmarkStart w:id="550" w:name="Tc_hIZbDbxsB0O7iKKDVb2uHA_6_16"/>
      <w:bookmarkStart w:id="551" w:name="Tc_UoJJph5rdkiEOi1b__HjHg_6_13"/>
      <w:bookmarkStart w:id="552" w:name="Tc_oKzKAJR_tkqdiTz3UuZErw_6_10"/>
      <w:bookmarkStart w:id="553" w:name="Tc_MMnfIjEPI06mpSNusOi5pg_6_7"/>
      <w:bookmarkStart w:id="554" w:name="Tc_GLqFiTEOHkyn4VE0j1hzOA_6_4"/>
      <w:bookmarkStart w:id="555" w:name="Tc_Ionw3f6zCEecudMtcpCQ3Q_6_0"/>
      <w:bookmarkStart w:id="556" w:name="Tc_9Lsl73ngskW_5jA7IGkzAg_5_22"/>
      <w:bookmarkStart w:id="557" w:name="Tc_jZH-dlEvb0i5TJ5zoUhVzA_5_19"/>
      <w:bookmarkStart w:id="558" w:name="Tc__GDVWeT1VESFBsfO0HKN5Q_5_16"/>
      <w:bookmarkStart w:id="559" w:name="Tc_BbpsCVtoLUSHYGA2msNozw_5_13"/>
      <w:bookmarkStart w:id="560" w:name="Tc_pWJqcBarskuteBuiyvnVxg_5_10"/>
      <w:bookmarkStart w:id="561" w:name="Tc_vZ1AakTqbUOBjYMnptD3sg_5_7"/>
      <w:bookmarkStart w:id="562" w:name="Tc_921HeJSKgkOYQ7iHLXrTQA_5_4"/>
      <w:bookmarkStart w:id="563" w:name="Tc_bEiTiVu8E0Cde2KGRjALuA_5_2"/>
      <w:bookmarkStart w:id="564" w:name="Tc_lRG_ygEjak2yZx0aLjO1Cg_4_19"/>
      <w:bookmarkStart w:id="565" w:name="Tc_ykHukiOkM0-yLY7f9_Txyw_4_16"/>
      <w:bookmarkStart w:id="566" w:name="Tc_Tq-lHxa0Y0CMZYFF72J8MA_4_13"/>
      <w:bookmarkStart w:id="567" w:name="Tc_jx6LIN3YT0Sey9EM_CRGcg_4_10"/>
      <w:bookmarkStart w:id="568" w:name="Tc_LwI5KfkOF0STrrc0uj3CVA_4_7"/>
      <w:bookmarkStart w:id="569" w:name="Tc_9WpPuPOBB0KEEiREBKH9Ew_4_2"/>
      <w:bookmarkStart w:id="570" w:name="Tc_NvJBzkhvTkuzRtV9W1YmSQ_3_13"/>
      <w:bookmarkStart w:id="571" w:name="Tc_30YFcrtTV0et6NM19GHRHA_2_13"/>
      <w:bookmarkStart w:id="572" w:name="Tc_7SBPv6g4z0CTPTjTy-b5ig_1_2"/>
      <w:bookmarkStart w:id="573" w:name="_cb562a98_abdd_4c4f_82b0_0e2a5d052f7a"/>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tbl>
      <w:tblPr>
        <w:tblW w:w="10412" w:type="dxa"/>
        <w:jc w:val="left"/>
        <w:tblInd w:w="0" w:type="dxa"/>
        <w:tblLayout w:type="fixed"/>
        <w:tblCellMar>
          <w:top w:w="0" w:type="dxa"/>
          <w:left w:w="0" w:type="dxa"/>
          <w:bottom w:w="0" w:type="dxa"/>
          <w:right w:w="0" w:type="dxa"/>
        </w:tblCellMar>
      </w:tblPr>
      <w:tblGrid>
        <w:gridCol w:w="856"/>
        <w:gridCol w:w="346"/>
        <w:gridCol w:w="481"/>
        <w:gridCol w:w="346"/>
        <w:gridCol w:w="346"/>
        <w:gridCol w:w="346"/>
        <w:gridCol w:w="346"/>
        <w:gridCol w:w="346"/>
        <w:gridCol w:w="541"/>
        <w:gridCol w:w="346"/>
        <w:gridCol w:w="376"/>
        <w:gridCol w:w="540"/>
        <w:gridCol w:w="346"/>
        <w:gridCol w:w="228"/>
        <w:gridCol w:w="748"/>
        <w:gridCol w:w="346"/>
        <w:gridCol w:w="346"/>
        <w:gridCol w:w="496"/>
        <w:gridCol w:w="346"/>
        <w:gridCol w:w="425"/>
        <w:gridCol w:w="536"/>
        <w:gridCol w:w="346"/>
        <w:gridCol w:w="346"/>
        <w:gridCol w:w="496"/>
        <w:gridCol w:w="191"/>
      </w:tblGrid>
      <w:tr>
        <w:trPr/>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43560" cy="175260"/>
                      <wp:effectExtent l="0" t="0" r="0" b="0"/>
                      <wp:wrapNone/>
                      <wp:docPr id="45" name="Frame4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5435" cy="175260"/>
                      <wp:effectExtent l="0" t="0" r="0" b="0"/>
                      <wp:wrapNone/>
                      <wp:docPr id="47" name="Frame4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43535" cy="175260"/>
                      <wp:effectExtent l="0" t="0" r="0" b="0"/>
                      <wp:wrapNone/>
                      <wp:docPr id="53" name="Frame5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8760" cy="175260"/>
                      <wp:effectExtent l="0" t="0" r="0" b="0"/>
                      <wp:wrapNone/>
                      <wp:docPr id="55" name="Frame5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42900" cy="175260"/>
                      <wp:effectExtent l="0" t="0" r="0" b="0"/>
                      <wp:wrapNone/>
                      <wp:docPr id="56" name="Frame5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4780" cy="175260"/>
                      <wp:effectExtent l="0" t="0" r="0" b="0"/>
                      <wp:wrapNone/>
                      <wp:docPr id="58" name="Frame5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74980" cy="175260"/>
                      <wp:effectExtent l="0" t="0" r="0" b="0"/>
                      <wp:wrapNone/>
                      <wp:docPr id="59" name="Frame59"/>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14960" cy="175260"/>
                      <wp:effectExtent l="0" t="0" r="0" b="0"/>
                      <wp:wrapNone/>
                      <wp:docPr id="62" name="Frame6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69875" cy="175260"/>
                      <wp:effectExtent l="0" t="0" r="0" b="0"/>
                      <wp:wrapNone/>
                      <wp:docPr id="64" name="Frame6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40360" cy="175260"/>
                      <wp:effectExtent l="0" t="0" r="0" b="0"/>
                      <wp:wrapNone/>
                      <wp:docPr id="65" name="Frame65"/>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14960" cy="175260"/>
                      <wp:effectExtent l="0" t="0" r="0" b="0"/>
                      <wp:wrapNone/>
                      <wp:docPr id="68" name="Frame68"/>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1285" cy="175260"/>
                      <wp:effectExtent l="0" t="0" r="0" b="0"/>
                      <wp:wrapNone/>
                      <wp:docPr id="69" name="Frame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9" w:type="dxa"/>
            <w:gridSpan w:val="2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Stockholders’ Equity of the Company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81"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76" w:type="dxa"/>
            <w:tcBorders/>
            <w:vAlign w:val="center"/>
          </w:tcPr>
          <w:p>
            <w:pPr>
              <w:pStyle w:val="TableContents"/>
              <w:bidi w:val="0"/>
              <w:spacing w:lineRule="auto" w:line="285" w:before="0" w:after="0"/>
              <w:ind w:left="0" w:right="0" w:hanging="0"/>
              <w:jc w:val="left"/>
              <w:rPr/>
            </w:pPr>
            <w:r>
              <w:rPr/>
              <w:t>  ​ ​ ​</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Accumulated</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left"/>
              <w:rPr/>
            </w:pPr>
            <w:r>
              <w:rPr/>
              <w:t>  ​ ​ ​</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left"/>
              <w:rPr/>
            </w:pPr>
            <w:r>
              <w:rPr/>
              <w:t>  ​ ​ ​</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7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Other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Treasury</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Comprehensive</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Retained</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Noncontrolling</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Shares</w:t>
            </w:r>
          </w:p>
        </w:tc>
        <w:tc>
          <w:tcPr>
            <w:tcW w:w="346" w:type="dxa"/>
            <w:tcBorders/>
            <w:vAlign w:val="center"/>
          </w:tcPr>
          <w:p>
            <w:pPr>
              <w:pStyle w:val="TableContents"/>
              <w:bidi w:val="0"/>
              <w:spacing w:lineRule="auto" w:line="285" w:before="0" w:after="0"/>
              <w:ind w:left="0" w:right="0" w:hanging="0"/>
              <w:jc w:val="center"/>
              <w:rPr/>
            </w:pPr>
            <w:r>
              <w:rPr/>
              <w:t>​</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Stock</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Paid-in Capital</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Income (Loss)</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Earnings</w:t>
            </w:r>
          </w:p>
        </w:tc>
        <w:tc>
          <w:tcPr>
            <w:tcW w:w="346" w:type="dxa"/>
            <w:tcBorders/>
            <w:vAlign w:val="center"/>
          </w:tcPr>
          <w:p>
            <w:pPr>
              <w:pStyle w:val="TableContents"/>
              <w:bidi w:val="0"/>
              <w:spacing w:lineRule="auto" w:line="285"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interest</w:t>
            </w:r>
          </w:p>
        </w:tc>
        <w:tc>
          <w:tcPr>
            <w:tcW w:w="346" w:type="dxa"/>
            <w:tcBorders/>
            <w:vAlign w:val="center"/>
          </w:tcPr>
          <w:p>
            <w:pPr>
              <w:pStyle w:val="TableContents"/>
              <w:bidi w:val="0"/>
              <w:spacing w:lineRule="auto" w:line="285" w:before="0" w:after="0"/>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2"/>
              </w:rPr>
            </w:pPr>
            <w:r>
              <w:rPr>
                <w:rFonts w:ascii="Arial;Helvetica;sans-serif" w:hAnsi="Arial;Helvetica;sans-serif"/>
                <w:b/>
                <w:sz w:val="12"/>
              </w:rPr>
              <w:t>Total 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48,560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432,268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(106,938)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354,151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17,836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112,903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Net (loss) income</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(7,609)</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2,432</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(5,177)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Payments distributed to noncontrolling interest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(1,800)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Foreign currency translation adjustments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(5,026)</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(229)</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(5,255)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Derivatives valuation,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(1,756)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Vesting of restricted stock units</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50</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34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vAlign w:val="center"/>
          </w:tcPr>
          <w:p>
            <w:pPr>
              <w:pStyle w:val="TableContents"/>
              <w:bidi w:val="0"/>
              <w:spacing w:lineRule="auto" w:line="285" w:before="0" w:after="0"/>
              <w:ind w:left="0" w:right="0" w:hanging="0"/>
              <w:jc w:val="left"/>
              <w:rPr/>
            </w:pPr>
            <w:r>
              <w:rPr/>
              <w:t> </w:t>
            </w:r>
          </w:p>
        </w:tc>
        <w:tc>
          <w:tcPr>
            <w:tcW w:w="540"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(47)</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vAlign w:val="center"/>
          </w:tcPr>
          <w:p>
            <w:pPr>
              <w:pStyle w:val="TableContents"/>
              <w:bidi w:val="0"/>
              <w:spacing w:lineRule="auto" w:line="285" w:before="0" w:after="0"/>
              <w:ind w:left="0" w:right="0" w:hanging="0"/>
              <w:jc w:val="left"/>
              <w:rPr/>
            </w:pPr>
            <w:r>
              <w:rPr/>
              <w:t> </w:t>
            </w:r>
          </w:p>
        </w:tc>
        <w:tc>
          <w:tcPr>
            <w:tcW w:w="7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 </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 </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496" w:type="dxa"/>
            <w:tcBorders/>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shd w:fill="CCEEFF" w:val="clear"/>
            <w:vAlign w:val="center"/>
          </w:tcPr>
          <w:p>
            <w:pPr>
              <w:pStyle w:val="TableContents"/>
              <w:bidi w:val="0"/>
              <w:spacing w:lineRule="auto" w:line="285" w:before="0" w:after="0"/>
              <w:ind w:left="0" w:right="0" w:hanging="0"/>
              <w:jc w:val="left"/>
              <w:rPr/>
            </w:pPr>
            <w:r>
              <w:rPr/>
              <w:t> </w:t>
            </w:r>
          </w:p>
        </w:tc>
        <w:tc>
          <w:tcPr>
            <w:tcW w:w="5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2,826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shd w:fill="CCEEFF" w:val="clear"/>
            <w:vAlign w:val="center"/>
          </w:tcPr>
          <w:p>
            <w:pPr>
              <w:pStyle w:val="TableContents"/>
              <w:bidi w:val="0"/>
              <w:spacing w:lineRule="auto" w:line="285" w:before="0" w:after="0"/>
              <w:ind w:left="0" w:right="0" w:hanging="0"/>
              <w:jc w:val="left"/>
              <w:rPr/>
            </w:pPr>
            <w:r>
              <w:rPr/>
              <w:t> </w:t>
            </w:r>
          </w:p>
        </w:tc>
        <w:tc>
          <w:tcPr>
            <w:tcW w:w="74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 </w:t>
            </w:r>
          </w:p>
        </w:tc>
        <w:tc>
          <w:tcPr>
            <w:tcW w:w="4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pPr>
            <w:r>
              <w:rPr/>
              <w:t> </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2,826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856" w:type="dxa"/>
            <w:tcBorders/>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Other, net of tax</w:t>
            </w:r>
          </w:p>
        </w:tc>
        <w:tc>
          <w:tcPr>
            <w:tcW w:w="346" w:type="dxa"/>
            <w:tcBorders/>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63</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63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8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2"/>
              </w:rPr>
            </w:pPr>
            <w:r>
              <w:rPr>
                <w:rFonts w:ascii="Arial;Helvetica;sans-serif" w:hAnsi="Arial;Helvetica;sans-serif"/>
                <w:b/>
                <w:sz w:val="12"/>
              </w:rPr>
              <w:t>Balance as of March 31,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48,610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(584,900)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435,047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7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(113,657)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346,542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18,239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2"/>
              </w:rPr>
            </w:pPr>
            <w:r>
              <w:rPr>
                <w:rFonts w:ascii="Arial;Helvetica;sans-serif" w:hAnsi="Arial;Helvetica;sans-serif"/>
                <w:sz w:val="12"/>
              </w:rPr>
              <w:t>$</w:t>
            </w:r>
          </w:p>
        </w:tc>
        <w:tc>
          <w:tcPr>
            <w:tcW w:w="4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2"/>
              </w:rPr>
            </w:pPr>
            <w:r>
              <w:rPr>
                <w:rFonts w:ascii="Arial;Helvetica;sans-serif" w:hAnsi="Arial;Helvetica;sans-serif"/>
                <w:sz w:val="12"/>
              </w:rPr>
              <w:t>101,758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sz w:val="12"/>
        </w:rPr>
      </w:pPr>
      <w:r>
        <w:rPr>
          <w:rFonts w:ascii="Arial;Helvetica;sans-serif" w:hAnsi="Arial;Helvetica;sans-serif"/>
          <w:sz w:val="12"/>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16"/>
        </w:rPr>
      </w:pPr>
      <w:bookmarkStart w:id="574" w:name="_79a20ad5_7fe9_44b4_b3dc_b3f3d3b5d979"/>
      <w:bookmarkEnd w:id="574"/>
      <w:r>
        <w:rPr>
          <w:rFonts w:ascii="Arial;Helvetica;sans-serif" w:hAnsi="Arial;Helvetica;sans-serif"/>
          <w:b/>
          <w:sz w:val="16"/>
        </w:rPr>
        <w:t>TTEC HOLDINGS, INC. AND SUBSIDIARIES</w:t>
      </w:r>
    </w:p>
    <w:p>
      <w:pPr>
        <w:pStyle w:val="TextBody"/>
        <w:bidi w:val="0"/>
        <w:spacing w:lineRule="auto" w:line="285" w:before="0" w:after="0"/>
        <w:ind w:left="0" w:right="0" w:hanging="0"/>
        <w:jc w:val="center"/>
        <w:rPr>
          <w:rFonts w:ascii="Arial;Helvetica;sans-serif" w:hAnsi="Arial;Helvetica;sans-serif"/>
          <w:b/>
          <w:sz w:val="16"/>
        </w:rPr>
      </w:pPr>
      <w:bookmarkStart w:id="575" w:name="ConsolidatedStatementsofCashFlow_112435"/>
      <w:bookmarkEnd w:id="575"/>
      <w:r>
        <w:rPr>
          <w:rFonts w:ascii="Arial;Helvetica;sans-serif" w:hAnsi="Arial;Helvetica;sans-serif"/>
          <w:b/>
          <w:sz w:val="16"/>
        </w:rPr>
        <w:t>Consolidated Statements of Cash Flows</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(Amounts in thousands)</w:t>
      </w:r>
    </w:p>
    <w:p>
      <w:pPr>
        <w:pStyle w:val="TextBody"/>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576" w:name="Tc_MmD4Vxlqrki1oEwHn5CKkg_52_5"/>
      <w:bookmarkStart w:id="577" w:name="Tc_W_39G2rd_0yJLN7v8onifw_52_2"/>
      <w:bookmarkStart w:id="578" w:name="Tc_Ivf2Da-5G0248wblgsxeeQ_52_0"/>
      <w:bookmarkStart w:id="579" w:name="Tc_g1qp2mnn-kKLRd3GZqdjRg_51_0"/>
      <w:bookmarkStart w:id="580" w:name="Tc_4LANXfbl60e3txKS5WZqzQ_50_5"/>
      <w:bookmarkStart w:id="581" w:name="Tc_c-D0UTzv6EuD-hNoGX-JOA_50_2"/>
      <w:bookmarkStart w:id="582" w:name="Tc_cZoe7unkNkmvuMGnmZeXMg_50_0"/>
      <w:bookmarkStart w:id="583" w:name="Tc_AARMprbe7U21z771qfzySg_49_5"/>
      <w:bookmarkStart w:id="584" w:name="Tc_wQXPL2P5s0eH8y81sVkKWg_49_2"/>
      <w:bookmarkStart w:id="585" w:name="Tc_cSDOnvbddkec9Vwj6TRHrw_49_0"/>
      <w:bookmarkStart w:id="586" w:name="Tc_fyqOMFIKTEKsfuMCwFDeVw_48_0"/>
      <w:bookmarkStart w:id="587" w:name="Tc_F_vfyYHKAUG6bbEwCAzU7g_46_5"/>
      <w:bookmarkStart w:id="588" w:name="Tc_nSKx7WsGekuMQ_IXNUUe6Q_46_2"/>
      <w:bookmarkStart w:id="589" w:name="Tc_ew4EJ-1Tm0ibZvJ8wb8lNg_46_0"/>
      <w:bookmarkStart w:id="590" w:name="Tc_YmPrmaSVg02yOyGvZwTStA_45_0"/>
      <w:bookmarkStart w:id="591" w:name="Tc_7Wt8IyZXkUezkwk57KIT4w_44_0"/>
      <w:bookmarkStart w:id="592" w:name="Tc_g8JmhS2IlUiu2OAJVHDsNQ_42_0"/>
      <w:bookmarkStart w:id="593" w:name="Tc_U15Hhyb7QkOq_RGQOwmQEg_40_0"/>
      <w:bookmarkStart w:id="594" w:name="Tc_qd3e_sAiikylSRS9ODpenQ_39_0"/>
      <w:bookmarkStart w:id="595" w:name="Tc_n7ZaxvmvukS6oIGXK5PNBg_38_0"/>
      <w:bookmarkStart w:id="596" w:name="Tc_8hP9rMIyTUa14R-NriKBXg_37_0"/>
      <w:bookmarkStart w:id="597" w:name="Tc_fFq1i30mXEWV0nsN85EcFQ_36_0"/>
      <w:bookmarkStart w:id="598" w:name="Tc_0QBsS6bxwEqJgF-5UswE1Q_35_0"/>
      <w:bookmarkStart w:id="599" w:name="Tc_H27A2nh73k6hQNEng8TPnw_34_0"/>
      <w:bookmarkStart w:id="600" w:name="Tc_fZojetdVfkeZBMzvbqRbAQ_32_0"/>
      <w:bookmarkStart w:id="601" w:name="Tc_cvUlJYW9G0CV8IyrHkPX4w_31_0"/>
      <w:bookmarkStart w:id="602" w:name="Tc_w2Q9M8l9DkiwIYBdK9IZkA_30_0"/>
      <w:bookmarkStart w:id="603" w:name="Tc_Hub8Sq8jnkenxq-AsCwfEg_29_0"/>
      <w:bookmarkStart w:id="604" w:name="Tc_C_fUmFxOgku8MYezMq6Wsg_27_0"/>
      <w:bookmarkStart w:id="605" w:name="Tc_rzIEpYVhhU-MtgdZiHbUXQ_26_0"/>
      <w:bookmarkStart w:id="606" w:name="Tc_rEr5JULXdk-wrCIDx1Xesg_25_0"/>
      <w:bookmarkStart w:id="607" w:name="Tc_OhSfMF8WhEyTKZTK9uLQXw_24_0"/>
      <w:bookmarkStart w:id="608" w:name="Tc_LidjwTUdpUyIH5PWoyoiVA_23_0"/>
      <w:bookmarkStart w:id="609" w:name="Tc_3OU_PGW5KEepNtmdCt15Pg_22_0"/>
      <w:bookmarkStart w:id="610" w:name="Tc_n1H_dOWHjkiUiAPezqOL8Q_21_0"/>
      <w:bookmarkStart w:id="611" w:name="Tc_9-8N33LkEUuewYi2IkECIg_20_0"/>
      <w:bookmarkStart w:id="612" w:name="Tc_pBISWRfb6E67pO2KjuIW_w_19_0"/>
      <w:bookmarkStart w:id="613" w:name="Tc__EPZ_sUkmUCgR0kpFpuPoQ_18_0"/>
      <w:bookmarkStart w:id="614" w:name="Tc_ldVzGfiygEKDhKIwRiRNIQ_17_0"/>
      <w:bookmarkStart w:id="615" w:name="Tc_oXN3Jo0wCka003aS8tC3Og_16_0"/>
      <w:bookmarkStart w:id="616" w:name="Tc_mFOG59DYfU-ZjE01QsKUEg_15_0"/>
      <w:bookmarkStart w:id="617" w:name="Tc_hX4j8Xz66EiYpUK8ELWXOw_14_0"/>
      <w:bookmarkStart w:id="618" w:name="Tc_0ittaGdKXE6fwl37WSC_6w_13_3"/>
      <w:bookmarkStart w:id="619" w:name="Tc_J30nXFSs4EKiXjRmjcykkA_13_0"/>
      <w:bookmarkStart w:id="620" w:name="Tc_0TxxYPc54U6YM9kcRXyveg_12_0"/>
      <w:bookmarkStart w:id="621" w:name="Tc_7Nsq6JeRQEeh_6t-EmLn1A_11_0"/>
      <w:bookmarkStart w:id="622" w:name="Tc_vEDCq-PnsEGbBQGiCesL4g_10_0"/>
      <w:bookmarkStart w:id="623" w:name="Tc_hXlow7uqnU-nGcinNwismA_9_0"/>
      <w:bookmarkStart w:id="624" w:name="Tc_CgNR2IEPkE2DRO8SsrppKA_8_0"/>
      <w:bookmarkStart w:id="625" w:name="Tc_s_orLdI8CUK9AcYXd11QIw_7_0"/>
      <w:bookmarkStart w:id="626" w:name="Tc_fIslMQPhzE-S20rbN1DLUg_6_0"/>
      <w:bookmarkStart w:id="627" w:name="Tc_9wnKGwPl-kOMANo-BSlpiw_5_0"/>
      <w:bookmarkStart w:id="628" w:name="Tc_BPrkAeO3H0WO56kmeZvhaw_4_5"/>
      <w:bookmarkStart w:id="629" w:name="Tc_LlC1ekq090qnYS-P0yz8lw_4_2"/>
      <w:bookmarkStart w:id="630" w:name="Tc_arFgjptpb0COtPugnvzrcw_4_0"/>
      <w:bookmarkStart w:id="631" w:name="Tc_wTA-WpAQEkmz_QjtZ88s1g_3_0"/>
      <w:bookmarkStart w:id="632" w:name="Tc_SZyRkxPr3Ey3M62mG_9g5A_2_5"/>
      <w:bookmarkStart w:id="633" w:name="Tc_t0thW8-wpUasp32t8d7dJQ_2_2"/>
      <w:bookmarkStart w:id="634" w:name="Tc_Qz0Ayxk-ZUOb0luBurNLWg_1_2"/>
      <w:bookmarkStart w:id="635" w:name="_8a8b10b4_bea4_4b52_8bb1_1312bfe912ae"/>
      <w:bookmarkStart w:id="636" w:name="Tc_MmD4Vxlqrki1oEwHn5CKkg_52_5"/>
      <w:bookmarkStart w:id="637" w:name="Tc_W_39G2rd_0yJLN7v8onifw_52_2"/>
      <w:bookmarkStart w:id="638" w:name="Tc_Ivf2Da-5G0248wblgsxeeQ_52_0"/>
      <w:bookmarkStart w:id="639" w:name="Tc_g1qp2mnn-kKLRd3GZqdjRg_51_0"/>
      <w:bookmarkStart w:id="640" w:name="Tc_4LANXfbl60e3txKS5WZqzQ_50_5"/>
      <w:bookmarkStart w:id="641" w:name="Tc_c-D0UTzv6EuD-hNoGX-JOA_50_2"/>
      <w:bookmarkStart w:id="642" w:name="Tc_cZoe7unkNkmvuMGnmZeXMg_50_0"/>
      <w:bookmarkStart w:id="643" w:name="Tc_AARMprbe7U21z771qfzySg_49_5"/>
      <w:bookmarkStart w:id="644" w:name="Tc_wQXPL2P5s0eH8y81sVkKWg_49_2"/>
      <w:bookmarkStart w:id="645" w:name="Tc_cSDOnvbddkec9Vwj6TRHrw_49_0"/>
      <w:bookmarkStart w:id="646" w:name="Tc_fyqOMFIKTEKsfuMCwFDeVw_48_0"/>
      <w:bookmarkStart w:id="647" w:name="Tc_F_vfyYHKAUG6bbEwCAzU7g_46_5"/>
      <w:bookmarkStart w:id="648" w:name="Tc_nSKx7WsGekuMQ_IXNUUe6Q_46_2"/>
      <w:bookmarkStart w:id="649" w:name="Tc_ew4EJ-1Tm0ibZvJ8wb8lNg_46_0"/>
      <w:bookmarkStart w:id="650" w:name="Tc_YmPrmaSVg02yOyGvZwTStA_45_0"/>
      <w:bookmarkStart w:id="651" w:name="Tc_7Wt8IyZXkUezkwk57KIT4w_44_0"/>
      <w:bookmarkStart w:id="652" w:name="Tc_g8JmhS2IlUiu2OAJVHDsNQ_42_0"/>
      <w:bookmarkStart w:id="653" w:name="Tc_U15Hhyb7QkOq_RGQOwmQEg_40_0"/>
      <w:bookmarkStart w:id="654" w:name="Tc_qd3e_sAiikylSRS9ODpenQ_39_0"/>
      <w:bookmarkStart w:id="655" w:name="Tc_n7ZaxvmvukS6oIGXK5PNBg_38_0"/>
      <w:bookmarkStart w:id="656" w:name="Tc_8hP9rMIyTUa14R-NriKBXg_37_0"/>
      <w:bookmarkStart w:id="657" w:name="Tc_fFq1i30mXEWV0nsN85EcFQ_36_0"/>
      <w:bookmarkStart w:id="658" w:name="Tc_0QBsS6bxwEqJgF-5UswE1Q_35_0"/>
      <w:bookmarkStart w:id="659" w:name="Tc_H27A2nh73k6hQNEng8TPnw_34_0"/>
      <w:bookmarkStart w:id="660" w:name="Tc_fZojetdVfkeZBMzvbqRbAQ_32_0"/>
      <w:bookmarkStart w:id="661" w:name="Tc_cvUlJYW9G0CV8IyrHkPX4w_31_0"/>
      <w:bookmarkStart w:id="662" w:name="Tc_w2Q9M8l9DkiwIYBdK9IZkA_30_0"/>
      <w:bookmarkStart w:id="663" w:name="Tc_Hub8Sq8jnkenxq-AsCwfEg_29_0"/>
      <w:bookmarkStart w:id="664" w:name="Tc_C_fUmFxOgku8MYezMq6Wsg_27_0"/>
      <w:bookmarkStart w:id="665" w:name="Tc_rzIEpYVhhU-MtgdZiHbUXQ_26_0"/>
      <w:bookmarkStart w:id="666" w:name="Tc_rEr5JULXdk-wrCIDx1Xesg_25_0"/>
      <w:bookmarkStart w:id="667" w:name="Tc_OhSfMF8WhEyTKZTK9uLQXw_24_0"/>
      <w:bookmarkStart w:id="668" w:name="Tc_LidjwTUdpUyIH5PWoyoiVA_23_0"/>
      <w:bookmarkStart w:id="669" w:name="Tc_3OU_PGW5KEepNtmdCt15Pg_22_0"/>
      <w:bookmarkStart w:id="670" w:name="Tc_n1H_dOWHjkiUiAPezqOL8Q_21_0"/>
      <w:bookmarkStart w:id="671" w:name="Tc_9-8N33LkEUuewYi2IkECIg_20_0"/>
      <w:bookmarkStart w:id="672" w:name="Tc_pBISWRfb6E67pO2KjuIW_w_19_0"/>
      <w:bookmarkStart w:id="673" w:name="Tc__EPZ_sUkmUCgR0kpFpuPoQ_18_0"/>
      <w:bookmarkStart w:id="674" w:name="Tc_ldVzGfiygEKDhKIwRiRNIQ_17_0"/>
      <w:bookmarkStart w:id="675" w:name="Tc_oXN3Jo0wCka003aS8tC3Og_16_0"/>
      <w:bookmarkStart w:id="676" w:name="Tc_mFOG59DYfU-ZjE01QsKUEg_15_0"/>
      <w:bookmarkStart w:id="677" w:name="Tc_hX4j8Xz66EiYpUK8ELWXOw_14_0"/>
      <w:bookmarkStart w:id="678" w:name="Tc_0ittaGdKXE6fwl37WSC_6w_13_3"/>
      <w:bookmarkStart w:id="679" w:name="Tc_J30nXFSs4EKiXjRmjcykkA_13_0"/>
      <w:bookmarkStart w:id="680" w:name="Tc_0TxxYPc54U6YM9kcRXyveg_12_0"/>
      <w:bookmarkStart w:id="681" w:name="Tc_7Nsq6JeRQEeh_6t-EmLn1A_11_0"/>
      <w:bookmarkStart w:id="682" w:name="Tc_vEDCq-PnsEGbBQGiCesL4g_10_0"/>
      <w:bookmarkStart w:id="683" w:name="Tc_hXlow7uqnU-nGcinNwismA_9_0"/>
      <w:bookmarkStart w:id="684" w:name="Tc_CgNR2IEPkE2DRO8SsrppKA_8_0"/>
      <w:bookmarkStart w:id="685" w:name="Tc_s_orLdI8CUK9AcYXd11QIw_7_0"/>
      <w:bookmarkStart w:id="686" w:name="Tc_fIslMQPhzE-S20rbN1DLUg_6_0"/>
      <w:bookmarkStart w:id="687" w:name="Tc_9wnKGwPl-kOMANo-BSlpiw_5_0"/>
      <w:bookmarkStart w:id="688" w:name="Tc_BPrkAeO3H0WO56kmeZvhaw_4_5"/>
      <w:bookmarkStart w:id="689" w:name="Tc_LlC1ekq090qnYS-P0yz8lw_4_2"/>
      <w:bookmarkStart w:id="690" w:name="Tc_arFgjptpb0COtPugnvzrcw_4_0"/>
      <w:bookmarkStart w:id="691" w:name="Tc_wTA-WpAQEkmz_QjtZ88s1g_3_0"/>
      <w:bookmarkStart w:id="692" w:name="Tc_SZyRkxPr3Ey3M62mG_9g5A_2_5"/>
      <w:bookmarkStart w:id="693" w:name="Tc_t0thW8-wpUasp32t8d7dJQ_2_2"/>
      <w:bookmarkStart w:id="694" w:name="Tc_Qz0Ayxk-ZUOb0luBurNLWg_1_2"/>
      <w:bookmarkStart w:id="695" w:name="_8a8b10b4_bea4_4b52_8bb1_1312bfe912ae"/>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tbl>
      <w:tblPr>
        <w:tblW w:w="10142" w:type="dxa"/>
        <w:jc w:val="left"/>
        <w:tblInd w:w="0" w:type="dxa"/>
        <w:tblLayout w:type="fixed"/>
        <w:tblCellMar>
          <w:top w:w="0" w:type="dxa"/>
          <w:left w:w="0" w:type="dxa"/>
          <w:bottom w:w="0" w:type="dxa"/>
          <w:right w:w="0" w:type="dxa"/>
        </w:tblCellMar>
      </w:tblPr>
      <w:tblGrid>
        <w:gridCol w:w="6616"/>
        <w:gridCol w:w="346"/>
        <w:gridCol w:w="249"/>
        <w:gridCol w:w="941"/>
        <w:gridCol w:w="409"/>
        <w:gridCol w:w="249"/>
        <w:gridCol w:w="941"/>
        <w:gridCol w:w="391"/>
      </w:tblGrid>
      <w:tr>
        <w:trPr/>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01160" cy="175260"/>
                      <wp:effectExtent l="0" t="0" r="0" b="0"/>
                      <wp:wrapNone/>
                      <wp:docPr id="70" name="Frame70"/>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8115" cy="175260"/>
                      <wp:effectExtent l="0" t="0" r="0" b="0"/>
                      <wp:wrapNone/>
                      <wp:docPr id="72" name="Frame7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7535" cy="175260"/>
                      <wp:effectExtent l="0" t="0" r="0" b="0"/>
                      <wp:wrapNone/>
                      <wp:docPr id="73" name="Frame7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59715" cy="175260"/>
                      <wp:effectExtent l="0" t="0" r="0" b="0"/>
                      <wp:wrapNone/>
                      <wp:docPr id="74" name="Frame74"/>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8115" cy="175260"/>
                      <wp:effectExtent l="0" t="0" r="0" b="0"/>
                      <wp:wrapNone/>
                      <wp:docPr id="75" name="Frame7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97535" cy="175260"/>
                      <wp:effectExtent l="0" t="0" r="0" b="0"/>
                      <wp:wrapNone/>
                      <wp:docPr id="76" name="Frame7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8285" cy="175260"/>
                      <wp:effectExtent l="0" t="0" r="0" b="0"/>
                      <wp:wrapNone/>
                      <wp:docPr id="77" name="Frame7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6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09" w:type="dxa"/>
            <w:tcBorders/>
            <w:vAlign w:val="center"/>
          </w:tcPr>
          <w:p>
            <w:pPr>
              <w:pStyle w:val="TableContents"/>
              <w:bidi w:val="0"/>
              <w:spacing w:lineRule="auto" w:line="285" w:before="0" w:after="0"/>
              <w:ind w:left="0" w:right="0" w:hanging="0"/>
              <w:jc w:val="center"/>
              <w:rPr/>
            </w:pPr>
            <w:r>
              <w:rPr/>
              <w:t>  ​ ​ ​</w:t>
            </w:r>
          </w:p>
        </w:tc>
        <w:tc>
          <w:tcPr>
            <w:tcW w:w="1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91" w:type="dxa"/>
            <w:tcBorders/>
            <w:vAlign w:val="center"/>
          </w:tcPr>
          <w:p>
            <w:pPr>
              <w:pStyle w:val="TableContents"/>
              <w:bidi w:val="0"/>
              <w:spacing w:lineRule="auto" w:line="285" w:before="0" w:after="0"/>
              <w:ind w:left="0" w:right="0" w:hanging="0"/>
              <w:jc w:val="center"/>
              <w:rPr/>
            </w:pPr>
            <w:r>
              <w:rPr/>
              <w:t>  ​ ​ ​</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(5,177)</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3,246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Adjustments to reconcile net income to 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21,305</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22,698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Amortization of contract acquisition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292</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494</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Amortization of debt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733</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510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184</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(Gain) loss on disposal of assets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Impairment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520</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Loss on dissolution of subsidiary</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1,913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Excess tax benefit from equity-based awards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205</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2,826</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3,250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Loss (gain) on foreign currency derivatives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165</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Changes in assets and liabilities, net of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24,915</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14,189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29,466</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(7,921)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lease assets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8,342</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9,715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noncurrent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5,494</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(3,514)</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Accrued employee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(41,600)</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(21,758)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Accounts payable and 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(11,609)</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3,868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revenue and customer advances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1,473</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5,543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(7,538)</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(9,297)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noncurrent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(2,617)</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(2,840)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27,535</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21,592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Proceeds from sale of long-lived assets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1,460</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127</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Purchases of property, plant and equipment, net of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(6,400)</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(5,406)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(4,940)</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(5,279)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Proceeds from/(repayments of) line of credit,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(16,000)</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Payments on other debt</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(372)</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(462)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Payments of debt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(134)</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Payments to noncontrolling interest</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(1,800)</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Tax payments related to issuance of restricted stock units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(46)</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used in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(18,352)</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(13,735)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Effect of exchange rate changes on cash, cash equivalents and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1,603</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(2,434)</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Increase/(decrease) in cash, cash equivalents and 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5,846</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 </w:t>
            </w:r>
          </w:p>
        </w:tc>
        <w:tc>
          <w:tcPr>
            <w:tcW w:w="94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144</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cash equivalents and restricted cash,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82,901</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84,991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cash equivalents and restricted cash, 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88,747</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85,135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Supplemental disclosures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righ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paid for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16,529</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19,242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paid for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5,751</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4,898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66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Non-cash investing and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4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righ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66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Acquisition of equipment through increase in accounts payable, net</w:t>
            </w:r>
          </w:p>
        </w:tc>
        <w:tc>
          <w:tcPr>
            <w:tcW w:w="346" w:type="dxa"/>
            <w:tcBorders/>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1,733</w:t>
            </w:r>
          </w:p>
        </w:tc>
        <w:tc>
          <w:tcPr>
            <w:tcW w:w="409" w:type="dxa"/>
            <w:tcBorders/>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(637)</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The accompanying notes are an integral part of these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bookmarkStart w:id="696" w:name="NOTESTOCONSOLIDATEDFINANCIALSTATEMENT"/>
      <w:bookmarkStart w:id="697" w:name="_Hlk519691527"/>
      <w:bookmarkEnd w:id="696"/>
      <w:bookmarkEnd w:id="697"/>
      <w:r>
        <w:rPr>
          <w:rFonts w:ascii="Arial;Helvetica;sans-serif" w:hAnsi="Arial;Helvetica;sans-serif"/>
          <w:b/>
          <w:i w:val="false"/>
          <w:caps w:val="false"/>
          <w:smallCaps w:val="false"/>
          <w:sz w:val="20"/>
        </w:rPr>
        <w:t>(1)</w:t>
      </w:r>
      <w:r>
        <w:rPr>
          <w:rFonts w:ascii="Arial;Helvetica;sans-serif" w:hAnsi="Arial;Helvetica;sans-serif"/>
          <w:b/>
          <w:sz w:val="20"/>
        </w:rPr>
        <w:t>OVERVIEW AND BASIS OF PRESENTATION</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Summary of Business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Founded in 1982, TTEC Holdings, Inc. (“TTEC”, “the Company”; pronounced “T-TEC”) is a global customer experience (“CX”) technology and services outsourcing partner for marquee and disruptive brands and public sector clients. The Company designs, builds, and operates AI-enabled customer experiences across live interaction channels and provides data-driven, AI-enabled digital solutions to help clients improve customer satisfaction and loyalty, increase customer revenue and profitability, and optimize overall cost to serve. As of March 31, 2026, TTEC served approximately 750</w:t>
      </w:r>
      <w:r>
        <w:rPr>
          <w:rFonts w:ascii="Arial;Helvetica;sans-serif" w:hAnsi="Arial;Helvetica;sans-serif"/>
          <w:color w:val="FF0000"/>
          <w:sz w:val="20"/>
        </w:rPr>
        <w:t xml:space="preserve"> </w:t>
      </w:r>
      <w:r>
        <w:rPr>
          <w:rFonts w:ascii="Arial;Helvetica;sans-serif" w:hAnsi="Arial;Helvetica;sans-serif"/>
          <w:sz w:val="20"/>
        </w:rPr>
        <w:t>clients across targeted industry verticals including financial services, healthcare, public sector, communications, technology, media, entertainment, travel and hospitality, automotive and retail.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operates and reports its financial results of operations through two business segments: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Digital</w:t>
            </w:r>
            <w:r>
              <w:rPr>
                <w:caps w:val="false"/>
                <w:smallCaps w:val="false"/>
              </w:rPr>
              <w:t xml:space="preserve"> </w:t>
            </w:r>
            <w:r>
              <w:rPr>
                <w:rFonts w:ascii="Arial;Helvetica;sans-serif" w:hAnsi="Arial;Helvetica;sans-serif"/>
                <w:b w:val="false"/>
                <w:i w:val="false"/>
                <w:caps w:val="false"/>
                <w:smallCaps w:val="false"/>
                <w:sz w:val="20"/>
              </w:rPr>
              <w:t xml:space="preserve">is one of the largest CX technology and service providers and is focused on the intersection of Contact Center as a Service (“CCaaS”), Customer Relationship Management (“CRM”), and Artificial Intelligence (AI) and Analytics. A professional services organization comprised of software engineers, systems architects, data scientists and CX strategists, this segment creates and implements strategic CX transformation roadmaps; sells, operates, and provides managed services for cloud platforms and premise-based CX technologies including Amazon Web Services (“AWS”), Cisco, Genesys, Google, and Microsoft; and creates proprietary IP to support industry specific and custom client needs. TTEC Digital serves clients across enterprise and small and medium-sized business segments and has a dedicated unit with government technology certifications serving the public sector. </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Engage</w:t>
            </w:r>
            <w:r>
              <w:rPr>
                <w:caps w:val="false"/>
                <w:smallCaps w:val="false"/>
              </w:rPr>
              <w:t xml:space="preserve"> </w:t>
            </w:r>
            <w:r>
              <w:rPr>
                <w:rFonts w:ascii="Arial;Helvetica;sans-serif" w:hAnsi="Arial;Helvetica;sans-serif"/>
                <w:b w:val="false"/>
                <w:i w:val="false"/>
                <w:caps w:val="false"/>
                <w:smallCaps w:val="false"/>
                <w:sz w:val="20"/>
              </w:rPr>
              <w:t xml:space="preserve">provides the digital first, AI-enabled CX operational and managed services to support large, complex enterprise clients’ end-to-end customer interactions at scale across the world. Tailored to meet industry-specific business needs, this segment delivers data-driven omnichannel customer care, customer acquisition, growth, and retention services, tech support, fraud mitigation and back-office solutions. The segment’s digital first delivery model covers the entire solution lifecycle including associate recruitment, onboarding, training, delivery, workforce management and quality assurance. </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pursues its CX market leadership through strategic collaboration across TTEC Digital and TTEC Engage. Together, TTEC’s ability to deliver comprehensive and transformational customer experience solutions to its clients is a marketplace differentiation, including integrated AI-enabled, CX technology and service solutions, go-to-market strategies, and innovative offerings.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first quarter of 2026, the TTEC global operating platform delivered onshore, nearshore, and offshore services in 21 countries on six continents – the United States, Australia, Brazil, Bulgaria, Canada, Colombia, Costa Rica, Egypt, Germany, Greece, India, Ireland, Malaysia, Mexico, the Netherlands, New Zealand, the Philippines, Poland, South Africa, Thailand, and the United Kingdom, with contributions from approximately 47,200 customer care associates, consultants, technologists, and CX professionals.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Basis of Presentation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Consolidated Financial Statements are comprised of the accounts of TTEC, its wholly owned subsidiaries and its 55% equity owned subsidiary Percepta, LLC. All intercompany balances and transactions have been eliminated in consolidation.</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unaudited Consolidated Financial Statements do not include all of the disclosures required by accounting principles generally accepted in the U.S. (“GAAP”), pursuant to the rules and regulations of the Securities and Exchange Commission (“SEC”). The unaudited Consolidated Financial Statements reflect all adjustments which, in the opinion of management, are necessary to state fairly the consolidated financial position of the Company and the consolidated results of operations and comprehensive income (loss) and the consolidated cash flows of the Company. All such adjustments are of a normal, recurring nature. Operating results for the periods presented are not necessarily indicative of the results that may be expected for the year ending December 31, 2026.</w:t>
      </w:r>
    </w:p>
    <w:p>
      <w:pPr>
        <w:pStyle w:val="TextBody"/>
        <w:bidi w:val="0"/>
        <w:spacing w:lineRule="auto" w:line="285" w:before="0" w:after="120"/>
        <w:ind w:left="0" w:right="0" w:hanging="0"/>
        <w:jc w:val="both"/>
        <w:rPr/>
      </w:pPr>
      <w:r>
        <w:rPr>
          <w:rFonts w:ascii="Arial;Helvetica;sans-serif" w:hAnsi="Arial;Helvetica;sans-serif"/>
          <w:sz w:val="20"/>
        </w:rPr>
        <w:t xml:space="preserve">These unaudited Consolidated Financial Statements should be read in conjunction with the Company’s audited Consolidated Financial Statements and footnotes thereto included in the Company’s Annual Report on </w:t>
      </w:r>
      <w:hyperlink r:id="rId2">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Use of Estimates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preparation of the Consolidated Financial Statements in conformity with GAAP requires management to make estimates and assumptions in determining the reported amounts of assets and liabilities, disclosure of contingent liabilities at the date of the Consolidated Financial Statements and the reported amounts of revenue and expenses during the reporting period. On an ongoing basis, the Company evaluates its estimates including those related to derivatives and hedging activities, income taxes including the valuation allowance for deferred tax assets, litigation reserves, restructuring reserves, allowance for credit losses, contingent consideration, and valuation of goodwill, long-lived and intangible assets.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Concentration of Credit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is exposed to credit risk in the normal course of business, primarily related to accounts receivable and derivative instruments. Historically, the losses related to credit risk have been immaterial due to the Company’s focus on managing its collection processes to reduce its credit risk. The Company regularly monitors its credit risk to mitigate the possibility of current and future exposures resulting in a loss. The Company evaluates the creditworthiness of its clients prior to entering into an agreement to provide services and as necessary through the life of the client relationship. The Company does not believe it is exposed to more than a nominal amount of credit risk in its derivative hedging activities, as the Company diversifies its activities across multiple investment-grade financial institutions.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Liquidity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discussed in Note 9, the Company’s Amended and Restated Credit Agreement, originally dated June 3, 2013 (the “Credit Agreement”), includes a number of financial covenants and operating restrictions, failure to comply with which could result in a default under the Credit Agreement. On November 5, 2025, the Company entered into a Tenth Amendment (the “Tenth Amendment”) to the Credit Agreement, which extends the maturity date to November 23, 2027 and modifies certain other material terms of the Credit Facility, including the size of the facility, pricing, and certain covenants. The Tenth Amendment is discussed in more detail in Note 9. As of the issuance of these unaudited Consolidated Financial Statements, the Company believes it has sufficient cash on hand, positive working capital, and availability to access additional cash under the Credit Facility to meet its business operating requirements and make its capital expenditures and to continue to comply with the financial covenants under the Credit Agreement for the next 12 months from the issuance of these financial statements. The Company has the ability to reduce discretionary spending, if necessary, to maintain compliance with the financial covenants under the Credit Agreement. In the event that the Company does not remain in compliance with such financial covenants, it may be required to negotiate additional amendments to, or waivers of, the terms of the Credit Facility, refinance its debt, or raise additional capital.</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Recently Adopted Accounting Pronouncements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July 2025, the FASB issued ASU 2025-05, “Financial Instruments – Credit Losses” which relates to measurement of credit losses for accounts receivable and contract assets and provides a practical expedient. When developing reasonable and supportable forecasts as part of estimating credit losses, all entities may elect a practical expedient that assumes current conditions as of the balance sheet do not change for the remaining life of the asset. The ASU is effective for fiscal years beginning after December 15, 2025, and interim periods within those annual reporting periods. Early adoption is permitted in both interim and annual reporting periods in which financial statements have not yet been issued or made available for issuance. The Company adopted the standard September 30, 2025. The adoption did not impact the Company’s consolidated balance sheet or income statement.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Other Accounting Pronouncements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November 2024, the FASB issued ASU 2024-03, “Disaggregation of Income Statement Expenses” in response to longstanding requests from investors for more information about an entity’s expenses, specifically categories of expenses such as (purchases of inventory, employee compensation, depreciation, and amortization, and depletion). The ASU is effective for fiscal years beginning after December 15, 2026, with retrospective application permitted. The Company is still evaluating the potential impact of the pronouncement.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In September 2025, the FASB issued ASU 2025-06, “Intangibles-Goodwill and Other Internal Use Software” which was issued to modernize the accounting for software costs and removes all references to prescriptive and sequential software development stages. The ASU is effective for fiscal years beginning after December 15, 2027, and interim reporting periods within those fiscal reporting periods. Early adoption is permitted as of the beginning of an annual reporting period. The Company is still evaluating the potential impact of the pronouncement. </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In November 2025, the FASB issued ASU 2025-09, “Derivatives and Hedging” which was issued to more closely align hedge accounting with the economics of an entity’s risk management activities. The ASU is effective for fiscal years beginning after December 15, 2026, and interim reporting periods within those annual reporting periods. Early adoption is permitted as of the beginning of an annual reporting period. The Company is still evaluating the potential impact of the pronouncement.</w:t>
      </w:r>
    </w:p>
    <w:p>
      <w:pPr>
        <w:pStyle w:val="TextBody"/>
        <w:bidi w:val="0"/>
        <w:spacing w:lineRule="auto" w:line="285" w:before="0" w:after="0"/>
        <w:ind w:left="0" w:right="0" w:hanging="0"/>
        <w:jc w:val="both"/>
        <w:rPr>
          <w:shd w:fill="00FFFF" w:val="clear"/>
        </w:rPr>
      </w:pPr>
      <w:r>
        <w:rPr>
          <w:shd w:fill="00FFFF" w:val="clear"/>
        </w:rPr>
        <w:t>​</w:t>
      </w:r>
    </w:p>
    <w:p>
      <w:pPr>
        <w:pStyle w:val="TextBody"/>
        <w:bidi w:val="0"/>
        <w:spacing w:lineRule="auto" w:line="285" w:before="0" w:after="0"/>
        <w:ind w:left="0" w:right="0" w:hanging="0"/>
        <w:jc w:val="both"/>
        <w:rPr/>
      </w:pPr>
      <w:bookmarkStart w:id="698" w:name="_Hlk519691523"/>
      <w:bookmarkEnd w:id="698"/>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bookmarkStart w:id="699" w:name="_Hlk519691513"/>
      <w:bookmarkEnd w:id="699"/>
      <w:r>
        <w:rPr>
          <w:rFonts w:ascii="Arial;Helvetica;sans-serif" w:hAnsi="Arial;Helvetica;sans-serif"/>
          <w:b/>
          <w:i w:val="false"/>
          <w:caps w:val="false"/>
          <w:smallCaps w:val="false"/>
          <w:sz w:val="20"/>
        </w:rPr>
        <w:t>(2)</w:t>
      </w:r>
      <w:r>
        <w:rPr>
          <w:rFonts w:ascii="Arial;Helvetica;sans-serif" w:hAnsi="Arial;Helvetica;sans-serif"/>
          <w:b/>
          <w:sz w:val="20"/>
        </w:rPr>
        <w:t>SEGMENT INFORMATION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has two reportable segments, TTEC Digital and TTEC Engage, based on nature of product and independent management of each business segment. Each segment is led by a senior executive reporting to the CEO and the products and services sold are described below. Resources are allocated and performance is assessed by the Company’s CEO, who holds the function of Chief Operating Decision Maker (“CODM”) for the purposes of these disclosures. The CODM uses income from operations to assess the performance of each segment in the budgeting and forecasting process and when making decisions regarding allocating capital and personnel to the segments.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TTEC Digital and the CX Technology Services Industry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Digital clients are seeking solutions in many areas including cost optimization, CX technology modernization, including migration to a more agile cloud-based ecosystem, improved CX talent and expertise, and other practical solutions to further enable CX applications, such as the design, implementation and pragmatic delivery of AI capabilities. TTEC Digital takes a technology agnostic approach to these challenges and focuses on designing and delivering solutions to each client’s specific business needs at the intersection of contact center, CRM, and AI and Analytics. TTEC Digital supports the majority of CX platform and solution requirements through its strategic partnerships with the leading CX software vendors including Genesys, Microsoft, Cisco, AWS, Google, Salesforce, ServiceNow, and Nice among others.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bookmarkStart w:id="700" w:name="Tc_unHaUQzMvUGFhMDCPEDjtw_11_0"/>
      <w:bookmarkStart w:id="701" w:name="Tc_uiM58ezsMES5jaDf4Xa2aA_10_0"/>
      <w:bookmarkStart w:id="702" w:name="Tc_IJqmA41FvEW1XEw7kzSIRg_9_0"/>
      <w:bookmarkStart w:id="703" w:name="Tc_4Ic_bui0kU2WUaX5TNkxUw_8_0"/>
      <w:bookmarkStart w:id="704" w:name="Tc_YPPjiY1u2EGAdp1G9hP4EA_7_0"/>
      <w:bookmarkStart w:id="705" w:name="Tc_ZxVycgOI-EG3-XVUYvITsg_6_0"/>
      <w:bookmarkStart w:id="706" w:name="Tc_3kcJlAHOlUyzZ0IiLg-roA_5_0"/>
      <w:bookmarkStart w:id="707" w:name="Tc_yVs_rDpPBEePuT4QbiYleA_4_0"/>
      <w:bookmarkStart w:id="708" w:name="Tc_dLrDuIUfQUCf8O4cyeJ6Dg_3_0"/>
      <w:bookmarkStart w:id="709" w:name="Tc_TJMZnO8SkUetyGu1ceF95g_2_9"/>
      <w:bookmarkStart w:id="710" w:name="Tc_4X9M1kLOoUKC7LOZlY6PoQ_2_6"/>
      <w:bookmarkStart w:id="711" w:name="Tc_tbpfkzmmcEiKQeiiqz-KLA_2_3"/>
      <w:bookmarkStart w:id="712" w:name="Tc_Xzv0KColPEuzvIm-Bi0Taw_2_0"/>
      <w:bookmarkStart w:id="713" w:name="Tc_N6odLB2S9EGqI1kbXEphaA_1_9"/>
      <w:bookmarkStart w:id="714" w:name="Tc_MDaBsgzz5UOF1Ta1my-tWw_1_6"/>
      <w:bookmarkStart w:id="715" w:name="Tc_0CAM2NsR80ivHUYVq7g2bw_1_3"/>
      <w:bookmarkStart w:id="716" w:name="_5736961e_2cc0_4c6c_a679_98fc378e68bb"/>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Arial;Helvetica;sans-serif" w:hAnsi="Arial;Helvetica;sans-serif"/>
          <w:sz w:val="20"/>
        </w:rPr>
        <w:t>TTEC Digital’s solutions are built to respond to market needs for both enterprise and small and medium-sized business clients. AI design and delivery capabilities are woven across all five pillars of the Company offerings.</w:t>
      </w:r>
    </w:p>
    <w:tbl>
      <w:tblPr>
        <w:tblW w:w="6366" w:type="dxa"/>
        <w:jc w:val="left"/>
        <w:tblInd w:w="0" w:type="dxa"/>
        <w:tblLayout w:type="fixed"/>
        <w:tblCellMar>
          <w:top w:w="28" w:type="dxa"/>
          <w:left w:w="28" w:type="dxa"/>
          <w:bottom w:w="28" w:type="dxa"/>
          <w:right w:w="28" w:type="dxa"/>
        </w:tblCellMar>
      </w:tblPr>
      <w:tblGrid>
        <w:gridCol w:w="124"/>
        <w:gridCol w:w="19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Professional Services: System design, configuration and integration</w:t>
            </w:r>
          </w:p>
        </w:tc>
      </w:tr>
    </w:tbl>
    <w:tbl>
      <w:tblPr>
        <w:tblW w:w="5586" w:type="dxa"/>
        <w:jc w:val="left"/>
        <w:tblInd w:w="0" w:type="dxa"/>
        <w:tblLayout w:type="fixed"/>
        <w:tblCellMar>
          <w:top w:w="28" w:type="dxa"/>
          <w:left w:w="28" w:type="dxa"/>
          <w:bottom w:w="28" w:type="dxa"/>
          <w:right w:w="28" w:type="dxa"/>
        </w:tblCellMar>
      </w:tblPr>
      <w:tblGrid>
        <w:gridCol w:w="124"/>
        <w:gridCol w:w="19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Managed Services: Cloud application and premise support </w:t>
            </w:r>
          </w:p>
        </w:tc>
      </w:tr>
    </w:tbl>
    <w:tbl>
      <w:tblPr>
        <w:tblW w:w="4971" w:type="dxa"/>
        <w:jc w:val="left"/>
        <w:tblInd w:w="0" w:type="dxa"/>
        <w:tblLayout w:type="fixed"/>
        <w:tblCellMar>
          <w:top w:w="28" w:type="dxa"/>
          <w:left w:w="28" w:type="dxa"/>
          <w:bottom w:w="28" w:type="dxa"/>
          <w:right w:w="28" w:type="dxa"/>
        </w:tblCellMar>
      </w:tblPr>
      <w:tblGrid>
        <w:gridCol w:w="124"/>
        <w:gridCol w:w="19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CX Consulting: Transformation strategy and design </w:t>
            </w:r>
          </w:p>
        </w:tc>
      </w:tr>
    </w:tbl>
    <w:tbl>
      <w:tblPr>
        <w:tblW w:w="6396" w:type="dxa"/>
        <w:jc w:val="left"/>
        <w:tblInd w:w="0" w:type="dxa"/>
        <w:tblLayout w:type="fixed"/>
        <w:tblCellMar>
          <w:top w:w="28" w:type="dxa"/>
          <w:left w:w="28" w:type="dxa"/>
          <w:bottom w:w="28" w:type="dxa"/>
          <w:right w:w="28" w:type="dxa"/>
        </w:tblCellMar>
      </w:tblPr>
      <w:tblGrid>
        <w:gridCol w:w="124"/>
        <w:gridCol w:w="19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CX Data and Analytics: Data science, engineering, and visualization</w:t>
            </w:r>
          </w:p>
        </w:tc>
      </w:tr>
    </w:tbl>
    <w:tbl>
      <w:tblPr>
        <w:tblW w:w="8526" w:type="dxa"/>
        <w:jc w:val="left"/>
        <w:tblInd w:w="0" w:type="dxa"/>
        <w:tblLayout w:type="fixed"/>
        <w:tblCellMar>
          <w:top w:w="28" w:type="dxa"/>
          <w:left w:w="28" w:type="dxa"/>
          <w:bottom w:w="28" w:type="dxa"/>
          <w:right w:w="28" w:type="dxa"/>
        </w:tblCellMar>
      </w:tblPr>
      <w:tblGrid>
        <w:gridCol w:w="124"/>
        <w:gridCol w:w="19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IP &amp; Software: Custom software engineering through TTEC Digital’s IP and Software division</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segment has a three-pronged go to market strategy that includes growing existing client relationships, partner channel motions and general market development. </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 xml:space="preserve">TTEC Engage and the CX Business Process Outsourcing Services Industry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TTEC Engage segment’s solutions are built to respond to the following market needs for clients.</w:t>
      </w:r>
    </w:p>
    <w:tbl>
      <w:tblPr>
        <w:tblW w:w="2166" w:type="dxa"/>
        <w:jc w:val="left"/>
        <w:tblInd w:w="0" w:type="dxa"/>
        <w:tblLayout w:type="fixed"/>
        <w:tblCellMar>
          <w:top w:w="28" w:type="dxa"/>
          <w:left w:w="28" w:type="dxa"/>
          <w:bottom w:w="28" w:type="dxa"/>
          <w:right w:w="28" w:type="dxa"/>
        </w:tblCellMar>
      </w:tblPr>
      <w:tblGrid>
        <w:gridCol w:w="124"/>
        <w:gridCol w:w="196"/>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8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Customer Support  </w:t>
            </w:r>
          </w:p>
        </w:tc>
      </w:tr>
    </w:tbl>
    <w:tbl>
      <w:tblPr>
        <w:tblW w:w="1701" w:type="dxa"/>
        <w:jc w:val="left"/>
        <w:tblInd w:w="0" w:type="dxa"/>
        <w:tblLayout w:type="fixed"/>
        <w:tblCellMar>
          <w:top w:w="28" w:type="dxa"/>
          <w:left w:w="28" w:type="dxa"/>
          <w:bottom w:w="28" w:type="dxa"/>
          <w:right w:w="28" w:type="dxa"/>
        </w:tblCellMar>
      </w:tblPr>
      <w:tblGrid>
        <w:gridCol w:w="124"/>
        <w:gridCol w:w="196"/>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Tech Support </w:t>
            </w:r>
          </w:p>
        </w:tc>
      </w:tr>
    </w:tbl>
    <w:tbl>
      <w:tblPr>
        <w:tblW w:w="4116" w:type="dxa"/>
        <w:jc w:val="left"/>
        <w:tblInd w:w="0" w:type="dxa"/>
        <w:tblLayout w:type="fixed"/>
        <w:tblCellMar>
          <w:top w:w="28" w:type="dxa"/>
          <w:left w:w="28" w:type="dxa"/>
          <w:bottom w:w="28" w:type="dxa"/>
          <w:right w:w="28" w:type="dxa"/>
        </w:tblCellMar>
      </w:tblPr>
      <w:tblGrid>
        <w:gridCol w:w="124"/>
        <w:gridCol w:w="19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Revenue Generation and Growth Services</w:t>
            </w:r>
          </w:p>
        </w:tc>
      </w:tr>
    </w:tbl>
    <w:tbl>
      <w:tblPr>
        <w:tblW w:w="1866" w:type="dxa"/>
        <w:jc w:val="left"/>
        <w:tblInd w:w="0" w:type="dxa"/>
        <w:tblLayout w:type="fixed"/>
        <w:tblCellMar>
          <w:top w:w="28" w:type="dxa"/>
          <w:left w:w="28" w:type="dxa"/>
          <w:bottom w:w="28" w:type="dxa"/>
          <w:right w:w="28" w:type="dxa"/>
        </w:tblCellMar>
      </w:tblPr>
      <w:tblGrid>
        <w:gridCol w:w="124"/>
        <w:gridCol w:w="19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Fraud Mitigation</w:t>
            </w:r>
          </w:p>
        </w:tc>
      </w:tr>
    </w:tbl>
    <w:tbl>
      <w:tblPr>
        <w:tblW w:w="5046" w:type="dxa"/>
        <w:jc w:val="left"/>
        <w:tblInd w:w="0" w:type="dxa"/>
        <w:tblLayout w:type="fixed"/>
        <w:tblCellMar>
          <w:top w:w="28" w:type="dxa"/>
          <w:left w:w="28" w:type="dxa"/>
          <w:bottom w:w="28" w:type="dxa"/>
          <w:right w:w="28" w:type="dxa"/>
        </w:tblCellMar>
      </w:tblPr>
      <w:tblGrid>
        <w:gridCol w:w="124"/>
        <w:gridCol w:w="19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AI Operations, including data annotation and labeling</w:t>
            </w:r>
          </w:p>
        </w:tc>
      </w:tr>
    </w:tbl>
    <w:tbl>
      <w:tblPr>
        <w:tblW w:w="2196" w:type="dxa"/>
        <w:jc w:val="left"/>
        <w:tblInd w:w="0" w:type="dxa"/>
        <w:tblLayout w:type="fixed"/>
        <w:tblCellMar>
          <w:top w:w="28" w:type="dxa"/>
          <w:left w:w="28" w:type="dxa"/>
          <w:bottom w:w="28" w:type="dxa"/>
          <w:right w:w="28" w:type="dxa"/>
        </w:tblCellMar>
      </w:tblPr>
      <w:tblGrid>
        <w:gridCol w:w="124"/>
        <w:gridCol w:w="19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Back-office Support</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TTEC Engage goes to market through a vertical approach with customized solutions that include industry-specific talent, technology, certifications, and capabilities. For example, in the Banking, Financial Services and Insurance vertical, the Company supports several lines of business with customized offerings for retail banking, online banking, credit card, property and casualty and loans. In healthcare, the segment supports care, technical support, revenue generation and back-office capabilities to meet the needs of payer, provider, clinical and pharma clients.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allocates to each segment its portion of corporate operating expenses following the Company’s standard accounting policies.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tables present certain financial data by segment (in thousands). The significant expense categories and amounts align with the segment-level information that is regularly provided to the CODM.</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Three Months Ended March 31, 2026</w:t>
      </w:r>
    </w:p>
    <w:tbl>
      <w:tblPr>
        <w:tblW w:w="10205" w:type="dxa"/>
        <w:jc w:val="left"/>
        <w:tblInd w:w="0" w:type="dxa"/>
        <w:tblLayout w:type="fixed"/>
        <w:tblCellMar>
          <w:top w:w="0" w:type="dxa"/>
          <w:left w:w="0" w:type="dxa"/>
          <w:bottom w:w="0" w:type="dxa"/>
          <w:right w:w="0" w:type="dxa"/>
        </w:tblCellMar>
      </w:tblPr>
      <w:tblGrid>
        <w:gridCol w:w="6281"/>
        <w:gridCol w:w="109"/>
        <w:gridCol w:w="109"/>
        <w:gridCol w:w="256"/>
        <w:gridCol w:w="949"/>
        <w:gridCol w:w="109"/>
        <w:gridCol w:w="238"/>
        <w:gridCol w:w="884"/>
        <w:gridCol w:w="109"/>
        <w:gridCol w:w="211"/>
        <w:gridCol w:w="793"/>
        <w:gridCol w:w="157"/>
      </w:tblGrid>
      <w:tr>
        <w:trPr/>
        <w:tc>
          <w:tcPr>
            <w:tcW w:w="6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988435" cy="175260"/>
                      <wp:effectExtent l="0" t="0" r="0" b="0"/>
                      <wp:wrapNone/>
                      <wp:docPr id="78" name="Frame78"/>
                      <a:graphic xmlns:a="http://schemas.openxmlformats.org/drawingml/2006/main">
                        <a:graphicData uri="http://schemas.microsoft.com/office/word/2010/wordprocessingShape">
                          <wps:wsp>
                            <wps:cNvSpPr txBox="1"/>
                            <wps:spPr>
                              <a:xfrm>
                                <a:off x="0" y="0"/>
                                <a:ext cx="398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2560" cy="175260"/>
                      <wp:effectExtent l="0" t="0" r="0" b="0"/>
                      <wp:wrapNone/>
                      <wp:docPr id="81" name="Frame8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02615" cy="175260"/>
                      <wp:effectExtent l="0" t="0" r="0" b="0"/>
                      <wp:wrapNone/>
                      <wp:docPr id="82" name="Frame8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1130" cy="175260"/>
                      <wp:effectExtent l="0" t="0" r="0" b="0"/>
                      <wp:wrapNone/>
                      <wp:docPr id="84" name="Frame8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1340" cy="175260"/>
                      <wp:effectExtent l="0" t="0" r="0" b="0"/>
                      <wp:wrapNone/>
                      <wp:docPr id="85" name="Frame85"/>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3555" cy="175260"/>
                      <wp:effectExtent l="0" t="0" r="0" b="0"/>
                      <wp:wrapNone/>
                      <wp:docPr id="88" name="Frame8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9695" cy="175260"/>
                      <wp:effectExtent l="0" t="0" r="0" b="0"/>
                      <wp:wrapNone/>
                      <wp:docPr id="89" name="Frame8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2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Engage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Digital</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w:t>
            </w:r>
          </w:p>
        </w:tc>
        <w:tc>
          <w:tcPr>
            <w:tcW w:w="157" w:type="dxa"/>
            <w:tcBorders/>
            <w:vAlign w:val="center"/>
          </w:tcPr>
          <w:p>
            <w:pPr>
              <w:pStyle w:val="TableContents"/>
              <w:bidi w:val="0"/>
              <w:spacing w:lineRule="auto" w:line="285" w:before="0" w:after="0"/>
              <w:ind w:left="0" w:right="0" w:hanging="0"/>
              <w:jc w:val="center"/>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394,310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101,865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496,175</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Cost of services (exclusive of depreciation and amortization presented separately below) </w:t>
            </w: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316,204</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71,662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387,866</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44,435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66,539</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14,980</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6,325</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21,305</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Other segment items </w:t>
            </w:r>
            <w:r>
              <w:rPr>
                <w:rFonts w:ascii="Arial;Helvetica;sans-serif" w:hAnsi="Arial;Helvetica;sans-serif"/>
                <w:sz w:val="14"/>
              </w:rPr>
              <w:t>(2)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1,970</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from operations</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17,136</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18,495</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451</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(16,984)</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righ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right"/>
              <w:rPr/>
            </w:pPr>
            <w:r>
              <w:rPr/>
              <w:t>​</w:t>
            </w:r>
          </w:p>
        </w:tc>
        <w:tc>
          <w:tcPr>
            <w:tcW w:w="88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658</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before income taxes</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2,620</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rFonts w:ascii="Arial;Helvetica;sans-serif" w:hAnsi="Arial;Helvetica;sans-serif"/>
          <w:b/>
          <w:sz w:val="20"/>
        </w:rPr>
      </w:pPr>
      <w:bookmarkStart w:id="717" w:name="Tc_PLYZbv3slU2V43-FjPguhQ_9_5"/>
      <w:bookmarkStart w:id="718" w:name="Tc_x9jEEGuAfUqCks4AyvRAug_9_2"/>
      <w:bookmarkStart w:id="719" w:name="Tc_jDLsLrWmu0uSyfnRQ_On_g_9_0"/>
      <w:bookmarkStart w:id="720" w:name="Tc_U-Tr9myZYEOJkW3yu3OdOg_8_0"/>
      <w:bookmarkStart w:id="721" w:name="Tc_8mGDT3osXU-IKCTAkkc6zw_7_0"/>
      <w:bookmarkStart w:id="722" w:name="Tc_LgxerzDkwkO-l-K_n4WXOg_6_0"/>
      <w:bookmarkStart w:id="723" w:name="Tc_CiV-XG38bUiF-gwU6UyInQ_5_5"/>
      <w:bookmarkStart w:id="724" w:name="Tc__aY2-fo_IkmidjihRpldCA_5_2"/>
      <w:bookmarkStart w:id="725" w:name="Tc_NcIIeANvp0GQcvqdd_cutg_5_0"/>
      <w:bookmarkStart w:id="726" w:name="Tc_sEikwk86lE2b6cOP3XBaTw_4_0"/>
      <w:bookmarkStart w:id="727" w:name="Tc_UobRxtjQ70aN8wmpCrOuHQ_3_5"/>
      <w:bookmarkStart w:id="728" w:name="Tc_pjKsOygP_k20mNSdsGzOiA_3_2"/>
      <w:bookmarkStart w:id="729" w:name="Tc_twni7DoFtk6VLwzKbsnkqg_2_2"/>
      <w:bookmarkStart w:id="730" w:name="_a40c759f_0614_4e5e_845b_e7c30e2adb10"/>
      <w:bookmarkStart w:id="731" w:name="_Hlk519691511"/>
      <w:bookmarkStart w:id="732" w:name="Tc_u-g1LwmNA0eTB_vEoir43g_5_6"/>
      <w:bookmarkStart w:id="733" w:name="Tc_ub206-FX10W34v0HbVlwrw_5_3"/>
      <w:bookmarkStart w:id="734" w:name="Tc_RVLhD6Aid0SJjKUk72cMIQ_5_0"/>
      <w:bookmarkStart w:id="735" w:name="Tc_ZwxSoYQozUOOZ7G4V80FeA_4_0"/>
      <w:bookmarkStart w:id="736" w:name="Tc_fpO2CzAx0EuLXXfBKLHeYA_3_6"/>
      <w:bookmarkStart w:id="737" w:name="Tc_j1a6y6QyWUyVgPpFAQTEeA_3_3"/>
      <w:bookmarkStart w:id="738" w:name="Tc_oYpu68P7w0SOLEMNFqqXvQ_3_0"/>
      <w:bookmarkStart w:id="739" w:name="Tc_7tdVdJpVfUq85764StuR6w_2_0"/>
      <w:bookmarkStart w:id="740" w:name="Tc_BU1y23jky0GxuLpZRO9njQ_1_6"/>
      <w:bookmarkStart w:id="741" w:name="Tc_tp5ttsfi5k6vDKqNhYCssw_1_3"/>
      <w:bookmarkStart w:id="742" w:name="_7d5be106_ec8a_4de8_a77d_074a0ece2a0f"/>
      <w:bookmarkStart w:id="743" w:name="Tc_oDZ9w1cNZ0mCXiE3vvhwmg_7_5"/>
      <w:bookmarkStart w:id="744" w:name="Tc_CRVzat_Mukyt6mJUcM9p2A_7_2"/>
      <w:bookmarkStart w:id="745" w:name="Tc_Cg2ax131GUWthuXHudPOww_7_0"/>
      <w:bookmarkStart w:id="746" w:name="Tc_uxOhan7rLUKwBrwngFcnNQ_6_0"/>
      <w:bookmarkStart w:id="747" w:name="Tc_BzJX-rc6TUyuENOli1drxw_5_5"/>
      <w:bookmarkStart w:id="748" w:name="Tc_qOw6KlZXOEuP3pZqmG14aw_5_2"/>
      <w:bookmarkStart w:id="749" w:name="Tc_1_juBXZ9sE6LzIgyZ0OmEQ_5_0"/>
      <w:bookmarkStart w:id="750" w:name="Tc__Qvp1nwrMk6UV_hlSFVqMw_4_0"/>
      <w:bookmarkStart w:id="751" w:name="Tc_SB31JPdFq06yBplzQf_ofQ_3_5"/>
      <w:bookmarkStart w:id="752" w:name="Tc_mwd1tG5plEGmb6WlA5Sd9A_3_2"/>
      <w:bookmarkStart w:id="753" w:name="Tc_VBsxNSn_60WollAbdhxflg_2_2"/>
      <w:bookmarkStart w:id="754" w:name="Tc_q7sFuIXas06ZGGcLwxfIkg_1_2"/>
      <w:bookmarkStart w:id="755" w:name="_c18d3d6b_60f3_4ad7_803f_a3e684f6a182"/>
      <w:bookmarkStart w:id="756" w:name="Tc_7G_DCvzEWUm_Iq56YBJe-A_11_0"/>
      <w:bookmarkStart w:id="757" w:name="Tc_H3XcILz1L02MshYpuxONQg_10_0"/>
      <w:bookmarkStart w:id="758" w:name="Tc_rKyEdw4ar0uv3KbyZzNKag_9_0"/>
      <w:bookmarkStart w:id="759" w:name="Tc_oKNKTun_bkK8zUPllRVxHg_8_0"/>
      <w:bookmarkStart w:id="760" w:name="Tc_7rAZIi-LmkaPUpIxaIiFAQ_7_0"/>
      <w:bookmarkStart w:id="761" w:name="Tc_d2mScU4pcEKdOPfFu7Ipzw_6_0"/>
      <w:bookmarkStart w:id="762" w:name="Tc_LKKdb7akb0OVuyeuMS7imQ_5_0"/>
      <w:bookmarkStart w:id="763" w:name="Tc_FifhT2OgwE6e1upEhNi35w_4_0"/>
      <w:bookmarkStart w:id="764" w:name="Tc_Z8RL0pLlfEeOd7tTkVy1OQ_3_0"/>
      <w:bookmarkStart w:id="765" w:name="Tc_x3nsLQ_nvEaHt6AF7h1c-g_2_9"/>
      <w:bookmarkStart w:id="766" w:name="Tc_DCiBtPrk802yheuzA_wfKQ_2_6"/>
      <w:bookmarkStart w:id="767" w:name="Tc_3ebskUzC7UaJxeizYraLdw_2_3"/>
      <w:bookmarkStart w:id="768" w:name="Tc_iw8Mnf3xGEeJJ7gvsQrseA_2_0"/>
      <w:bookmarkStart w:id="769" w:name="Tc_fSXsaMEINUe7B5P8k3PTZg_1_9"/>
      <w:bookmarkStart w:id="770" w:name="Tc_DxAuo63-W0m2GSuRngJ3PA_1_6"/>
      <w:bookmarkStart w:id="771" w:name="Tc_w-KRn_-TQkqxyj8gF0l2pQ_1_3"/>
      <w:bookmarkStart w:id="772" w:name="_3e5d6ac2_dc9d_4a52_bf8f_8f55c3a09daa"/>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Arial;Helvetica;sans-serif" w:hAnsi="Arial;Helvetica;sans-serif"/>
          <w:b/>
          <w:sz w:val="20"/>
        </w:rPr>
        <w:t>Three Months Ended March 31, 2025</w:t>
      </w:r>
    </w:p>
    <w:tbl>
      <w:tblPr>
        <w:tblW w:w="10205" w:type="dxa"/>
        <w:jc w:val="left"/>
        <w:tblInd w:w="0" w:type="dxa"/>
        <w:tblLayout w:type="fixed"/>
        <w:tblCellMar>
          <w:top w:w="0" w:type="dxa"/>
          <w:left w:w="0" w:type="dxa"/>
          <w:bottom w:w="0" w:type="dxa"/>
          <w:right w:w="0" w:type="dxa"/>
        </w:tblCellMar>
      </w:tblPr>
      <w:tblGrid>
        <w:gridCol w:w="6281"/>
        <w:gridCol w:w="109"/>
        <w:gridCol w:w="109"/>
        <w:gridCol w:w="256"/>
        <w:gridCol w:w="949"/>
        <w:gridCol w:w="109"/>
        <w:gridCol w:w="238"/>
        <w:gridCol w:w="884"/>
        <w:gridCol w:w="109"/>
        <w:gridCol w:w="211"/>
        <w:gridCol w:w="793"/>
        <w:gridCol w:w="157"/>
      </w:tblGrid>
      <w:tr>
        <w:trPr/>
        <w:tc>
          <w:tcPr>
            <w:tcW w:w="6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988435" cy="175260"/>
                      <wp:effectExtent l="0" t="0" r="0" b="0"/>
                      <wp:wrapNone/>
                      <wp:docPr id="90" name="Frame90"/>
                      <a:graphic xmlns:a="http://schemas.openxmlformats.org/drawingml/2006/main">
                        <a:graphicData uri="http://schemas.microsoft.com/office/word/2010/wordprocessingShape">
                          <wps:wsp>
                            <wps:cNvSpPr txBox="1"/>
                            <wps:spPr>
                              <a:xfrm>
                                <a:off x="0" y="0"/>
                                <a:ext cx="398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2560" cy="175260"/>
                      <wp:effectExtent l="0" t="0" r="0" b="0"/>
                      <wp:wrapNone/>
                      <wp:docPr id="93" name="Frame9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02615" cy="175260"/>
                      <wp:effectExtent l="0" t="0" r="0" b="0"/>
                      <wp:wrapNone/>
                      <wp:docPr id="94" name="Frame94"/>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1130" cy="175260"/>
                      <wp:effectExtent l="0" t="0" r="0" b="0"/>
                      <wp:wrapNone/>
                      <wp:docPr id="96" name="Frame9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1340" cy="175260"/>
                      <wp:effectExtent l="0" t="0" r="0" b="0"/>
                      <wp:wrapNone/>
                      <wp:docPr id="97" name="Frame9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3555" cy="175260"/>
                      <wp:effectExtent l="0" t="0" r="0" b="0"/>
                      <wp:wrapNone/>
                      <wp:docPr id="100" name="Frame10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99695" cy="175260"/>
                      <wp:effectExtent l="0" t="0" r="0" b="0"/>
                      <wp:wrapNone/>
                      <wp:docPr id="101" name="Frame10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Engage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TTEC Digital</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426,188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108,040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534,228</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Cost of services (exclusive of depreciation and amortization presented separately below) </w:t>
            </w: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342,162</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72,385</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414,547</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47,483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22,554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70,037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16,206</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6,492</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22,698</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Other segment items </w:t>
            </w:r>
            <w:r>
              <w:rPr>
                <w:rFonts w:ascii="Arial;Helvetica;sans-serif" w:hAnsi="Arial;Helvetica;sans-serif"/>
                <w:sz w:val="14"/>
              </w:rPr>
              <w:t>(2)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2,012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745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2,757</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from operations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18,325</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5,864</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24,189</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4,580</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Interest expense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(19,797)</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6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38" w:type="dxa"/>
            <w:tcBorders/>
            <w:shd w:fill="CCEEFF" w:val="clear"/>
            <w:vAlign w:val="center"/>
          </w:tcPr>
          <w:p>
            <w:pPr>
              <w:pStyle w:val="TableContents"/>
              <w:bidi w:val="0"/>
              <w:spacing w:lineRule="auto" w:line="285" w:before="0" w:after="0"/>
              <w:ind w:left="0" w:right="0" w:hanging="0"/>
              <w:jc w:val="left"/>
              <w:rPr/>
            </w:pPr>
            <w:r>
              <w:rPr/>
              <w:t>​</w:t>
            </w:r>
          </w:p>
        </w:tc>
        <w:tc>
          <w:tcPr>
            <w:tcW w:w="884"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3,589</w:t>
            </w:r>
          </w:p>
        </w:tc>
        <w:tc>
          <w:tcPr>
            <w:tcW w:w="157" w:type="dxa"/>
            <w:tcBorders/>
            <w:shd w:fill="CCEEFF" w:val="clear"/>
            <w:vAlign w:val="center"/>
          </w:tcPr>
          <w:p>
            <w:pPr>
              <w:pStyle w:val="TableContents"/>
              <w:bidi w:val="0"/>
              <w:spacing w:lineRule="auto" w:line="285" w:before="0" w:after="0"/>
              <w:ind w:left="0" w:right="0" w:hanging="0"/>
              <w:jc w:val="left"/>
              <w:rPr/>
            </w:pPr>
            <w:r>
              <w:rPr/>
              <w:t>​</w:t>
            </w:r>
          </w:p>
        </w:tc>
      </w:tr>
      <w:tr>
        <w:trPr/>
        <w:tc>
          <w:tcPr>
            <w:tcW w:w="6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Income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8" w:type="dxa"/>
            <w:tcBorders/>
            <w:vAlign w:val="center"/>
          </w:tcPr>
          <w:p>
            <w:pPr>
              <w:pStyle w:val="TableContents"/>
              <w:bidi w:val="0"/>
              <w:spacing w:lineRule="auto" w:line="285" w:before="0" w:after="0"/>
              <w:ind w:left="0" w:right="0" w:hanging="0"/>
              <w:jc w:val="left"/>
              <w:rPr/>
            </w:pPr>
            <w:r>
              <w:rPr/>
              <w:t>​</w:t>
            </w:r>
          </w:p>
        </w:tc>
        <w:tc>
          <w:tcPr>
            <w:tcW w:w="88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12,561</w:t>
            </w:r>
          </w:p>
        </w:tc>
        <w:tc>
          <w:tcPr>
            <w:tcW w:w="157"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Cost of services primarily includes employee related and technology costs.</w:t>
      </w:r>
    </w:p>
    <w:p>
      <w:pPr>
        <w:pStyle w:val="TextBody"/>
        <w:bidi w:val="0"/>
        <w:spacing w:lineRule="auto" w:line="240" w:before="0" w:after="0"/>
        <w:ind w:left="0" w:right="0" w:hanging="0"/>
        <w:jc w:val="left"/>
        <w:rPr>
          <w:rFonts w:ascii="Arial;Helvetica;sans-serif" w:hAnsi="Arial;Helvetica;sans-serif"/>
          <w:sz w:val="16"/>
        </w:rPr>
      </w:pPr>
      <w:r>
        <w:rPr>
          <w:rFonts w:ascii="Arial;Helvetica;sans-serif" w:hAnsi="Arial;Helvetica;sans-serif"/>
          <w:sz w:val="12"/>
        </w:rPr>
        <w:t>(2)</w:t>
      </w:r>
      <w:r>
        <w:rPr>
          <w:rFonts w:ascii="Arial;Helvetica;sans-serif" w:hAnsi="Arial;Helvetica;sans-serif"/>
          <w:sz w:val="16"/>
        </w:rPr>
        <w:t xml:space="preserve"> Other segment items include impairment losses and restructuring charges.</w:t>
      </w:r>
    </w:p>
    <w:p>
      <w:pPr>
        <w:pStyle w:val="TextBody"/>
        <w:bidi w:val="0"/>
        <w:spacing w:lineRule="auto" w:line="285" w:before="0" w:after="0"/>
        <w:ind w:left="0" w:right="0" w:hanging="0"/>
        <w:jc w:val="left"/>
        <w:rPr/>
      </w:pPr>
      <w:r>
        <w:rPr/>
        <w:t>​</w:t>
      </w:r>
    </w:p>
    <w:tbl>
      <w:tblPr>
        <w:tblW w:w="4316" w:type="dxa"/>
        <w:jc w:val="left"/>
        <w:tblInd w:w="0" w:type="dxa"/>
        <w:tblLayout w:type="fixed"/>
        <w:tblCellMar>
          <w:top w:w="0" w:type="dxa"/>
          <w:left w:w="0" w:type="dxa"/>
          <w:bottom w:w="0" w:type="dxa"/>
          <w:right w:w="0" w:type="dxa"/>
        </w:tblCellMar>
      </w:tblPr>
      <w:tblGrid>
        <w:gridCol w:w="1906"/>
        <w:gridCol w:w="109"/>
        <w:gridCol w:w="211"/>
        <w:gridCol w:w="571"/>
        <w:gridCol w:w="346"/>
        <w:gridCol w:w="211"/>
        <w:gridCol w:w="571"/>
        <w:gridCol w:w="39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10310" cy="175260"/>
                      <wp:effectExtent l="0" t="0" r="0" b="0"/>
                      <wp:wrapNone/>
                      <wp:docPr id="102" name="Frame102"/>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5"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62585" cy="175260"/>
                      <wp:effectExtent l="0" t="0" r="0" b="0"/>
                      <wp:wrapNone/>
                      <wp:docPr id="108"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8285" cy="175260"/>
                      <wp:effectExtent l="0" t="0" r="0" b="0"/>
                      <wp:wrapNone/>
                      <wp:docPr id="109" name="Frame10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Three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1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March 31, </w:t>
            </w:r>
          </w:p>
        </w:tc>
        <w:tc>
          <w:tcPr>
            <w:tcW w:w="391" w:type="dxa"/>
            <w:tcBorders/>
            <w:vAlign w:val="center"/>
          </w:tcPr>
          <w:p>
            <w:pPr>
              <w:pStyle w:val="TableContents"/>
              <w:bidi w:val="0"/>
              <w:spacing w:lineRule="auto" w:line="285" w:before="0" w:after="0"/>
              <w:ind w:left="0" w:right="0" w:hanging="0"/>
              <w:jc w:val="center"/>
              <w:rPr/>
            </w:pPr>
            <w:r>
              <w:rPr/>
              <w:t>​</w:t>
            </w:r>
          </w:p>
        </w:tc>
      </w:tr>
      <w:tr>
        <w:trPr/>
        <w:tc>
          <w:tcPr>
            <w:tcW w:w="19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91" w:type="dxa"/>
            <w:tcBorders/>
            <w:vAlign w:val="center"/>
          </w:tcPr>
          <w:p>
            <w:pPr>
              <w:pStyle w:val="TableContents"/>
              <w:bidi w:val="0"/>
              <w:spacing w:lineRule="auto" w:line="285" w:before="0" w:after="0"/>
              <w:ind w:left="0" w:right="0" w:hanging="0"/>
              <w:jc w:val="center"/>
              <w:rPr/>
            </w:pPr>
            <w:r>
              <w:rPr/>
              <w:t>  ​ ​ ​</w:t>
            </w:r>
          </w:p>
        </w:tc>
      </w:tr>
      <w:tr>
        <w:trPr/>
        <w:tc>
          <w:tcPr>
            <w:tcW w:w="190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Capital Expenditures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190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2,358</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2,106</w:t>
            </w:r>
          </w:p>
        </w:tc>
        <w:tc>
          <w:tcPr>
            <w:tcW w:w="391" w:type="dxa"/>
            <w:tcBorders/>
            <w:vAlign w:val="center"/>
          </w:tcPr>
          <w:p>
            <w:pPr>
              <w:pStyle w:val="TableContents"/>
              <w:bidi w:val="0"/>
              <w:spacing w:lineRule="auto" w:line="285" w:before="0" w:after="0"/>
              <w:ind w:left="0" w:right="0" w:hanging="0"/>
              <w:jc w:val="left"/>
              <w:rPr/>
            </w:pPr>
            <w:r>
              <w:rPr/>
              <w:t> </w:t>
            </w:r>
          </w:p>
        </w:tc>
      </w:tr>
      <w:tr>
        <w:trPr/>
        <w:tc>
          <w:tcPr>
            <w:tcW w:w="190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3,300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190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6,400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5,406</w:t>
            </w:r>
          </w:p>
        </w:tc>
        <w:tc>
          <w:tcPr>
            <w:tcW w:w="391" w:type="dxa"/>
            <w:tcBorders/>
            <w:vAlign w:val="center"/>
          </w:tcPr>
          <w:p>
            <w:pPr>
              <w:pStyle w:val="TableContents"/>
              <w:bidi w:val="0"/>
              <w:spacing w:lineRule="auto" w:line="285" w:before="0" w:after="0"/>
              <w:ind w:left="0" w:right="0" w:hanging="0"/>
              <w:jc w:val="left"/>
              <w:rPr/>
            </w:pPr>
            <w:r>
              <w:rPr/>
              <w:t> </w:t>
            </w:r>
          </w:p>
        </w:tc>
      </w:tr>
    </w:tbl>
    <w:p>
      <w:pPr>
        <w:pStyle w:val="TextBody"/>
        <w:bidi w:val="0"/>
        <w:spacing w:lineRule="auto" w:line="285" w:before="0" w:after="0"/>
        <w:ind w:left="0" w:right="0" w:hanging="0"/>
        <w:jc w:val="left"/>
        <w:rPr/>
      </w:pPr>
      <w:r>
        <w:rPr/>
        <w:t>​</w:t>
      </w:r>
    </w:p>
    <w:tbl>
      <w:tblPr>
        <w:tblW w:w="5174" w:type="dxa"/>
        <w:jc w:val="left"/>
        <w:tblInd w:w="0" w:type="dxa"/>
        <w:tblLayout w:type="fixed"/>
        <w:tblCellMar>
          <w:top w:w="0" w:type="dxa"/>
          <w:left w:w="0" w:type="dxa"/>
          <w:bottom w:w="0" w:type="dxa"/>
          <w:right w:w="0" w:type="dxa"/>
        </w:tblCellMar>
      </w:tblPr>
      <w:tblGrid>
        <w:gridCol w:w="1276"/>
        <w:gridCol w:w="109"/>
        <w:gridCol w:w="109"/>
        <w:gridCol w:w="260"/>
        <w:gridCol w:w="1150"/>
        <w:gridCol w:w="346"/>
        <w:gridCol w:w="327"/>
        <w:gridCol w:w="1443"/>
        <w:gridCol w:w="154"/>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810260" cy="175260"/>
                      <wp:effectExtent l="0" t="0" r="0" b="0"/>
                      <wp:wrapNone/>
                      <wp:docPr id="110" name="Frame110"/>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5100" cy="175260"/>
                      <wp:effectExtent l="0" t="0" r="0" b="0"/>
                      <wp:wrapNone/>
                      <wp:docPr id="113" name="Frame11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30250" cy="175260"/>
                      <wp:effectExtent l="0" t="0" r="0" b="0"/>
                      <wp:wrapNone/>
                      <wp:docPr id="114" name="Frame114"/>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645" cy="175260"/>
                      <wp:effectExtent l="0" t="0" r="0" b="0"/>
                      <wp:wrapNone/>
                      <wp:docPr id="116" name="Frame11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916305" cy="175260"/>
                      <wp:effectExtent l="0" t="0" r="0" b="0"/>
                      <wp:wrapNone/>
                      <wp:docPr id="117" name="Frame117"/>
                      <a:graphic xmlns:a="http://schemas.openxmlformats.org/drawingml/2006/main">
                        <a:graphicData uri="http://schemas.microsoft.com/office/word/2010/wordprocessingShape">
                          <wps:wsp>
                            <wps:cNvSpPr txBox="1"/>
                            <wps:spPr>
                              <a:xfrm>
                                <a:off x="0" y="0"/>
                                <a:ext cx="916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7790" cy="175260"/>
                      <wp:effectExtent l="0" t="0" r="0" b="0"/>
                      <wp:wrapNone/>
                      <wp:docPr id="118" name="Frame1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March 31, 2026</w:t>
            </w:r>
          </w:p>
        </w:tc>
        <w:tc>
          <w:tcPr>
            <w:tcW w:w="346" w:type="dxa"/>
            <w:tcBorders/>
            <w:vAlign w:val="center"/>
          </w:tcPr>
          <w:p>
            <w:pPr>
              <w:pStyle w:val="TableContents"/>
              <w:bidi w:val="0"/>
              <w:spacing w:lineRule="auto" w:line="285" w:before="0" w:after="0"/>
              <w:ind w:left="0" w:right="0" w:hanging="0"/>
              <w:jc w:val="center"/>
              <w:rPr/>
            </w:pPr>
            <w:r>
              <w:rPr/>
              <w:t>  ​ ​ ​</w:t>
            </w:r>
          </w:p>
        </w:tc>
        <w:tc>
          <w:tcPr>
            <w:tcW w:w="17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December 31, 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Total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1150"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7" w:type="dxa"/>
            <w:tcBorders/>
            <w:shd w:fill="CCEEFF" w:val="clear"/>
            <w:vAlign w:val="center"/>
          </w:tcPr>
          <w:p>
            <w:pPr>
              <w:pStyle w:val="TableContents"/>
              <w:bidi w:val="0"/>
              <w:spacing w:lineRule="auto" w:line="285" w:before="0" w:after="0"/>
              <w:ind w:left="0" w:right="0" w:hanging="0"/>
              <w:jc w:val="left"/>
              <w:rPr/>
            </w:pPr>
            <w:r>
              <w:rPr/>
              <w:t>​</w:t>
            </w:r>
          </w:p>
        </w:tc>
        <w:tc>
          <w:tcPr>
            <w:tcW w:w="1443"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0"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551,495</w:t>
            </w:r>
          </w:p>
        </w:tc>
        <w:tc>
          <w:tcPr>
            <w:tcW w:w="346" w:type="dxa"/>
            <w:tcBorders/>
            <w:vAlign w:val="center"/>
          </w:tcPr>
          <w:p>
            <w:pPr>
              <w:pStyle w:val="TableContents"/>
              <w:bidi w:val="0"/>
              <w:spacing w:lineRule="auto" w:line="285" w:before="0" w:after="0"/>
              <w:ind w:left="0" w:right="0" w:hanging="0"/>
              <w:jc w:val="left"/>
              <w:rPr/>
            </w:pPr>
            <w:r>
              <w:rPr/>
              <w:t> </w:t>
            </w:r>
          </w:p>
        </w:tc>
        <w:tc>
          <w:tcPr>
            <w:tcW w:w="32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4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566,057</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1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861,120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4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933,025</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1,412,615</w:t>
            </w:r>
          </w:p>
        </w:tc>
        <w:tc>
          <w:tcPr>
            <w:tcW w:w="346" w:type="dxa"/>
            <w:tcBorders/>
            <w:vAlign w:val="center"/>
          </w:tcPr>
          <w:p>
            <w:pPr>
              <w:pStyle w:val="TableContents"/>
              <w:bidi w:val="0"/>
              <w:spacing w:lineRule="auto" w:line="285" w:before="0" w:after="0"/>
              <w:ind w:left="0" w:right="0" w:hanging="0"/>
              <w:jc w:val="left"/>
              <w:rPr/>
            </w:pPr>
            <w:r>
              <w:rPr/>
              <w:t> </w:t>
            </w:r>
          </w:p>
        </w:tc>
        <w:tc>
          <w:tcPr>
            <w:tcW w:w="32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1,499,082</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presents revenue based upon the geographic location where the services are provided (in thousands):</w:t>
      </w:r>
    </w:p>
    <w:tbl>
      <w:tblPr>
        <w:tblW w:w="6290" w:type="dxa"/>
        <w:jc w:val="left"/>
        <w:tblInd w:w="0" w:type="dxa"/>
        <w:tblLayout w:type="fixed"/>
        <w:tblCellMar>
          <w:top w:w="0" w:type="dxa"/>
          <w:left w:w="0" w:type="dxa"/>
          <w:bottom w:w="0" w:type="dxa"/>
          <w:right w:w="0" w:type="dxa"/>
        </w:tblCellMar>
      </w:tblPr>
      <w:tblGrid>
        <w:gridCol w:w="2656"/>
        <w:gridCol w:w="346"/>
        <w:gridCol w:w="252"/>
        <w:gridCol w:w="935"/>
        <w:gridCol w:w="414"/>
        <w:gridCol w:w="252"/>
        <w:gridCol w:w="935"/>
        <w:gridCol w:w="346"/>
        <w:gridCol w:w="15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86560" cy="175260"/>
                      <wp:effectExtent l="0" t="0" r="0" b="0"/>
                      <wp:wrapNone/>
                      <wp:docPr id="119" name="Frame11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0020" cy="175260"/>
                      <wp:effectExtent l="0" t="0" r="0" b="0"/>
                      <wp:wrapNone/>
                      <wp:docPr id="121" name="Frame12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93725" cy="175260"/>
                      <wp:effectExtent l="0" t="0" r="0" b="0"/>
                      <wp:wrapNone/>
                      <wp:docPr id="122" name="Frame122"/>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62890" cy="175260"/>
                      <wp:effectExtent l="0" t="0" r="0" b="0"/>
                      <wp:wrapNone/>
                      <wp:docPr id="123" name="Frame123"/>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0020" cy="175260"/>
                      <wp:effectExtent l="0" t="0" r="0" b="0"/>
                      <wp:wrapNone/>
                      <wp:docPr id="124" name="Frame12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3725" cy="175260"/>
                      <wp:effectExtent l="0" t="0" r="0" b="0"/>
                      <wp:wrapNone/>
                      <wp:docPr id="125" name="Frame125"/>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7" name="Frame1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2" w:type="dxa"/>
            <w:tcBorders/>
            <w:vAlign w:val="center"/>
          </w:tcPr>
          <w:p>
            <w:pPr>
              <w:pStyle w:val="TableContents"/>
              <w:bidi w:val="0"/>
              <w:spacing w:lineRule="auto" w:line="285" w:before="0" w:after="0"/>
              <w:ind w:left="0" w:right="0" w:hanging="0"/>
              <w:jc w:val="center"/>
              <w:rPr/>
            </w:pPr>
            <w:r>
              <w:rPr/>
              <w:t>​</w:t>
            </w:r>
          </w:p>
        </w:tc>
        <w:tc>
          <w:tcPr>
            <w:tcW w:w="935" w:type="dxa"/>
            <w:tcBorders/>
            <w:vAlign w:val="center"/>
          </w:tcPr>
          <w:p>
            <w:pPr>
              <w:pStyle w:val="TableContents"/>
              <w:bidi w:val="0"/>
              <w:spacing w:lineRule="auto" w:line="285" w:before="0" w:after="0"/>
              <w:ind w:left="0" w:right="0" w:hanging="0"/>
              <w:jc w:val="center"/>
              <w:rPr/>
            </w:pPr>
            <w:r>
              <w:rPr/>
              <w:t>​</w:t>
            </w:r>
          </w:p>
        </w:tc>
        <w:tc>
          <w:tcPr>
            <w:tcW w:w="414" w:type="dxa"/>
            <w:tcBorders/>
            <w:vAlign w:val="center"/>
          </w:tcPr>
          <w:p>
            <w:pPr>
              <w:pStyle w:val="TableContents"/>
              <w:bidi w:val="0"/>
              <w:spacing w:lineRule="auto" w:line="285" w:before="0" w:after="0"/>
              <w:ind w:left="0" w:right="0" w:hanging="0"/>
              <w:jc w:val="center"/>
              <w:rPr/>
            </w:pPr>
            <w:r>
              <w:rPr/>
              <w:t>​</w:t>
            </w:r>
          </w:p>
        </w:tc>
        <w:tc>
          <w:tcPr>
            <w:tcW w:w="252" w:type="dxa"/>
            <w:tcBorders/>
            <w:vAlign w:val="center"/>
          </w:tcPr>
          <w:p>
            <w:pPr>
              <w:pStyle w:val="TableContents"/>
              <w:bidi w:val="0"/>
              <w:spacing w:lineRule="auto" w:line="285" w:before="0" w:after="0"/>
              <w:ind w:left="0" w:right="0" w:hanging="0"/>
              <w:jc w:val="center"/>
              <w:rPr/>
            </w:pPr>
            <w:r>
              <w:rPr/>
              <w:t>​</w:t>
            </w:r>
          </w:p>
        </w:tc>
        <w:tc>
          <w:tcPr>
            <w:tcW w:w="93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6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14" w:type="dxa"/>
            <w:tcBorders/>
            <w:vAlign w:val="center"/>
          </w:tcPr>
          <w:p>
            <w:pPr>
              <w:pStyle w:val="TableContents"/>
              <w:bidi w:val="0"/>
              <w:spacing w:lineRule="auto" w:line="285" w:before="0" w:after="0"/>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6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United States / Canada</w:t>
            </w:r>
          </w:p>
        </w:tc>
        <w:tc>
          <w:tcPr>
            <w:tcW w:w="34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309,965</w:t>
            </w:r>
          </w:p>
        </w:tc>
        <w:tc>
          <w:tcPr>
            <w:tcW w:w="414" w:type="dxa"/>
            <w:tcBorders/>
            <w:vAlign w:val="center"/>
          </w:tcPr>
          <w:p>
            <w:pPr>
              <w:pStyle w:val="TableContents"/>
              <w:bidi w:val="0"/>
              <w:spacing w:lineRule="auto" w:line="285" w:before="0" w:after="0"/>
              <w:ind w:left="0" w:right="0" w:hanging="0"/>
              <w:jc w:val="center"/>
              <w:rPr/>
            </w:pPr>
            <w:r>
              <w:rPr/>
              <w:t>​</w:t>
            </w:r>
          </w:p>
        </w:tc>
        <w:tc>
          <w:tcPr>
            <w:tcW w:w="25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369,029</w:t>
            </w:r>
          </w:p>
        </w:tc>
        <w:tc>
          <w:tcPr>
            <w:tcW w:w="346"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6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Philippines / Asia Pacific / India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righ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101,860</w:t>
            </w:r>
          </w:p>
        </w:tc>
        <w:tc>
          <w:tcPr>
            <w:tcW w:w="414"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righ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91,254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Europe / Middle East / Africa</w:t>
            </w:r>
          </w:p>
        </w:tc>
        <w:tc>
          <w:tcPr>
            <w:tcW w:w="34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right"/>
              <w:rPr/>
            </w:pPr>
            <w:r>
              <w:rPr/>
              <w:t> </w:t>
            </w:r>
          </w:p>
        </w:tc>
        <w:tc>
          <w:tcPr>
            <w:tcW w:w="93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56,045</w:t>
            </w:r>
          </w:p>
        </w:tc>
        <w:tc>
          <w:tcPr>
            <w:tcW w:w="414"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right"/>
              <w:rPr/>
            </w:pPr>
            <w:r>
              <w:rPr/>
              <w:t> </w:t>
            </w:r>
          </w:p>
        </w:tc>
        <w:tc>
          <w:tcPr>
            <w:tcW w:w="93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47,549</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6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Latin America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28,305</w:t>
            </w:r>
          </w:p>
        </w:tc>
        <w:tc>
          <w:tcPr>
            <w:tcW w:w="414"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26,396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6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34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496,175</w:t>
            </w:r>
          </w:p>
        </w:tc>
        <w:tc>
          <w:tcPr>
            <w:tcW w:w="414" w:type="dxa"/>
            <w:tcBorders/>
            <w:vAlign w:val="center"/>
          </w:tcPr>
          <w:p>
            <w:pPr>
              <w:pStyle w:val="TableContents"/>
              <w:bidi w:val="0"/>
              <w:spacing w:lineRule="auto" w:line="285" w:before="0" w:after="0"/>
              <w:ind w:left="0" w:right="0" w:hanging="0"/>
              <w:jc w:val="left"/>
              <w:rPr/>
            </w:pPr>
            <w:r>
              <w:rPr/>
              <w:t> </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534,228</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bookmarkStart w:id="773" w:name="Tc_D66abGmyH0-KdSRhS5l2uQ_6_5"/>
      <w:bookmarkStart w:id="774" w:name="Tc_FVZ8k0ziQUCZOJ3m2BMQEg_6_2"/>
      <w:bookmarkStart w:id="775" w:name="Tc_2ZgfeY07iUeVNRteapph4A_6_0"/>
      <w:bookmarkStart w:id="776" w:name="Tc_hvXWKnA02EC-yk7l2OHYlw_5_0"/>
      <w:bookmarkStart w:id="777" w:name="Tc_oZhKW5YKsEmxG2Roz0HOOg_4_0"/>
      <w:bookmarkStart w:id="778" w:name="Tc_Mf_rGVZEJU--JmM4jEZ4xA_3_5"/>
      <w:bookmarkStart w:id="779" w:name="Tc_JcNWU3owhEeO-uB_Yrpz1w_3_2"/>
      <w:bookmarkStart w:id="780" w:name="Tc_xPRjiR8Z30aZ_zXx1fJrYA_3_0"/>
      <w:bookmarkStart w:id="781" w:name="Tc_o-qzLVjpAkiXw1VXmxga4Q_2_5"/>
      <w:bookmarkStart w:id="782" w:name="Tc_5OB4WX5SmE6IaoyCOUSoDg_2_2"/>
      <w:bookmarkStart w:id="783" w:name="Tc_mANKtAyysUmd1gml8Pncng_1_2"/>
      <w:bookmarkStart w:id="784" w:name="_1f75b279_d094_438a_b2ba_8c02349e94a4"/>
      <w:bookmarkEnd w:id="773"/>
      <w:bookmarkEnd w:id="774"/>
      <w:bookmarkEnd w:id="775"/>
      <w:bookmarkEnd w:id="776"/>
      <w:bookmarkEnd w:id="777"/>
      <w:bookmarkEnd w:id="778"/>
      <w:bookmarkEnd w:id="779"/>
      <w:bookmarkEnd w:id="780"/>
      <w:bookmarkEnd w:id="781"/>
      <w:bookmarkEnd w:id="782"/>
      <w:bookmarkEnd w:id="783"/>
      <w:bookmarkEnd w:id="784"/>
      <w:r>
        <w:rPr>
          <w:rFonts w:ascii="Arial;Helvetica;sans-serif" w:hAnsi="Arial;Helvetica;sans-serif"/>
          <w:b/>
          <w:i w:val="false"/>
          <w:caps w:val="false"/>
          <w:smallCaps w:val="false"/>
          <w:sz w:val="20"/>
        </w:rPr>
        <w:t>(3)</w:t>
      </w:r>
      <w:r>
        <w:rPr>
          <w:rFonts w:ascii="Arial;Helvetica;sans-serif" w:hAnsi="Arial;Helvetica;sans-serif"/>
          <w:b/>
          <w:sz w:val="20"/>
        </w:rPr>
        <w:t>SIGNIFICANT CLIENTS AND OTHER CONCENTRATIONS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had one client that contributed in excess of 10% of total revenue for the three months ended March 31, 2026; this client operates in the automotive industry and is included in the TTEC Engage segment. This client contributed 11.4% and 10.4% of total revenue for the three months ended March 31, 2026 and 2025, respectively. In addition, the Company has other clients with aggregate revenue exceeding $100 million annually and the loss of one or more of these clients could have a material adverse effect on the Company’s business, operating results, or financial condition. To mitigate this risk, the Company’s business arrangements with these larger clients are structured as multiple contracts with different statements of work that are specific to a different line of business or service; these contracts have different durations and renewal dates and could have a revenue opportunity above the $100 million aggregate.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To limit the Company’s credit risk with its clients, management performs periodic credit evaluations, maintains allowances for credit losses and may require pre-payment for services from certain clients whose financial stability or payment practices raise concern. Based on currently available information, management does not believe significant credit risk existed as of March 31, 2026 beyond what was already recognized.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Activity in the Company’s allowance for credit losses consists of the following (in thousands):</w:t>
      </w:r>
    </w:p>
    <w:tbl>
      <w:tblPr>
        <w:tblW w:w="6342" w:type="dxa"/>
        <w:jc w:val="left"/>
        <w:tblInd w:w="0" w:type="dxa"/>
        <w:tblLayout w:type="fixed"/>
        <w:tblCellMar>
          <w:top w:w="0" w:type="dxa"/>
          <w:left w:w="0" w:type="dxa"/>
          <w:bottom w:w="0" w:type="dxa"/>
          <w:right w:w="0" w:type="dxa"/>
        </w:tblCellMar>
      </w:tblPr>
      <w:tblGrid>
        <w:gridCol w:w="3016"/>
        <w:gridCol w:w="346"/>
        <w:gridCol w:w="298"/>
        <w:gridCol w:w="893"/>
        <w:gridCol w:w="489"/>
        <w:gridCol w:w="298"/>
        <w:gridCol w:w="811"/>
        <w:gridCol w:w="19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915160" cy="175260"/>
                      <wp:effectExtent l="0" t="0" r="0" b="0"/>
                      <wp:wrapNone/>
                      <wp:docPr id="128" name="Frame128"/>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9230" cy="175260"/>
                      <wp:effectExtent l="0" t="0" r="0" b="0"/>
                      <wp:wrapNone/>
                      <wp:docPr id="130" name="Frame13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7055" cy="175260"/>
                      <wp:effectExtent l="0" t="0" r="0" b="0"/>
                      <wp:wrapNone/>
                      <wp:docPr id="131" name="Frame131"/>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10515" cy="175260"/>
                      <wp:effectExtent l="0" t="0" r="0" b="0"/>
                      <wp:wrapNone/>
                      <wp:docPr id="132" name="Frame132"/>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9230" cy="175260"/>
                      <wp:effectExtent l="0" t="0" r="0" b="0"/>
                      <wp:wrapNone/>
                      <wp:docPr id="133" name="Frame133"/>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14985" cy="175260"/>
                      <wp:effectExtent l="0" t="0" r="0" b="0"/>
                      <wp:wrapNone/>
                      <wp:docPr id="134" name="Frame13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1285" cy="175260"/>
                      <wp:effectExtent l="0" t="0" r="0" b="0"/>
                      <wp:wrapNone/>
                      <wp:docPr id="135" name="Frame13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30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89" w:type="dxa"/>
            <w:tcBorders/>
            <w:vAlign w:val="center"/>
          </w:tcPr>
          <w:p>
            <w:pPr>
              <w:pStyle w:val="TableContents"/>
              <w:bidi w:val="0"/>
              <w:spacing w:lineRule="auto" w:line="285" w:before="0" w:after="0"/>
              <w:ind w:left="0" w:right="0" w:hanging="0"/>
              <w:jc w:val="center"/>
              <w:rPr/>
            </w:pPr>
            <w:r>
              <w:rPr/>
              <w:t>  ​ ​ ​</w:t>
            </w:r>
          </w:p>
        </w:tc>
        <w:tc>
          <w:tcPr>
            <w:tcW w:w="110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30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Balance,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4,908</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5,244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0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right"/>
              <w:rPr/>
            </w:pPr>
            <w:r>
              <w:rPr/>
              <w:t> </w:t>
            </w:r>
          </w:p>
        </w:tc>
        <w:tc>
          <w:tcPr>
            <w:tcW w:w="8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184</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right"/>
              <w:rPr/>
            </w:pPr>
            <w:r>
              <w:rPr/>
              <w:t> </w:t>
            </w:r>
          </w:p>
        </w:tc>
        <w:tc>
          <w:tcPr>
            <w:tcW w:w="81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01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Uncollectible receivables written-off</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(2,759)</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30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Balance, end of period</w:t>
            </w:r>
          </w:p>
        </w:tc>
        <w:tc>
          <w:tcPr>
            <w:tcW w:w="346" w:type="dxa"/>
            <w:tcBorders/>
            <w:vAlign w:val="center"/>
          </w:tcPr>
          <w:p>
            <w:pPr>
              <w:pStyle w:val="TableContents"/>
              <w:bidi w:val="0"/>
              <w:spacing w:lineRule="auto" w:line="285"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2,333</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bookmarkStart w:id="785" w:name="Tc_JuyimjaTY0ujgQXOWFaxSA_7_14"/>
      <w:bookmarkStart w:id="786" w:name="Tc_sq1tnWzhZ0uGup5i3O0z3Q_7_11"/>
      <w:bookmarkStart w:id="787" w:name="Tc_0fIHNn6dF0GgZ0sG6zhXHA_7_9"/>
      <w:bookmarkStart w:id="788" w:name="Tc_MwyyZJdUSE2YloPFXnWE0Q_7_8"/>
      <w:bookmarkStart w:id="789" w:name="Tc__eQQ6WIFpEil7DGSA_cPJg_7_6"/>
      <w:bookmarkStart w:id="790" w:name="Tc_2nu2r_sSFUW6vLIKacMvBw_7_5"/>
      <w:bookmarkStart w:id="791" w:name="Tc_1-CH1TX3X0GThKsxFjS-ZQ_7_2"/>
      <w:bookmarkStart w:id="792" w:name="Tc_IYkuAuFbgEeDeXQ7PNMopQ_7_0"/>
      <w:bookmarkStart w:id="793" w:name="Tc_Dt-ojP3GrU653X9cv8EBLA_6_9"/>
      <w:bookmarkStart w:id="794" w:name="Tc_PNuMiWYGh0q-OLc7MFm_CA_6_6"/>
      <w:bookmarkStart w:id="795" w:name="Tc_XFIdUedjUEKUbbcZlPRGzg_6_0"/>
      <w:bookmarkStart w:id="796" w:name="Tc_4rxndf7yzkWUGYMLveMF2g_5_14"/>
      <w:bookmarkStart w:id="797" w:name="Tc_jHyOdd_jlE2E9u-X_6_Ejg_5_11"/>
      <w:bookmarkStart w:id="798" w:name="Tc_OWh9SACbnEmQ_MFRVsUujQ_5_9"/>
      <w:bookmarkStart w:id="799" w:name="Tc_H__SuJxfPkW17agEfqP5uw_5_8"/>
      <w:bookmarkStart w:id="800" w:name="Tc_QRWJQZRP2EO0ueQxjUM62w_5_6"/>
      <w:bookmarkStart w:id="801" w:name="Tc_j3Uzoow8a0eq_j3Wpyl74A_5_5"/>
      <w:bookmarkStart w:id="802" w:name="Tc_6sHiVjsl_kSSS2F_ns_HfA_5_2"/>
      <w:bookmarkStart w:id="803" w:name="Tc__FwJD3a6G0ecQwCsnrw9nQ_5_0"/>
      <w:bookmarkStart w:id="804" w:name="Tc_vvfyavatD0aNtSgOmVjzOA_3_14"/>
      <w:bookmarkStart w:id="805" w:name="Tc_5mJXXIUXnkSgH7ByZjtCwA_3_11"/>
      <w:bookmarkStart w:id="806" w:name="Tc_499y8j-6Uk2Nsr3sPB610A_3_8"/>
      <w:bookmarkStart w:id="807" w:name="Tc_VDGGvj617UWY0Cjf4dHycg_3_5"/>
      <w:bookmarkStart w:id="808" w:name="Tc_BvLX3Z0RTE2Y35l-MZHoTQ_3_2"/>
      <w:bookmarkStart w:id="809" w:name="Tc_UVRhUvLTAkOqsgCOStMOWA_2_14"/>
      <w:bookmarkStart w:id="810" w:name="Tc_YsdeRdI84U-vsGplijpAwQ_2_11"/>
      <w:bookmarkStart w:id="811" w:name="Tc_Ww2lUApzcUaUtAwola5NBQ_2_5"/>
      <w:bookmarkStart w:id="812" w:name="Tc_Su7NRE1ZLUmsb63qdTgfXw_2_2"/>
      <w:bookmarkStart w:id="813" w:name="Tc_fwfQscNAqE6nnHKFuPR3RQ_1_11"/>
      <w:bookmarkStart w:id="814" w:name="_2c11b872_d208_44c3_9339_c6f572ce0c13"/>
      <w:bookmarkStart w:id="815" w:name="_Hlk519691469"/>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Arial;Helvetica;sans-serif" w:hAnsi="Arial;Helvetica;sans-serif"/>
          <w:b/>
          <w:i w:val="false"/>
          <w:caps w:val="false"/>
          <w:smallCaps w:val="false"/>
          <w:sz w:val="20"/>
        </w:rPr>
        <w:t>(4)</w:t>
      </w:r>
      <w:r>
        <w:rPr>
          <w:rFonts w:ascii="Arial;Helvetica;sans-serif" w:hAnsi="Arial;Helvetica;sans-serif"/>
          <w:b/>
          <w:sz w:val="20"/>
        </w:rPr>
        <w:t>GOODWILL</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Goodwill consisted of the following (in thousands):</w:t>
      </w:r>
    </w:p>
    <w:tbl>
      <w:tblPr>
        <w:tblW w:w="8902" w:type="dxa"/>
        <w:jc w:val="left"/>
        <w:tblInd w:w="0" w:type="dxa"/>
        <w:tblLayout w:type="fixed"/>
        <w:tblCellMar>
          <w:top w:w="0" w:type="dxa"/>
          <w:left w:w="0" w:type="dxa"/>
          <w:bottom w:w="0" w:type="dxa"/>
          <w:right w:w="0" w:type="dxa"/>
        </w:tblCellMar>
      </w:tblPr>
      <w:tblGrid>
        <w:gridCol w:w="1276"/>
        <w:gridCol w:w="346"/>
        <w:gridCol w:w="287"/>
        <w:gridCol w:w="1063"/>
        <w:gridCol w:w="346"/>
        <w:gridCol w:w="477"/>
        <w:gridCol w:w="784"/>
        <w:gridCol w:w="346"/>
        <w:gridCol w:w="449"/>
        <w:gridCol w:w="737"/>
        <w:gridCol w:w="346"/>
        <w:gridCol w:w="278"/>
        <w:gridCol w:w="638"/>
        <w:gridCol w:w="346"/>
        <w:gridCol w:w="211"/>
        <w:gridCol w:w="781"/>
        <w:gridCol w:w="191"/>
      </w:tblGrid>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vAlign w:val="center"/>
          </w:tcPr>
          <w:p>
            <w:pPr>
              <w:pStyle w:val="TableContents"/>
              <w:bidi w:val="0"/>
              <w:spacing w:lineRule="auto" w:line="285" w:before="0" w:after="0"/>
              <w:ind w:left="0" w:right="0" w:hanging="0"/>
              <w:jc w:val="left"/>
              <w:rPr/>
            </w:pPr>
            <w:r>
              <w:rPr/>
              <w:t>​</w:t>
            </w:r>
          </w:p>
        </w:tc>
        <w:tc>
          <w:tcPr>
            <w:tcW w:w="106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77" w:type="dxa"/>
            <w:tcBorders/>
            <w:vAlign w:val="center"/>
          </w:tcPr>
          <w:p>
            <w:pPr>
              <w:pStyle w:val="TableContents"/>
              <w:bidi w:val="0"/>
              <w:spacing w:lineRule="auto" w:line="285" w:before="0" w:after="0"/>
              <w:ind w:left="0" w:right="0" w:hanging="0"/>
              <w:jc w:val="left"/>
              <w:rPr/>
            </w:pPr>
            <w:r>
              <w:rPr/>
              <w:t>​</w:t>
            </w:r>
          </w:p>
        </w:tc>
        <w:tc>
          <w:tcPr>
            <w:tcW w:w="7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9" w:type="dxa"/>
            <w:tcBorders/>
            <w:vAlign w:val="center"/>
          </w:tcPr>
          <w:p>
            <w:pPr>
              <w:pStyle w:val="TableContents"/>
              <w:bidi w:val="0"/>
              <w:spacing w:lineRule="auto" w:line="285" w:before="0" w:after="0"/>
              <w:ind w:left="0" w:right="0" w:hanging="0"/>
              <w:jc w:val="left"/>
              <w:rPr/>
            </w:pPr>
            <w:r>
              <w:rPr/>
              <w:t>​</w:t>
            </w:r>
          </w:p>
        </w:tc>
        <w:tc>
          <w:tcPr>
            <w:tcW w:w="73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left"/>
              <w:rPr/>
            </w:pPr>
            <w:r>
              <w:rPr/>
              <w:t>​</w:t>
            </w:r>
          </w:p>
        </w:tc>
        <w:tc>
          <w:tcPr>
            <w:tcW w:w="63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87" w:type="dxa"/>
            <w:tcBorders/>
            <w:vAlign w:val="center"/>
          </w:tcPr>
          <w:p>
            <w:pPr>
              <w:pStyle w:val="TableContents"/>
              <w:bidi w:val="0"/>
              <w:spacing w:lineRule="auto" w:line="285" w:before="0" w:after="0"/>
              <w:ind w:left="0" w:right="0" w:hanging="0"/>
              <w:jc w:val="center"/>
              <w:rPr/>
            </w:pPr>
            <w:r>
              <w:rPr/>
              <w:t>​</w:t>
            </w:r>
          </w:p>
        </w:tc>
        <w:tc>
          <w:tcPr>
            <w:tcW w:w="1063"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77" w:type="dxa"/>
            <w:tcBorders/>
            <w:vAlign w:val="center"/>
          </w:tcPr>
          <w:p>
            <w:pPr>
              <w:pStyle w:val="TableContents"/>
              <w:bidi w:val="0"/>
              <w:spacing w:lineRule="auto" w:line="285" w:before="0" w:after="0"/>
              <w:ind w:left="0" w:right="0" w:hanging="0"/>
              <w:jc w:val="center"/>
              <w:rPr/>
            </w:pPr>
            <w:r>
              <w:rPr/>
              <w:t>​</w:t>
            </w:r>
          </w:p>
        </w:tc>
        <w:tc>
          <w:tcPr>
            <w:tcW w:w="78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49" w:type="dxa"/>
            <w:tcBorders/>
            <w:vAlign w:val="center"/>
          </w:tcPr>
          <w:p>
            <w:pPr>
              <w:pStyle w:val="TableContents"/>
              <w:bidi w:val="0"/>
              <w:spacing w:lineRule="auto" w:line="285" w:before="0" w:after="0"/>
              <w:ind w:left="0" w:right="0" w:hanging="0"/>
              <w:jc w:val="center"/>
              <w:rPr/>
            </w:pPr>
            <w:r>
              <w:rPr/>
              <w:t>​</w:t>
            </w:r>
          </w:p>
        </w:tc>
        <w:tc>
          <w:tcPr>
            <w:tcW w:w="73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Effect of</w:t>
            </w:r>
          </w:p>
        </w:tc>
        <w:tc>
          <w:tcPr>
            <w:tcW w:w="346" w:type="dxa"/>
            <w:tcBorders/>
            <w:vAlign w:val="center"/>
          </w:tcPr>
          <w:p>
            <w:pPr>
              <w:pStyle w:val="TableContents"/>
              <w:bidi w:val="0"/>
              <w:spacing w:lineRule="auto" w:line="285" w:before="0" w:after="0"/>
              <w:ind w:left="0" w:right="0" w:hanging="0"/>
              <w:jc w:val="center"/>
              <w:rPr/>
            </w:pPr>
            <w:r>
              <w:rPr/>
              <w:t>  ​ ​ ​</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50"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346" w:type="dxa"/>
            <w:tcBorders/>
            <w:vAlign w:val="center"/>
          </w:tcPr>
          <w:p>
            <w:pPr>
              <w:pStyle w:val="TableContents"/>
              <w:bidi w:val="0"/>
              <w:spacing w:lineRule="auto" w:line="285" w:before="0" w:after="0"/>
              <w:ind w:left="0" w:right="0" w:hanging="0"/>
              <w:jc w:val="center"/>
              <w:rPr/>
            </w:pPr>
            <w:r>
              <w:rPr/>
              <w:t>​</w:t>
            </w:r>
          </w:p>
        </w:tc>
        <w:tc>
          <w:tcPr>
            <w:tcW w:w="126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Acquisitions /</w:t>
            </w:r>
          </w:p>
        </w:tc>
        <w:tc>
          <w:tcPr>
            <w:tcW w:w="346" w:type="dxa"/>
            <w:tcBorders/>
            <w:vAlign w:val="center"/>
          </w:tcPr>
          <w:p>
            <w:pPr>
              <w:pStyle w:val="TableContents"/>
              <w:bidi w:val="0"/>
              <w:spacing w:lineRule="auto" w:line="285" w:before="0" w:after="0"/>
              <w:ind w:left="0" w:right="0" w:hanging="0"/>
              <w:jc w:val="center"/>
              <w:rPr/>
            </w:pPr>
            <w:r>
              <w:rPr/>
              <w:t>​</w:t>
            </w:r>
          </w:p>
        </w:tc>
        <w:tc>
          <w:tcPr>
            <w:tcW w:w="449" w:type="dxa"/>
            <w:tcBorders/>
            <w:vAlign w:val="center"/>
          </w:tcPr>
          <w:p>
            <w:pPr>
              <w:pStyle w:val="TableContents"/>
              <w:bidi w:val="0"/>
              <w:spacing w:lineRule="auto" w:line="285" w:before="0" w:after="0"/>
              <w:ind w:left="0" w:right="0" w:hanging="0"/>
              <w:jc w:val="center"/>
              <w:rPr/>
            </w:pPr>
            <w:r>
              <w:rPr/>
              <w:t>​</w:t>
            </w:r>
          </w:p>
        </w:tc>
        <w:tc>
          <w:tcPr>
            <w:tcW w:w="73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March 31, </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Adjustments</w:t>
            </w:r>
          </w:p>
        </w:tc>
        <w:tc>
          <w:tcPr>
            <w:tcW w:w="346" w:type="dxa"/>
            <w:tcBorders/>
            <w:vAlign w:val="center"/>
          </w:tcPr>
          <w:p>
            <w:pPr>
              <w:pStyle w:val="TableContents"/>
              <w:bidi w:val="0"/>
              <w:spacing w:lineRule="auto" w:line="285"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Impairments</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2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vAlign w:val="center"/>
          </w:tcPr>
          <w:p>
            <w:pPr>
              <w:pStyle w:val="TableContents"/>
              <w:bidi w:val="0"/>
              <w:spacing w:lineRule="auto" w:line="285" w:before="0" w:after="0"/>
              <w:ind w:left="0" w:right="0" w:hanging="0"/>
              <w:jc w:val="right"/>
              <w:rPr/>
            </w:pPr>
            <w:r>
              <w:rPr/>
              <w:t>​</w:t>
            </w:r>
          </w:p>
        </w:tc>
        <w:tc>
          <w:tcPr>
            <w:tcW w:w="106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77" w:type="dxa"/>
            <w:tcBorders/>
            <w:vAlign w:val="center"/>
          </w:tcPr>
          <w:p>
            <w:pPr>
              <w:pStyle w:val="TableContents"/>
              <w:bidi w:val="0"/>
              <w:spacing w:lineRule="auto" w:line="285" w:before="0" w:after="0"/>
              <w:ind w:left="0" w:right="0" w:hanging="0"/>
              <w:jc w:val="right"/>
              <w:rPr/>
            </w:pPr>
            <w:r>
              <w:rPr/>
              <w:t>​</w:t>
            </w:r>
          </w:p>
        </w:tc>
        <w:tc>
          <w:tcPr>
            <w:tcW w:w="78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9" w:type="dxa"/>
            <w:tcBorders/>
            <w:vAlign w:val="center"/>
          </w:tcPr>
          <w:p>
            <w:pPr>
              <w:pStyle w:val="TableContents"/>
              <w:bidi w:val="0"/>
              <w:spacing w:lineRule="auto" w:line="285" w:before="0" w:after="0"/>
              <w:ind w:left="0" w:right="0" w:hanging="0"/>
              <w:jc w:val="right"/>
              <w:rPr/>
            </w:pPr>
            <w:r>
              <w:rPr/>
              <w:t>​</w:t>
            </w:r>
          </w:p>
        </w:tc>
        <w:tc>
          <w:tcPr>
            <w:tcW w:w="73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8" w:type="dxa"/>
            <w:tcBorders/>
            <w:vAlign w:val="center"/>
          </w:tcPr>
          <w:p>
            <w:pPr>
              <w:pStyle w:val="TableContents"/>
              <w:bidi w:val="0"/>
              <w:spacing w:lineRule="auto" w:line="285" w:before="0" w:after="0"/>
              <w:ind w:left="0" w:right="0" w:hanging="0"/>
              <w:jc w:val="right"/>
              <w:rPr/>
            </w:pPr>
            <w:r>
              <w:rPr/>
              <w:t>​</w:t>
            </w:r>
          </w:p>
        </w:tc>
        <w:tc>
          <w:tcPr>
            <w:tcW w:w="63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Digital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6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295,202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7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295,374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2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TTEC Engage</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0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73,476</w:t>
            </w:r>
          </w:p>
        </w:tc>
        <w:tc>
          <w:tcPr>
            <w:tcW w:w="346" w:type="dxa"/>
            <w:tcBorders/>
            <w:vAlign w:val="center"/>
          </w:tcPr>
          <w:p>
            <w:pPr>
              <w:pStyle w:val="TableContents"/>
              <w:bidi w:val="0"/>
              <w:spacing w:lineRule="auto" w:line="285" w:before="0" w:after="0"/>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72,811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2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368,678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368,185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40" w:before="0" w:after="120"/>
        <w:ind w:left="0" w:right="0" w:hanging="0"/>
        <w:jc w:val="both"/>
        <w:rPr>
          <w:rFonts w:ascii="Arial;Helvetica;sans-serif" w:hAnsi="Arial;Helvetica;sans-serif"/>
          <w:sz w:val="20"/>
        </w:rPr>
      </w:pPr>
      <w:r>
        <w:rPr>
          <w:rFonts w:ascii="Arial;Helvetica;sans-serif" w:hAnsi="Arial;Helvetica;sans-serif"/>
          <w:sz w:val="20"/>
        </w:rPr>
        <w:t>The Company performs an annual goodwill impairment assessment on December 1</w:t>
      </w:r>
      <w:r>
        <w:rPr>
          <w:rFonts w:ascii="Arial;Helvetica;sans-serif" w:hAnsi="Arial;Helvetica;sans-serif"/>
          <w:sz w:val="15"/>
        </w:rPr>
        <w:t>st</w:t>
      </w:r>
      <w:r>
        <w:rPr>
          <w:rFonts w:ascii="Arial;Helvetica;sans-serif" w:hAnsi="Arial;Helvetica;sans-serif"/>
          <w:sz w:val="20"/>
        </w:rPr>
        <w:t xml:space="preserve">, or more frequently, if indicators of impairment exist. The Company also monitors its reporting units for any triggering events and performs qualitative assessments of impairment indicators.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of December 1, 2025, the date of the annual impairment testing, the Company concluded that for the Engage and Digital Professional Services reporting units, resulting fair values were in excess of the respective carrying values and the goodwill for those reporting units was not impaired. The resulting fair value of the Digital Recurring reporting unit decreased below its carrying value, which resulted in recording a $193.0 million noncash pre-tax impairment charge. Recognition of this non-cash goodwill impairment charge resulted in a tax benefit that generated an incremental deferred tax asset of $12.4 million to the reporting unit’s carrying value. Accordingly, the Company recorded an additional non-cash charge of $12.4 million to reduce the Company’s carrying value to its previously determined fair value in accordance with the applicable goodwill impairment guidance. In total, a non-cash impairment loss of $205.4 million was recognized for the fourth quarter ended December 31, 2025.</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Company’s annual impairment testing as of December 1, 2025, the Company identified one reporting unit, Digital Professional Services, as at risk for future impairment. The carrying value of Digital Professional Services was $228.8 million at December 1, 2025, including approximately $189.7 million of goodwill. Based on the Company’s assessment, the estimated fair value of the Digital Professional Services reporting unit exceeded its carrying value by approximately 8%. If all assumptions are held constant, either a 0.5% increase in the discount rate or a 4.0% decrease in each year’s projected revenue over the forecast period would result in approximately a $17.7 million decrease in the estimated fair value of the Digital Professional Services reporting unit. Such a change in either of these assumptions individually would have resulted in the Digital Professional Services reporting unit failing Step 1 of the goodwill impairment analysis on December 1,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As an international outsourcing agent, TTEC’s revenue and cash flows are susceptible to global economic conditions and client business volumes. In performing the Step 1 evaluation, the reporting unit’s current backlog and pipeline of customer business were considered, as well as inflation rates, gross domestic product rates, historical revenue growth and profitability, and state of the CX industry. The estimate of fair value was based on generally accepted valuation techniques and information available at the date of the assessment, which incorporated management’s assumptions about expected revenues, future cash flows and available market information for comparable companies.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Outside of the Company’s annual impairment testing process, the Company monitors its reporting units for any triggering events while also performing qualitative assessments of impairment indicators. During the first quarter of 2026, the Company concluded there were no triggering events and completed its qualitative assessment of impairment indicators, which included, among other things, an assessment of changes in macroeconomic conditions, comparison of the actual results to those forecasted in the most recent annual impairment test and performing sensitivity analysis on key assumptions.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(5)</w:t>
      </w:r>
      <w:r>
        <w:rPr>
          <w:rFonts w:ascii="Arial;Helvetica;sans-serif" w:hAnsi="Arial;Helvetica;sans-serif"/>
          <w:b/>
          <w:sz w:val="20"/>
        </w:rPr>
        <w:t>DERIVATIVES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TTEC’s Financial Risk Management Committee monitors cash flow and fair value foreign exchange exposures and interest rate exposures on a worldwide basis, assesses the potential economics and earnings impact from foreign exchange and/or interest rate fluctuations, and deploys risk management policies and solutions to reduce volatility related to TTEC’s exposure to foreign exchange rate changes and interest rate changes.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enters into foreign exchange forward and option contracts to reduce its exposure to foreign currency exchange rate fluctuations that are associated with forecasted revenue earned in foreign locations. Upon proper qualification, these contracts are designated as cash flow hedges. The Company formally documents at the inception of the hedge all relationships between hedging instruments and hedged items as well as its risk management objective and strategy for undertaking various hedging activities.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also enters into fair value derivative contracts that hedge against foreign currency exchange gains and losses primarily associated with short-term payables and receivables. These swap contracts are not designated as hedges under ASC Topic 815, </w:t>
      </w:r>
      <w:r>
        <w:rPr>
          <w:rFonts w:ascii="Arial;Helvetica;sans-serif" w:hAnsi="Arial;Helvetica;sans-serif"/>
          <w:i/>
          <w:sz w:val="20"/>
        </w:rPr>
        <w:t>Derivatives and Hedging</w:t>
      </w:r>
      <w:r>
        <w:rPr>
          <w:rFonts w:ascii="Arial;Helvetica;sans-serif" w:hAnsi="Arial;Helvetica;sans-serif"/>
          <w:sz w:val="20"/>
        </w:rPr>
        <w:t xml:space="preserv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It is the Company’s policy to only enter into derivative contracts with investment grade counterparty financial institutions, and correspondingly, the fair value of derivative assets considers, among other factors, the creditworthiness of these counterparties. Conversely, the fair value of derivative liabilities reflects the Company’s creditworthiness. As of March 31, 2026, the Company has not experienced, nor does it anticipate, any issues related to derivative counterparty defaults.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All derivative financial instruments are reported at gross fair value and recorded in Prepaids and other current assets, Other long-term assets, Other current liabilities, and Other long-term liabilities in the accompanying Consolidated Balance Sheets as applicable for each period end.</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b/>
          <w:sz w:val="20"/>
        </w:rPr>
      </w:pPr>
      <w:bookmarkStart w:id="816" w:name="Tc_fIp5higx6UmI3OwksP5R3g_13_5"/>
      <w:bookmarkStart w:id="817" w:name="Tc_Ip5icgJDS06sOmIZxFenAA_13_2"/>
      <w:bookmarkStart w:id="818" w:name="Tc_t7QneqDsakidaGSfME6h5Q_13_0"/>
      <w:bookmarkStart w:id="819" w:name="Tc_98LmUPLrP0CZCR9gAvjfQQ_12_0"/>
      <w:bookmarkStart w:id="820" w:name="Tc_TZEiHvKQgk622FYetXcgOA_11_6"/>
      <w:bookmarkStart w:id="821" w:name="Tc_xJLN-hdQL0OgQsWxwW9AIQ_11_0"/>
      <w:bookmarkStart w:id="822" w:name="Tc_PCfa8D5ueEWpMhRoSK6B-w_10_0"/>
      <w:bookmarkStart w:id="823" w:name="Tc_dJkZKS93lUios58ymTkUgw_9_5"/>
      <w:bookmarkStart w:id="824" w:name="Tc_UTsjFI81h0q_HaKB8nHZuQ_9_2"/>
      <w:bookmarkStart w:id="825" w:name="Tc_kks7HxE8qkW2f1BkDGEmCQ_9_0"/>
      <w:bookmarkStart w:id="826" w:name="Tc_WVHO9Igsf0CDxPTQIaHqGA_7_5"/>
      <w:bookmarkStart w:id="827" w:name="Tc_GYDwdtzGPUGfWPNvq2qy6w_7_2"/>
      <w:bookmarkStart w:id="828" w:name="Tc_ERUlujsz8UeUxx8-E2UKBA_7_0"/>
      <w:bookmarkStart w:id="829" w:name="Tc_ZQwK3_2HekiG7mOXF_l0Yg_6_5"/>
      <w:bookmarkStart w:id="830" w:name="Tc_V3Gxysx41Uamk4zg5k1R6Q_6_2"/>
      <w:bookmarkStart w:id="831" w:name="Tc_lF7nm3oKw0uW-rV3hyAITg_6_0"/>
      <w:bookmarkStart w:id="832" w:name="Tc_Gx_iuDq4HE-ha7hUaRAorQ_5_5"/>
      <w:bookmarkStart w:id="833" w:name="Tc_KEkqEN04OkGs9XPHZ0TAMQ_5_2"/>
      <w:bookmarkStart w:id="834" w:name="Tc_APB9yViVIEioFIyqZgZqmA_4_5"/>
      <w:bookmarkStart w:id="835" w:name="Tc_msz1GGHUP0GTX2_vwTRAkQ_4_2"/>
      <w:bookmarkStart w:id="836" w:name="Tc_Xa09oDC9TEyC1pEnXGmYHA_4_0"/>
      <w:bookmarkStart w:id="837" w:name="Tc_G_URFvLeQ0egzxby6kK6OA_3_5"/>
      <w:bookmarkStart w:id="838" w:name="Tc_4a_UKd3a00WlWUNQeyP-0g_3_2"/>
      <w:bookmarkStart w:id="839" w:name="Tc_r5XiOg5odkKIXWszBiNP4g_2_5"/>
      <w:bookmarkStart w:id="840" w:name="Tc_shtUQkd7uE2syCSW65JJmw_2_2"/>
      <w:bookmarkStart w:id="841" w:name="Tc_rf7YZuXuWUONV8b01jMBYQ_1_2"/>
      <w:bookmarkStart w:id="842" w:name="_c0e60214_ac9f_4846_bc9d_bf3d8bbbf267"/>
      <w:bookmarkStart w:id="843" w:name="Tc_Sj5iydj5l0Cl-QzkxSY4mA_13_5"/>
      <w:bookmarkStart w:id="844" w:name="Tc_jLRDSqZoo0GTfmbi61RuaQ_13_2"/>
      <w:bookmarkStart w:id="845" w:name="Tc_1Ko5xL4yYkOqdCkyVhtzQg_13_0"/>
      <w:bookmarkStart w:id="846" w:name="Tc_cUc06oaqNEeXbD1tzZ-nxQ_12_0"/>
      <w:bookmarkStart w:id="847" w:name="Tc_CBwruKnLhEaolIoZwu247g_11_0"/>
      <w:bookmarkStart w:id="848" w:name="Tc_SIt5jooQ-kWOGPxki1C6hQ_10_0"/>
      <w:bookmarkStart w:id="849" w:name="Tc_U4IhTypKIkm5kcnBErCZPQ_9_5"/>
      <w:bookmarkStart w:id="850" w:name="Tc__LmPgDfNb0yhE_H9YS23xg_9_2"/>
      <w:bookmarkStart w:id="851" w:name="Tc_3FKeUzlCuUuWbnrizVEL1g_9_0"/>
      <w:bookmarkStart w:id="852" w:name="Tc_QOPlWhMO8k2UMtDXLP1pUQ_7_5"/>
      <w:bookmarkStart w:id="853" w:name="Tc_o5bSGSITrU-I7iMlMlsrrw_7_2"/>
      <w:bookmarkStart w:id="854" w:name="Tc_JishyKj8cUey9ZldnPoIag_7_0"/>
      <w:bookmarkStart w:id="855" w:name="Tc_SG_KD4YEIEq83Qlcl670Rw_6_5"/>
      <w:bookmarkStart w:id="856" w:name="Tc_MgEAERfPjUecE23BjMHliw_6_2"/>
      <w:bookmarkStart w:id="857" w:name="Tc_YSAIoVKny0GJ1-bsrlhdFw_6_0"/>
      <w:bookmarkStart w:id="858" w:name="Tc_K0swSPHlAEGoGSmbYG6cpQ_5_5"/>
      <w:bookmarkStart w:id="859" w:name="Tc_1hMn1Q7MM0aNa0tANyoUKg_5_2"/>
      <w:bookmarkStart w:id="860" w:name="Tc_yl-PPe2JZEyXoWbYgnJK5A_4_5"/>
      <w:bookmarkStart w:id="861" w:name="Tc_BWXr77udXUuY7JRhfWroUQ_4_2"/>
      <w:bookmarkStart w:id="862" w:name="Tc_-fyM6H0o8km8tJ3NGjmGxA_4_0"/>
      <w:bookmarkStart w:id="863" w:name="Tc_jyD_3x0raEiIwsoy6uEjhQ_3_5"/>
      <w:bookmarkStart w:id="864" w:name="Tc_enBO4Mb9-UqQD7_FkgJb2w_3_2"/>
      <w:bookmarkStart w:id="865" w:name="Tc_dXYxgRZG4kqC7qE-r9ULNQ_2_5"/>
      <w:bookmarkStart w:id="866" w:name="Tc_JQ96cCteaECDyUgTRa65gw_2_2"/>
      <w:bookmarkStart w:id="867" w:name="Tc_m759yQFnoUOkOZU621R_-A_1_2"/>
      <w:bookmarkStart w:id="868" w:name="_1a5080d9_80ab_4269_9425_db2967d84e28"/>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Arial;Helvetica;sans-serif" w:hAnsi="Arial;Helvetica;sans-serif"/>
          <w:b/>
          <w:sz w:val="20"/>
        </w:rPr>
        <w:t>Fair Value of Derivative Instruments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fair value and location of derivatives in the Consolidated Balance Sheets as of March 31, 2026 and December 31, 2025 were as follows (in thousands):</w:t>
      </w:r>
    </w:p>
    <w:tbl>
      <w:tblPr>
        <w:tblW w:w="6166" w:type="dxa"/>
        <w:jc w:val="left"/>
        <w:tblInd w:w="0" w:type="dxa"/>
        <w:tblLayout w:type="fixed"/>
        <w:tblCellMar>
          <w:top w:w="0" w:type="dxa"/>
          <w:left w:w="0" w:type="dxa"/>
          <w:bottom w:w="0" w:type="dxa"/>
          <w:right w:w="0" w:type="dxa"/>
        </w:tblCellMar>
      </w:tblPr>
      <w:tblGrid>
        <w:gridCol w:w="2866"/>
        <w:gridCol w:w="346"/>
        <w:gridCol w:w="247"/>
        <w:gridCol w:w="744"/>
        <w:gridCol w:w="346"/>
        <w:gridCol w:w="434"/>
        <w:gridCol w:w="992"/>
        <w:gridCol w:w="19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819910" cy="175260"/>
                      <wp:effectExtent l="0" t="0" r="0" b="0"/>
                      <wp:wrapNone/>
                      <wp:docPr id="136" name="Frame136"/>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56845" cy="175260"/>
                      <wp:effectExtent l="0" t="0" r="0" b="0"/>
                      <wp:wrapNone/>
                      <wp:docPr id="138" name="Frame13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72440" cy="175260"/>
                      <wp:effectExtent l="0" t="0" r="0" b="0"/>
                      <wp:wrapNone/>
                      <wp:docPr id="139" name="Frame139"/>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75590" cy="175260"/>
                      <wp:effectExtent l="0" t="0" r="0" b="0"/>
                      <wp:wrapNone/>
                      <wp:docPr id="141" name="Frame141"/>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29920" cy="175260"/>
                      <wp:effectExtent l="0" t="0" r="0" b="0"/>
                      <wp:wrapNone/>
                      <wp:docPr id="142" name="Frame142"/>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1285" cy="175260"/>
                      <wp:effectExtent l="0" t="0" r="0" b="0"/>
                      <wp:wrapNone/>
                      <wp:docPr id="143" name="Frame14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March 31, 2026</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Designated</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 Designated</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Designation:</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  ​ ​ ​</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contract type:</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classification:</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Cash Flow</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right"/>
              <w:rPr/>
            </w:pPr>
            <w:r>
              <w:rPr/>
              <w:t>​</w:t>
            </w:r>
          </w:p>
        </w:tc>
        <w:tc>
          <w:tcPr>
            <w:tcW w:w="9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9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 </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right"/>
              <w:rPr/>
            </w:pPr>
            <w:r>
              <w:rPr/>
              <w:t> </w:t>
            </w:r>
          </w:p>
        </w:tc>
        <w:tc>
          <w:tcPr>
            <w:tcW w:w="9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right"/>
              <w:rPr/>
            </w:pPr>
            <w:r>
              <w:rPr/>
              <w:t> </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right"/>
              <w:rPr/>
            </w:pPr>
            <w:r>
              <w:rPr/>
              <w:t> </w:t>
            </w:r>
          </w:p>
        </w:tc>
        <w:tc>
          <w:tcPr>
            <w:tcW w:w="99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fair value of derivatives,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tbl>
      <w:tblPr>
        <w:tblW w:w="6166" w:type="dxa"/>
        <w:jc w:val="left"/>
        <w:tblInd w:w="0" w:type="dxa"/>
        <w:tblLayout w:type="fixed"/>
        <w:tblCellMar>
          <w:top w:w="0" w:type="dxa"/>
          <w:left w:w="0" w:type="dxa"/>
          <w:bottom w:w="0" w:type="dxa"/>
          <w:right w:w="0" w:type="dxa"/>
        </w:tblCellMar>
      </w:tblPr>
      <w:tblGrid>
        <w:gridCol w:w="2866"/>
        <w:gridCol w:w="346"/>
        <w:gridCol w:w="247"/>
        <w:gridCol w:w="744"/>
        <w:gridCol w:w="346"/>
        <w:gridCol w:w="540"/>
        <w:gridCol w:w="886"/>
        <w:gridCol w:w="19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19910" cy="175260"/>
                      <wp:effectExtent l="0" t="0" r="0" b="0"/>
                      <wp:wrapNone/>
                      <wp:docPr id="144" name="Frame14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56845" cy="175260"/>
                      <wp:effectExtent l="0" t="0" r="0" b="0"/>
                      <wp:wrapNone/>
                      <wp:docPr id="146" name="Frame14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72440" cy="175260"/>
                      <wp:effectExtent l="0" t="0" r="0" b="0"/>
                      <wp:wrapNone/>
                      <wp:docPr id="147" name="Frame147"/>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42900" cy="175260"/>
                      <wp:effectExtent l="0" t="0" r="0" b="0"/>
                      <wp:wrapNone/>
                      <wp:docPr id="149" name="Frame14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2610" cy="175260"/>
                      <wp:effectExtent l="0" t="0" r="0" b="0"/>
                      <wp:wrapNone/>
                      <wp:docPr id="150" name="Frame1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1285" cy="175260"/>
                      <wp:effectExtent l="0" t="0" r="0" b="0"/>
                      <wp:wrapNone/>
                      <wp:docPr id="151" name="Frame15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December 31, 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Designated</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 Designated</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Hedging</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Designation:</w:t>
            </w:r>
          </w:p>
        </w:tc>
        <w:tc>
          <w:tcPr>
            <w:tcW w:w="346" w:type="dxa"/>
            <w:tcBorders/>
            <w:vAlign w:val="center"/>
          </w:tcPr>
          <w:p>
            <w:pPr>
              <w:pStyle w:val="TableContents"/>
              <w:bidi w:val="0"/>
              <w:spacing w:lineRule="auto" w:line="285" w:before="0" w:after="0"/>
              <w:ind w:left="0" w:right="0" w:hanging="0"/>
              <w:jc w:val="center"/>
              <w:rPr/>
            </w:pPr>
            <w:r>
              <w:rPr/>
              <w:t>​</w:t>
            </w:r>
          </w:p>
        </w:tc>
        <w:tc>
          <w:tcPr>
            <w:tcW w:w="1337"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Instruments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  ​ ​ ​</w:t>
            </w:r>
          </w:p>
        </w:tc>
        <w:tc>
          <w:tcPr>
            <w:tcW w:w="142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contract type:</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Exchange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classification:</w:t>
            </w:r>
          </w:p>
        </w:tc>
        <w:tc>
          <w:tcPr>
            <w:tcW w:w="346" w:type="dxa"/>
            <w:tcBorders/>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Cash Flow</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right"/>
              <w:rPr/>
            </w:pPr>
            <w:r>
              <w:rPr/>
              <w:t>​</w:t>
            </w:r>
          </w:p>
        </w:tc>
        <w:tc>
          <w:tcPr>
            <w:tcW w:w="88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Prepaids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assets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vAlign w:val="center"/>
          </w:tcPr>
          <w:p>
            <w:pPr>
              <w:pStyle w:val="TableContents"/>
              <w:bidi w:val="0"/>
              <w:spacing w:lineRule="auto" w:line="285" w:before="0" w:after="0"/>
              <w:ind w:left="0" w:right="0" w:hanging="0"/>
              <w:jc w:val="right"/>
              <w:rPr/>
            </w:pPr>
            <w:r>
              <w:rPr/>
              <w:t> </w:t>
            </w:r>
          </w:p>
        </w:tc>
        <w:tc>
          <w:tcPr>
            <w:tcW w:w="74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0" w:type="dxa"/>
            <w:tcBorders/>
            <w:vAlign w:val="center"/>
          </w:tcPr>
          <w:p>
            <w:pPr>
              <w:pStyle w:val="TableContents"/>
              <w:bidi w:val="0"/>
              <w:spacing w:lineRule="auto" w:line="285" w:before="0" w:after="0"/>
              <w:ind w:left="0" w:right="0" w:hanging="0"/>
              <w:jc w:val="right"/>
              <w:rPr/>
            </w:pPr>
            <w:r>
              <w:rPr/>
              <w:t> </w:t>
            </w:r>
          </w:p>
        </w:tc>
        <w:tc>
          <w:tcPr>
            <w:tcW w:w="88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shd w:fill="CCEEFF" w:val="clear"/>
            <w:vAlign w:val="center"/>
          </w:tcPr>
          <w:p>
            <w:pPr>
              <w:pStyle w:val="TableContents"/>
              <w:bidi w:val="0"/>
              <w:spacing w:lineRule="auto" w:line="285" w:before="0" w:after="0"/>
              <w:ind w:left="0" w:right="0" w:hanging="0"/>
              <w:jc w:val="right"/>
              <w:rPr/>
            </w:pPr>
            <w:r>
              <w:rPr/>
              <w:t> </w:t>
            </w:r>
          </w:p>
        </w:tc>
        <w:tc>
          <w:tcPr>
            <w:tcW w:w="7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0" w:type="dxa"/>
            <w:tcBorders/>
            <w:shd w:fill="CCEEFF" w:val="clear"/>
            <w:vAlign w:val="center"/>
          </w:tcPr>
          <w:p>
            <w:pPr>
              <w:pStyle w:val="TableContents"/>
              <w:bidi w:val="0"/>
              <w:spacing w:lineRule="auto" w:line="285" w:before="0" w:after="0"/>
              <w:ind w:left="0" w:right="0" w:hanging="0"/>
              <w:jc w:val="right"/>
              <w:rPr/>
            </w:pPr>
            <w:r>
              <w:rPr/>
              <w:t> </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w:t>
            </w:r>
          </w:p>
        </w:tc>
        <w:tc>
          <w:tcPr>
            <w:tcW w:w="346" w:type="dxa"/>
            <w:tcBorders/>
            <w:vAlign w:val="center"/>
          </w:tcPr>
          <w:p>
            <w:pPr>
              <w:pStyle w:val="TableContents"/>
              <w:bidi w:val="0"/>
              <w:spacing w:lineRule="auto" w:line="285" w:before="0" w:after="0"/>
              <w:ind w:left="0" w:right="0" w:hanging="0"/>
              <w:jc w:val="left"/>
              <w:rPr/>
            </w:pPr>
            <w:r>
              <w:rPr/>
              <w:t>​</w:t>
            </w:r>
          </w:p>
        </w:tc>
        <w:tc>
          <w:tcPr>
            <w:tcW w:w="5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6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fair value of derivatives,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Cash Flow Hedges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Changes in fair value of derivative instruments designated as cash flow hedges are recorded in Accumulated other comprehensive income (loss), a component of Stockholders’ Equity, to the extent they are deemed effective. Ineffectiveness is measured based on the change in fair value of the forward contracts and the fair value of the hypothetical derivatives with terms that match the critical terms of the risk being hedged. Based on the criteria established by current accounting standards, the Company’s cash flow hedge contracts are deemed to be highly effective. Any realized gains or losses resulting from the foreign currency cash flow hedges are recognized together with the hedged transaction within Revenue.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both"/>
        <w:rPr>
          <w:rFonts w:ascii="Arial;Helvetica;sans-serif" w:hAnsi="Arial;Helvetica;sans-serif"/>
          <w:sz w:val="20"/>
        </w:rPr>
      </w:pPr>
      <w:bookmarkStart w:id="869" w:name="Tc_qXaw4wUlAkCaGfuqwdd4Sw_10_5"/>
      <w:bookmarkStart w:id="870" w:name="Tc_JanYhMnJN0uvVSPilFbTyw_10_2"/>
      <w:bookmarkStart w:id="871" w:name="Tc_-C6femeHCUySKYZ-vUQwsQ_10_0"/>
      <w:bookmarkStart w:id="872" w:name="Tc_rmQeeH1YRkOC8SdSX2AWAQ_9_0"/>
      <w:bookmarkStart w:id="873" w:name="Tc_HlDF4dkNn0urCyhdctSPnw_8_5"/>
      <w:bookmarkStart w:id="874" w:name="Tc_rKxaMvWsZ0-RmVPulmMR8Q_8_2"/>
      <w:bookmarkStart w:id="875" w:name="Tc_OqxMnydaQE2K57FidXftRw_8_0"/>
      <w:bookmarkStart w:id="876" w:name="Tc_t_k5tBPVok64knFPrv8Xcw_7_0"/>
      <w:bookmarkStart w:id="877" w:name="Tc_zlIc5fv67USHn3l-edtpvA_5_5"/>
      <w:bookmarkStart w:id="878" w:name="Tc_8onGcFkjnk2cfd7cVFZV3A_5_2"/>
      <w:bookmarkStart w:id="879" w:name="Tc_rFE7izYyFU2_G1b_jIWhMg_5_0"/>
      <w:bookmarkStart w:id="880" w:name="Tc_Dztb1phXV0-geAhKJAWARA_3_0"/>
      <w:bookmarkStart w:id="881" w:name="Tc_vIX7chTMw0SDwyC00WNgYQ_2_5"/>
      <w:bookmarkStart w:id="882" w:name="Tc_LD4Qf0JCd0amec1DD5qQaw_2_2"/>
      <w:bookmarkStart w:id="883" w:name="Tc_3Qzk3M2y9USIZquhxBbg9Q_1_2"/>
      <w:bookmarkStart w:id="884" w:name="_9e6e0079_fd2c_4370_8ba4_5c67fc2f3d57"/>
      <w:bookmarkStart w:id="885" w:name="Tc_fw6PubRHjkSCAXC7HsHmuA_8_4"/>
      <w:bookmarkStart w:id="886" w:name="Tc_G5Par_49c020zQbdtfiIVg_7_9"/>
      <w:bookmarkStart w:id="887" w:name="Tc_WqNoT6ae00OQ3_RDeO9nuw_7_0"/>
      <w:bookmarkStart w:id="888" w:name="Tc_yT5xS0UT6kmeaVXq2qVHPA_6_9"/>
      <w:bookmarkStart w:id="889" w:name="Tc_8uFMsVjEXUydI2FymE7V5Q_6_0"/>
      <w:bookmarkStart w:id="890" w:name="Tc_iMJnlWeKJE6RjIr9S3pofg_5_9"/>
      <w:bookmarkStart w:id="891" w:name="Tc_enK3OiwqrkG05D1V8oJZgQ_5_6"/>
      <w:bookmarkStart w:id="892" w:name="Tc_gqkKBdhM3EGZB6EnUQsCNQ_5_4"/>
      <w:bookmarkStart w:id="893" w:name="Tc_WBC2hiamXkuLf-1DZjq2ow_5_0"/>
      <w:bookmarkStart w:id="894" w:name="Tc_IdS7JIp180SURT27JAgd4g_4_11"/>
      <w:bookmarkStart w:id="895" w:name="Tc_Fj8ZPYKl9024ZHWioixmFw_4_8"/>
      <w:bookmarkStart w:id="896" w:name="Tc_DjddSFI2mkO45M46_QdngA_4_4"/>
      <w:bookmarkStart w:id="897" w:name="Tc_g8ViC0DA9E-aNwlinlo8cw_4_2"/>
      <w:bookmarkStart w:id="898" w:name="Tc_WruV2Cn4HUaqgUIJXIkTRg_4_0"/>
      <w:bookmarkStart w:id="899" w:name="Tc_rnUYauOrbEWwXfKPIpvAwg_3_11"/>
      <w:bookmarkStart w:id="900" w:name="Tc_QyC1GK4g5U-QNh84dHS3Iw_3_8"/>
      <w:bookmarkStart w:id="901" w:name="Tc_J0xHwXfeYECbHT9MgA0cvw_3_4"/>
      <w:bookmarkStart w:id="902" w:name="Tc_p1QYt_7aHE-G7QTjkR7Yrw_3_2"/>
      <w:bookmarkStart w:id="903" w:name="Tc_3qX_wo0i3EO-D3xUo5FxMQ_2_11"/>
      <w:bookmarkStart w:id="904" w:name="Tc_V4YqDZqTxUO8yURAINHT3g_2_8"/>
      <w:bookmarkStart w:id="905" w:name="Tc_hqO-iCsoxkeXnQ6HGV-m4w_2_4"/>
      <w:bookmarkStart w:id="906" w:name="Tc_N6KWaaIEuEqSNEukWRlrAw_2_2"/>
      <w:bookmarkStart w:id="907" w:name="Tc_O42wf1Uj-UWn_2HjSv7rPQ_1_2"/>
      <w:bookmarkStart w:id="908" w:name="_410542fe_16b0_4b0f_84bf_c38b272bd8f5"/>
      <w:bookmarkStart w:id="909" w:name="Tc_nXwTUB3_gEa5JY87xbAPeQ_8_4"/>
      <w:bookmarkStart w:id="910" w:name="Tc_sfOm1l9hqkiCmkH--iYgeg_7_9"/>
      <w:bookmarkStart w:id="911" w:name="Tc_cJ2tx9wuJk6ImkU1zAdLKw_7_0"/>
      <w:bookmarkStart w:id="912" w:name="Tc__hYfmaqC-EqApPP4K3eitw_6_9"/>
      <w:bookmarkStart w:id="913" w:name="Tc_KvevlNbRak2yg8agFAJ75w_6_0"/>
      <w:bookmarkStart w:id="914" w:name="Tc_8pmS3lDHY0enDf417_PRLg_5_9"/>
      <w:bookmarkStart w:id="915" w:name="Tc_gn-zaHvj40in-hc6QWT8JA_5_6"/>
      <w:bookmarkStart w:id="916" w:name="Tc_KTBCvbc7aEuwWQEjZjhwMA_5_4"/>
      <w:bookmarkStart w:id="917" w:name="Tc_amXE76wGsEKJzO0Q84Sa5w_5_0"/>
      <w:bookmarkStart w:id="918" w:name="Tc_euum2p4HzE-cCer1ekDvdQ_4_11"/>
      <w:bookmarkStart w:id="919" w:name="Tc_Uk1SYVC3tESaxXFgIC3Cjg_4_8"/>
      <w:bookmarkStart w:id="920" w:name="Tc_pOePYnk32UGwIGD9cDDxlA_4_4"/>
      <w:bookmarkStart w:id="921" w:name="Tc_tBYipsyKz0iN3Cbvb4mErA_4_2"/>
      <w:bookmarkStart w:id="922" w:name="Tc__B0ngLx1m0-LccuSQCdyYA_4_0"/>
      <w:bookmarkStart w:id="923" w:name="Tc_kB6d4--bAEiExc6FygLI-w_3_11"/>
      <w:bookmarkStart w:id="924" w:name="Tc_9s8smc3SokGvACqAaZpEEw_3_8"/>
      <w:bookmarkStart w:id="925" w:name="Tc_YZv1ccQXZkW8mPgQRmtrKQ_3_4"/>
      <w:bookmarkStart w:id="926" w:name="Tc__SlsXKN5qkWU7NatLrD-ew_3_2"/>
      <w:bookmarkStart w:id="927" w:name="Tc_awF0Zz2vGEKzVY2PlY11Tw_2_11"/>
      <w:bookmarkStart w:id="928" w:name="Tc_PPjKnYIOx0muic05Iq1CpA_2_8"/>
      <w:bookmarkStart w:id="929" w:name="Tc_Nd02A2SDjUKfGeJUYWC6xQ_2_4"/>
      <w:bookmarkStart w:id="930" w:name="Tc_l_dqljWzY06ajbJ1YIz3FA_2_2"/>
      <w:bookmarkStart w:id="931" w:name="Tc_rd6Uo6ZDEEKVtWqO9WzZgQ_1_2"/>
      <w:bookmarkStart w:id="932" w:name="_2f9a0cb9_0e3d_4cfc_82e8_4be8e703010b"/>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Arial;Helvetica;sans-serif" w:hAnsi="Arial;Helvetica;sans-serif"/>
          <w:sz w:val="20"/>
        </w:rPr>
        <w:t>The Company’s foreign exchange cash flow hedging instruments as of March 31, 2026 and December 31, 2025 are summarized as follows (amounts in thousands). All hedging instruments are forward contracts.</w:t>
      </w:r>
    </w:p>
    <w:p>
      <w:pPr>
        <w:pStyle w:val="TextBody"/>
        <w:bidi w:val="0"/>
        <w:spacing w:lineRule="auto" w:line="285" w:before="0" w:after="0"/>
        <w:ind w:left="0" w:right="0" w:hanging="0"/>
        <w:jc w:val="left"/>
        <w:rPr/>
      </w:pPr>
      <w:r>
        <w:rPr/>
        <w:t>​</w:t>
      </w:r>
    </w:p>
    <w:tbl>
      <w:tblPr>
        <w:tblW w:w="8038" w:type="dxa"/>
        <w:jc w:val="left"/>
        <w:tblInd w:w="0" w:type="dxa"/>
        <w:tblLayout w:type="fixed"/>
        <w:tblCellMar>
          <w:top w:w="0" w:type="dxa"/>
          <w:left w:w="0" w:type="dxa"/>
          <w:bottom w:w="0" w:type="dxa"/>
          <w:right w:w="0" w:type="dxa"/>
        </w:tblCellMar>
      </w:tblPr>
      <w:tblGrid>
        <w:gridCol w:w="1921"/>
        <w:gridCol w:w="346"/>
        <w:gridCol w:w="931"/>
        <w:gridCol w:w="346"/>
        <w:gridCol w:w="239"/>
        <w:gridCol w:w="767"/>
        <w:gridCol w:w="346"/>
        <w:gridCol w:w="109"/>
        <w:gridCol w:w="1066"/>
        <w:gridCol w:w="361"/>
        <w:gridCol w:w="109"/>
        <w:gridCol w:w="1306"/>
        <w:gridCol w:w="191"/>
      </w:tblGrid>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pPr>
            <w:r>
              <w:rPr/>
              <w:t>​</w:t>
            </w:r>
          </w:p>
        </w:tc>
        <w:tc>
          <w:tcPr>
            <w:tcW w:w="361"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of March 31, 2026</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3,469,000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59,567</w:t>
            </w:r>
          </w:p>
        </w:tc>
        <w:tc>
          <w:tcPr>
            <w:tcW w:w="346"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4"/>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March 2027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317,500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 </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16,369</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February 2027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92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August 2026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77,135</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8481" w:type="dxa"/>
        <w:jc w:val="left"/>
        <w:tblInd w:w="0" w:type="dxa"/>
        <w:tblLayout w:type="fixed"/>
        <w:tblCellMar>
          <w:top w:w="0" w:type="dxa"/>
          <w:left w:w="0" w:type="dxa"/>
          <w:bottom w:w="0" w:type="dxa"/>
          <w:right w:w="0" w:type="dxa"/>
        </w:tblCellMar>
      </w:tblPr>
      <w:tblGrid>
        <w:gridCol w:w="2281"/>
        <w:gridCol w:w="346"/>
        <w:gridCol w:w="931"/>
        <w:gridCol w:w="346"/>
        <w:gridCol w:w="239"/>
        <w:gridCol w:w="767"/>
        <w:gridCol w:w="346"/>
        <w:gridCol w:w="109"/>
        <w:gridCol w:w="1066"/>
        <w:gridCol w:w="361"/>
        <w:gridCol w:w="109"/>
        <w:gridCol w:w="1426"/>
        <w:gridCol w:w="154"/>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48435" cy="175260"/>
                      <wp:effectExtent l="0" t="0" r="0" b="0"/>
                      <wp:wrapNone/>
                      <wp:docPr id="152" name="Frame152"/>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91185" cy="175260"/>
                      <wp:effectExtent l="0" t="0" r="0" b="0"/>
                      <wp:wrapNone/>
                      <wp:docPr id="154" name="Frame1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1765" cy="175260"/>
                      <wp:effectExtent l="0" t="0" r="0" b="0"/>
                      <wp:wrapNone/>
                      <wp:docPr id="156" name="Frame1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87045" cy="175260"/>
                      <wp:effectExtent l="0" t="0" r="0" b="0"/>
                      <wp:wrapNone/>
                      <wp:docPr id="157" name="Frame15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76910" cy="175260"/>
                      <wp:effectExtent l="0" t="0" r="0" b="0"/>
                      <wp:wrapNone/>
                      <wp:docPr id="160" name="Frame16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9235" cy="175260"/>
                      <wp:effectExtent l="0" t="0" r="0" b="0"/>
                      <wp:wrapNone/>
                      <wp:docPr id="161" name="Frame1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905510" cy="175260"/>
                      <wp:effectExtent l="0" t="0" r="0" b="0"/>
                      <wp:wrapNone/>
                      <wp:docPr id="163" name="Frame16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7790" cy="175260"/>
                      <wp:effectExtent l="0" t="0" r="0" b="0"/>
                      <wp:wrapNone/>
                      <wp:docPr id="164" name="Frame16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pPr>
            <w:r>
              <w:rPr/>
              <w:t>​</w:t>
            </w:r>
          </w:p>
        </w:tc>
        <w:tc>
          <w:tcPr>
            <w:tcW w:w="361"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 of December 31, 2025</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4,025,000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69,458</w:t>
            </w:r>
          </w:p>
        </w:tc>
        <w:tc>
          <w:tcPr>
            <w:tcW w:w="346" w:type="dxa"/>
            <w:tcBorders/>
            <w:vAlign w:val="center"/>
          </w:tcPr>
          <w:p>
            <w:pPr>
              <w:pStyle w:val="TableContents"/>
              <w:bidi w:val="0"/>
              <w:spacing w:lineRule="auto" w:line="240" w:before="0" w:after="0"/>
              <w:ind w:left="0" w:right="0" w:hanging="0"/>
              <w:jc w:val="left"/>
              <w:rPr>
                <w:rFonts w:ascii="Arial;Helvetica;sans-serif" w:hAnsi="Arial;Helvetica;sans-serif"/>
                <w:sz w:val="14"/>
              </w:rPr>
            </w:pPr>
            <w:r>
              <w:rPr>
                <w:rFonts w:ascii="Arial;Helvetica;sans-serif" w:hAnsi="Arial;Helvetica;sans-serif"/>
                <w:sz w:val="14"/>
              </w:rPr>
              <w:t>(1)</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March 2027</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314,000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15,618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December 2026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8,000,000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1,931</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109"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August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87,007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contracts to purchase Philippine pesos in exchange for New Zealand dollars and Australian dollars, which are translated into equivalent U.S. dollars on March 31, 2026 and December 31, 2025.</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The amounts and location of gains and losses on Cash Flow Hedges within the Consolidated Statements of Comprehensive Income (Loss) for the three months ended March 31, 2026 and 2025 were as follows (in thousands):</w:t>
      </w:r>
    </w:p>
    <w:tbl>
      <w:tblPr>
        <w:tblW w:w="9549" w:type="dxa"/>
        <w:jc w:val="left"/>
        <w:tblInd w:w="0" w:type="dxa"/>
        <w:tblLayout w:type="fixed"/>
        <w:tblCellMar>
          <w:top w:w="0" w:type="dxa"/>
          <w:left w:w="0" w:type="dxa"/>
          <w:bottom w:w="0" w:type="dxa"/>
          <w:right w:w="0" w:type="dxa"/>
        </w:tblCellMar>
      </w:tblPr>
      <w:tblGrid>
        <w:gridCol w:w="6151"/>
        <w:gridCol w:w="109"/>
        <w:gridCol w:w="298"/>
        <w:gridCol w:w="893"/>
        <w:gridCol w:w="489"/>
        <w:gridCol w:w="298"/>
        <w:gridCol w:w="811"/>
        <w:gridCol w:w="346"/>
        <w:gridCol w:w="154"/>
      </w:tblGrid>
      <w:tr>
        <w:trPr/>
        <w:tc>
          <w:tcPr>
            <w:tcW w:w="6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905885" cy="175260"/>
                      <wp:effectExtent l="0" t="0" r="0" b="0"/>
                      <wp:wrapNone/>
                      <wp:docPr id="165" name="Frame165"/>
                      <a:graphic xmlns:a="http://schemas.openxmlformats.org/drawingml/2006/main">
                        <a:graphicData uri="http://schemas.microsoft.com/office/word/2010/wordprocessingShape">
                          <wps:wsp>
                            <wps:cNvSpPr txBox="1"/>
                            <wps:spPr>
                              <a:xfrm>
                                <a:off x="0" y="0"/>
                                <a:ext cx="3905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9230" cy="175260"/>
                      <wp:effectExtent l="0" t="0" r="0" b="0"/>
                      <wp:wrapNone/>
                      <wp:docPr id="167" name="Frame16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67055" cy="175260"/>
                      <wp:effectExtent l="0" t="0" r="0" b="0"/>
                      <wp:wrapNone/>
                      <wp:docPr id="168" name="Frame16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10515" cy="175260"/>
                      <wp:effectExtent l="0" t="0" r="0" b="0"/>
                      <wp:wrapNone/>
                      <wp:docPr id="169" name="Frame169"/>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9230" cy="175260"/>
                      <wp:effectExtent l="0" t="0" r="0" b="0"/>
                      <wp:wrapNone/>
                      <wp:docPr id="170" name="Frame170"/>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14985" cy="175260"/>
                      <wp:effectExtent l="0" t="0" r="0" b="0"/>
                      <wp:wrapNone/>
                      <wp:docPr id="171" name="Frame17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7790" cy="175260"/>
                      <wp:effectExtent l="0" t="0" r="0" b="0"/>
                      <wp:wrapNone/>
                      <wp:docPr id="173" name="Frame1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61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89" w:type="dxa"/>
            <w:tcBorders/>
            <w:vAlign w:val="center"/>
          </w:tcPr>
          <w:p>
            <w:pPr>
              <w:pStyle w:val="TableContents"/>
              <w:bidi w:val="0"/>
              <w:spacing w:lineRule="auto" w:line="285" w:before="0" w:after="0"/>
              <w:ind w:left="0" w:right="0" w:hanging="0"/>
              <w:jc w:val="center"/>
              <w:rPr/>
            </w:pPr>
            <w:r>
              <w:rPr/>
              <w:t>  ​ ​ ​</w:t>
            </w:r>
          </w:p>
        </w:tc>
        <w:tc>
          <w:tcPr>
            <w:tcW w:w="110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6151"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Foreign Exchange Cash Flow Hedges, effective:</w:t>
            </w:r>
          </w:p>
        </w:tc>
        <w:tc>
          <w:tcPr>
            <w:tcW w:w="10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1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151"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8"/>
              </w:rPr>
              <w:t xml:space="preserve">Amount of gain (loss) recognized in Other comprehensive income (loss) </w:t>
            </w:r>
            <w:r>
              <w:rPr>
                <w:rFonts w:ascii="Arial;Helvetica;sans-serif" w:hAnsi="Arial;Helvetica;sans-serif"/>
                <w:sz w:val="14"/>
              </w:rPr>
              <w:t>(1)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(1,675)</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61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pPr>
            <w:r>
              <w:rPr/>
              <w:t>​</w:t>
            </w:r>
          </w:p>
        </w:tc>
        <w:tc>
          <w:tcPr>
            <w:tcW w:w="893" w:type="dxa"/>
            <w:tcBorders/>
            <w:vAlign w:val="center"/>
          </w:tcPr>
          <w:p>
            <w:pPr>
              <w:pStyle w:val="TableContents"/>
              <w:bidi w:val="0"/>
              <w:spacing w:lineRule="auto" w:line="285" w:before="0" w:after="0"/>
              <w:ind w:left="0" w:right="0" w:hanging="0"/>
              <w:jc w:val="righ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1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 and location of gain (loss) reclassified from Accumulated OCI to:</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shd w:fill="CCEEFF" w:val="clear"/>
            <w:vAlign w:val="center"/>
          </w:tcPr>
          <w:p>
            <w:pPr>
              <w:pStyle w:val="TableContents"/>
              <w:bidi w:val="0"/>
              <w:spacing w:lineRule="auto" w:line="285" w:before="0" w:after="0"/>
              <w:ind w:left="0" w:right="0" w:hanging="0"/>
              <w:jc w:val="left"/>
              <w:rPr/>
            </w:pPr>
            <w:r>
              <w:rPr/>
              <w:t>​</w:t>
            </w:r>
          </w:p>
        </w:tc>
        <w:tc>
          <w:tcPr>
            <w:tcW w:w="893" w:type="dxa"/>
            <w:tcBorders/>
            <w:shd w:fill="CCEEFF" w:val="clear"/>
            <w:vAlign w:val="center"/>
          </w:tcPr>
          <w:p>
            <w:pPr>
              <w:pStyle w:val="TableContents"/>
              <w:bidi w:val="0"/>
              <w:spacing w:lineRule="auto" w:line="285" w:before="0" w:after="0"/>
              <w:ind w:left="0" w:right="0" w:hanging="0"/>
              <w:jc w:val="righ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615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0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3"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109</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(173)</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1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615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w:t>
            </w:r>
          </w:p>
        </w:tc>
        <w:tc>
          <w:tcPr>
            <w:tcW w:w="489" w:type="dxa"/>
            <w:tcBorders/>
            <w:vAlign w:val="center"/>
          </w:tcPr>
          <w:p>
            <w:pPr>
              <w:pStyle w:val="TableContents"/>
              <w:bidi w:val="0"/>
              <w:spacing w:lineRule="auto" w:line="285"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(128)</w:t>
            </w:r>
          </w:p>
        </w:tc>
        <w:tc>
          <w:tcPr>
            <w:tcW w:w="34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pBdr/>
        <w:bidi w:val="0"/>
        <w:spacing w:lineRule="auto" w:line="240" w:before="0" w:after="120"/>
        <w:ind w:left="0" w:right="0" w:hanging="360"/>
        <w:jc w:val="both"/>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As a result of the valuation allowance recorded in Q2 2024 against the Company’s U.S. Deferred Tax Assets, there is no tax impact recognized in Other comprehensive income (loss) for unrealized foreign exchange cash flow hedge gains or losses.</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sz w:val="20"/>
        </w:rPr>
        <w:t>The activity related to the change in net unrealized gains and losses on the cash flow hedges included in “Accumulated other comprehensive income (loss)” in the Company’s unaudited consolidated statements of stockholders’ equity is presented in Note 11.</w:t>
      </w:r>
    </w:p>
    <w:p>
      <w:pPr>
        <w:pStyle w:val="TextBody"/>
        <w:bidi w:val="0"/>
        <w:spacing w:lineRule="auto" w:line="285" w:before="0" w:after="120"/>
        <w:ind w:left="0" w:right="0" w:hanging="0"/>
        <w:jc w:val="left"/>
        <w:rPr>
          <w:rFonts w:ascii="Arial;Helvetica;sans-serif" w:hAnsi="Arial;Helvetica;sans-serif"/>
          <w:b/>
          <w:sz w:val="20"/>
        </w:rPr>
      </w:pPr>
      <w:r>
        <w:rPr>
          <w:rFonts w:ascii="Arial;Helvetica;sans-serif" w:hAnsi="Arial;Helvetica;sans-serif"/>
          <w:b/>
          <w:sz w:val="20"/>
        </w:rPr>
        <w:t>Fair Value Hedges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Changes in the fair value of derivative instruments not designated as hedges are recognized in earnings in Other income (expense), net on a before tax basis and are offset by gains and losses on the related hedged items.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bookmarkStart w:id="933" w:name="Tc_c8JRf4YOT0uNJcnXgpGDGQ_5_5"/>
      <w:bookmarkStart w:id="934" w:name="Tc_I7vGuPZCZU6Masm3P_ydHw_5_2"/>
      <w:bookmarkStart w:id="935" w:name="Tc_sjU919gE8ke5wOzYEiuEhw_5_0"/>
      <w:bookmarkStart w:id="936" w:name="Tc_jSo8vtxpJUaeFBreu9RZlw_3_0"/>
      <w:bookmarkStart w:id="937" w:name="Tc_lsPWGJ3hq0mPp8R077X1HA_2_5"/>
      <w:bookmarkStart w:id="938" w:name="Tc_LekgN5P0F0GWzCFD3zZigA_2_2"/>
      <w:bookmarkStart w:id="939" w:name="Tc_UdnfMNDmf0eh9GjH0IX8Qw_1_2"/>
      <w:bookmarkStart w:id="940" w:name="_399f925b_7f30_40d8_9768_224084bdecfe"/>
      <w:bookmarkStart w:id="941" w:name="Tc_HhHkCfcQkECt3wW6g8IVHg_11_4"/>
      <w:bookmarkStart w:id="942" w:name="Tc_x3r6YFtK6Em4wLZLPymUWQ_10_0"/>
      <w:bookmarkStart w:id="943" w:name="Tc_0eAQuLRoQkywN780dV76Nw_9_0"/>
      <w:bookmarkStart w:id="944" w:name="Tc_X_pL5iyVH0ShW8GwkaZPZA_8_0"/>
      <w:bookmarkStart w:id="945" w:name="Tc_0NwQcXZPW06fp4RC5pUUHA_7_0"/>
      <w:bookmarkStart w:id="946" w:name="Tc_DDrmqG7QCU-gjaX3Y4Sg9w_6_0"/>
      <w:bookmarkStart w:id="947" w:name="Tc_DDtI4OCEwEaBT7OR20mNwQ_5_4"/>
      <w:bookmarkStart w:id="948" w:name="Tc_9tEiiT4VeU6BYGZpkKHxZA_5_0"/>
      <w:bookmarkStart w:id="949" w:name="Tc_THTrPoDdIk6NXwS6iBE0IQ_4_4"/>
      <w:bookmarkStart w:id="950" w:name="Tc_-CbhXzcTQ0KF-2O40spHiw_4_2"/>
      <w:bookmarkStart w:id="951" w:name="Tc_t5tD-Ksz1kGZfmA0R8YVeA_4_0"/>
      <w:bookmarkStart w:id="952" w:name="Tc_ueC6R9Q7H0GQt0FErir4qg_3_4"/>
      <w:bookmarkStart w:id="953" w:name="Tc_mJAq4E6_rkaswnpec9WtwA_3_2"/>
      <w:bookmarkStart w:id="954" w:name="Tc_OUfEoDgNwkqiJh2vZs7L-Q_2_4"/>
      <w:bookmarkStart w:id="955" w:name="Tc_if-raWmKgUilH0MDdl_AfA_2_2"/>
      <w:bookmarkStart w:id="956" w:name="Tc_IYteQxrhlE-81kZoVLac3Q_1_2"/>
      <w:bookmarkStart w:id="957" w:name="_490a17a2_cbab_4992_a3d1_739e1c91457f"/>
      <w:bookmarkStart w:id="958" w:name="Tc_6NWCUEgPrkyLobVZrLGD5g_12_4"/>
      <w:bookmarkStart w:id="959" w:name="Tc_sH30CzELXEqznpQzIAm3YQ_11_0"/>
      <w:bookmarkStart w:id="960" w:name="Tc_HJb4A2SEmkqvoIzpgE8kRA_10_0"/>
      <w:bookmarkStart w:id="961" w:name="Tc_A5eyMkYbW0izHTi-VPfBAQ_9_0"/>
      <w:bookmarkStart w:id="962" w:name="Tc_-likwL78pkGrXXzWRcgi_A_8_0"/>
      <w:bookmarkStart w:id="963" w:name="Tc_Ys-9sfyK2Ee06wbOIPs5MA_7_0"/>
      <w:bookmarkStart w:id="964" w:name="Tc_3c5HePla1UCazLWOZk9mbg_6_0"/>
      <w:bookmarkStart w:id="965" w:name="Tc_AtMtIEDo4k-yF5U5U2UTZQ_5_4"/>
      <w:bookmarkStart w:id="966" w:name="Tc_RrgMk5_Q7EK5pa9geJ7nsQ_5_0"/>
      <w:bookmarkStart w:id="967" w:name="Tc_toFeE5qRGUK2SCNBU5yQUw_4_4"/>
      <w:bookmarkStart w:id="968" w:name="Tc_tzAZVi-CR0yrlxhyC3moAg_4_2"/>
      <w:bookmarkStart w:id="969" w:name="Tc_QD1RT-tWbkKM7k-kFpvDdw_4_0"/>
      <w:bookmarkStart w:id="970" w:name="Tc_SkwJLDoL0EursEh_VRvWIg_3_4"/>
      <w:bookmarkStart w:id="971" w:name="Tc_bZcDsWF0Rkax5KKTapGk2Q_3_2"/>
      <w:bookmarkStart w:id="972" w:name="Tc_yOO93x1-P0a4httAWKaF1A_2_4"/>
      <w:bookmarkStart w:id="973" w:name="Tc_myIUnEgfyU27JkIKatRMEg_2_2"/>
      <w:bookmarkStart w:id="974" w:name="Tc_cPDbQRDzr0G_dbcftH32ZA_1_2"/>
      <w:bookmarkStart w:id="975" w:name="_b74ed188_cf80_4b9e_9698_e83e0e8553f6"/>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Arial;Helvetica;sans-serif" w:hAnsi="Arial;Helvetica;sans-serif"/>
          <w:sz w:val="20"/>
        </w:rPr>
        <w:t>The Company’s volume of foreign exchange fair value derivative contracts as of March 31, 2026 and December 31, 2025 are summarized as follows (in thousands):</w:t>
      </w:r>
    </w:p>
    <w:tbl>
      <w:tblPr>
        <w:tblW w:w="6064" w:type="dxa"/>
        <w:jc w:val="left"/>
        <w:tblInd w:w="0" w:type="dxa"/>
        <w:tblLayout w:type="fixed"/>
        <w:tblCellMar>
          <w:top w:w="0" w:type="dxa"/>
          <w:left w:w="0" w:type="dxa"/>
          <w:bottom w:w="0" w:type="dxa"/>
          <w:right w:w="0" w:type="dxa"/>
        </w:tblCellMar>
      </w:tblPr>
      <w:tblGrid>
        <w:gridCol w:w="2131"/>
        <w:gridCol w:w="346"/>
        <w:gridCol w:w="916"/>
        <w:gridCol w:w="346"/>
        <w:gridCol w:w="239"/>
        <w:gridCol w:w="767"/>
        <w:gridCol w:w="346"/>
        <w:gridCol w:w="109"/>
        <w:gridCol w:w="109"/>
        <w:gridCol w:w="346"/>
        <w:gridCol w:w="109"/>
        <w:gridCol w:w="109"/>
        <w:gridCol w:w="191"/>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53185" cy="175260"/>
                      <wp:effectExtent l="0" t="0" r="0" b="0"/>
                      <wp:wrapNone/>
                      <wp:docPr id="174" name="Frame17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81660" cy="175260"/>
                      <wp:effectExtent l="0" t="0" r="0" b="0"/>
                      <wp:wrapNone/>
                      <wp:docPr id="176" name="Frame17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51765" cy="175260"/>
                      <wp:effectExtent l="0" t="0" r="0" b="0"/>
                      <wp:wrapNone/>
                      <wp:docPr id="178" name="Frame17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87045" cy="175260"/>
                      <wp:effectExtent l="0" t="0" r="0" b="0"/>
                      <wp:wrapNone/>
                      <wp:docPr id="179" name="Frame179"/>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1285" cy="175260"/>
                      <wp:effectExtent l="0" t="0" r="0" b="0"/>
                      <wp:wrapNone/>
                      <wp:docPr id="186" name="Frame18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1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8"/>
              </w:rPr>
            </w:pPr>
            <w:r>
              <w:rPr>
                <w:rFonts w:ascii="Arial;Helvetica;sans-serif" w:hAnsi="Arial;Helvetica;sans-serif"/>
                <w:b/>
                <w:sz w:val="18"/>
              </w:rPr>
              <w:t xml:space="preserve">As of March 31, 2026 </w:t>
            </w:r>
            <w:r>
              <w:rPr>
                <w:rFonts w:ascii="Arial;Helvetica;sans-serif" w:hAnsi="Arial;Helvetica;sans-serif"/>
                <w:b/>
                <w:sz w:val="14"/>
              </w:rPr>
              <w:t>(2)</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13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Australian Dollar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Canadian Dollar</w:t>
            </w:r>
          </w:p>
        </w:tc>
        <w:tc>
          <w:tcPr>
            <w:tcW w:w="34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4,250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3,072</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13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Euro</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8,819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British Pound</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8,150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10,828</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13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109,000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6,029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New Zealand Dollar</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690</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13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Polish Zloty</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35,159</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40" w:before="0" w:after="120"/>
        <w:ind w:left="0" w:right="0" w:hanging="0"/>
        <w:jc w:val="both"/>
        <w:rPr>
          <w:rFonts w:ascii="Arial;Helvetica;sans-serif" w:hAnsi="Arial;Helvetica;sans-serif"/>
          <w:sz w:val="20"/>
        </w:rPr>
      </w:pPr>
      <w:r>
        <w:rPr>
          <w:rFonts w:ascii="Arial;Helvetica;sans-serif" w:hAnsi="Arial;Helvetica;sans-serif"/>
          <w:sz w:val="12"/>
        </w:rPr>
        <w:t xml:space="preserve">(2) </w:t>
      </w:r>
      <w:r>
        <w:rPr>
          <w:rFonts w:ascii="Arial;Helvetica;sans-serif" w:hAnsi="Arial;Helvetica;sans-serif"/>
          <w:sz w:val="16"/>
        </w:rPr>
        <w:t xml:space="preserve">All fair value hedges are short-term and matured in </w:t>
      </w:r>
      <w:r>
        <w:rPr>
          <w:rFonts w:ascii="Arial;Helvetica;sans-serif" w:hAnsi="Arial;Helvetica;sans-serif"/>
          <w:b w:val="false"/>
          <w:i w:val="false"/>
          <w:caps w:val="false"/>
          <w:smallCaps w:val="false"/>
          <w:sz w:val="16"/>
        </w:rPr>
        <w:t>April 2026</w:t>
      </w:r>
      <w:r>
        <w:rPr>
          <w:rFonts w:ascii="Arial;Helvetica;sans-serif" w:hAnsi="Arial;Helvetica;sans-serif"/>
          <w:sz w:val="16"/>
        </w:rPr>
        <w:t>.</w:t>
      </w:r>
    </w:p>
    <w:tbl>
      <w:tblPr>
        <w:tblW w:w="6150" w:type="dxa"/>
        <w:jc w:val="left"/>
        <w:tblInd w:w="0" w:type="dxa"/>
        <w:tblLayout w:type="fixed"/>
        <w:tblCellMar>
          <w:top w:w="0" w:type="dxa"/>
          <w:left w:w="0" w:type="dxa"/>
          <w:bottom w:w="0" w:type="dxa"/>
          <w:right w:w="0" w:type="dxa"/>
        </w:tblCellMar>
      </w:tblPr>
      <w:tblGrid>
        <w:gridCol w:w="2491"/>
        <w:gridCol w:w="346"/>
        <w:gridCol w:w="916"/>
        <w:gridCol w:w="346"/>
        <w:gridCol w:w="239"/>
        <w:gridCol w:w="767"/>
        <w:gridCol w:w="346"/>
        <w:gridCol w:w="109"/>
        <w:gridCol w:w="109"/>
        <w:gridCol w:w="109"/>
        <w:gridCol w:w="109"/>
        <w:gridCol w:w="109"/>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81785" cy="175260"/>
                      <wp:effectExtent l="0" t="0" r="0" b="0"/>
                      <wp:wrapNone/>
                      <wp:docPr id="187" name="Frame187"/>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81660" cy="175260"/>
                      <wp:effectExtent l="0" t="0" r="0" b="0"/>
                      <wp:wrapNone/>
                      <wp:docPr id="189" name="Frame18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1765" cy="175260"/>
                      <wp:effectExtent l="0" t="0" r="0" b="0"/>
                      <wp:wrapNone/>
                      <wp:docPr id="191" name="Frame1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7045" cy="175260"/>
                      <wp:effectExtent l="0" t="0" r="0" b="0"/>
                      <wp:wrapNone/>
                      <wp:docPr id="192" name="Frame192"/>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7790" cy="175260"/>
                      <wp:effectExtent l="0" t="0" r="0" b="0"/>
                      <wp:wrapNone/>
                      <wp:docPr id="199" name="Frame19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Arial;Helvetica;sans-serif" w:hAnsi="Arial;Helvetica;sans-serif"/>
                <w:sz w:val="18"/>
              </w:rPr>
            </w:pPr>
            <w:r>
              <w:rPr>
                <w:rFonts w:ascii="Arial;Helvetica;sans-serif" w:hAnsi="Arial;Helvetica;sans-serif"/>
                <w:b/>
                <w:sz w:val="18"/>
              </w:rPr>
              <w:t xml:space="preserve">As of December 31, 2025 </w:t>
            </w:r>
            <w:r>
              <w:rPr>
                <w:rFonts w:ascii="Arial;Helvetica;sans-serif" w:hAnsi="Arial;Helvetica;sans-serif"/>
                <w:b/>
                <w:sz w:val="14"/>
              </w:rPr>
              <w:t>(3)</w:t>
            </w:r>
          </w:p>
        </w:tc>
        <w:tc>
          <w:tcPr>
            <w:tcW w:w="346" w:type="dxa"/>
            <w:tcBorders/>
            <w:vAlign w:val="center"/>
          </w:tcPr>
          <w:p>
            <w:pPr>
              <w:pStyle w:val="TableContents"/>
              <w:bidi w:val="0"/>
              <w:spacing w:lineRule="auto" w:line="285"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Australian Dollar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3,300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2,210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Euro</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5,350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6,298</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British Pound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70,000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3,891</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New Zealand Dollar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 </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49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Polish Zloty</w:t>
            </w:r>
          </w:p>
        </w:tc>
        <w:tc>
          <w:tcPr>
            <w:tcW w:w="346"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3,072</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9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24,131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40" w:before="0" w:after="120"/>
        <w:ind w:left="0" w:right="0" w:hanging="0"/>
        <w:jc w:val="both"/>
        <w:rPr>
          <w:rFonts w:ascii="Arial;Helvetica;sans-serif" w:hAnsi="Arial;Helvetica;sans-serif"/>
          <w:sz w:val="20"/>
        </w:rPr>
      </w:pPr>
      <w:r>
        <w:rPr>
          <w:rFonts w:ascii="Arial;Helvetica;sans-serif" w:hAnsi="Arial;Helvetica;sans-serif"/>
          <w:sz w:val="12"/>
        </w:rPr>
        <w:t>(3)</w:t>
      </w:r>
      <w:r>
        <w:rPr>
          <w:rFonts w:ascii="Arial;Helvetica;sans-serif" w:hAnsi="Arial;Helvetica;sans-serif"/>
          <w:sz w:val="20"/>
        </w:rPr>
        <w:t xml:space="preserve"> </w:t>
      </w:r>
      <w:r>
        <w:rPr>
          <w:rFonts w:ascii="Arial;Helvetica;sans-serif" w:hAnsi="Arial;Helvetica;sans-serif"/>
          <w:sz w:val="16"/>
        </w:rPr>
        <w:t xml:space="preserve">All fair value hedges are short-term and matured in </w:t>
      </w:r>
      <w:r>
        <w:rPr>
          <w:rFonts w:ascii="Arial;Helvetica;sans-serif" w:hAnsi="Arial;Helvetica;sans-serif"/>
          <w:b w:val="false"/>
          <w:i w:val="false"/>
          <w:caps w:val="false"/>
          <w:smallCaps w:val="false"/>
          <w:sz w:val="16"/>
        </w:rPr>
        <w:t>January 2026</w:t>
      </w:r>
      <w:r>
        <w:rPr>
          <w:rFonts w:ascii="Arial;Helvetica;sans-serif" w:hAnsi="Arial;Helvetica;sans-serif"/>
          <w:sz w:val="16"/>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amounts and location of before tax gains and losses on Fair Value Hedges within the Consolidated Statements of Comprehensive Income (Loss) for the three months ended March 31, 2026 and 2025, respectively, were as follows (in thousands):</w:t>
      </w:r>
    </w:p>
    <w:tbl>
      <w:tblPr>
        <w:tblW w:w="10205" w:type="dxa"/>
        <w:jc w:val="left"/>
        <w:tblInd w:w="0" w:type="dxa"/>
        <w:tblLayout w:type="fixed"/>
        <w:tblCellMar>
          <w:top w:w="0" w:type="dxa"/>
          <w:left w:w="0" w:type="dxa"/>
          <w:bottom w:w="0" w:type="dxa"/>
          <w:right w:w="0" w:type="dxa"/>
        </w:tblCellMar>
      </w:tblPr>
      <w:tblGrid>
        <w:gridCol w:w="7080"/>
        <w:gridCol w:w="146"/>
        <w:gridCol w:w="430"/>
        <w:gridCol w:w="981"/>
        <w:gridCol w:w="297"/>
        <w:gridCol w:w="430"/>
        <w:gridCol w:w="646"/>
        <w:gridCol w:w="195"/>
      </w:tblGrid>
      <w:tr>
        <w:trPr/>
        <w:tc>
          <w:tcPr>
            <w:tcW w:w="7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495800" cy="175260"/>
                      <wp:effectExtent l="0" t="0" r="0" b="0"/>
                      <wp:wrapNone/>
                      <wp:docPr id="200" name="Frame200"/>
                      <a:graphic xmlns:a="http://schemas.openxmlformats.org/drawingml/2006/main">
                        <a:graphicData uri="http://schemas.microsoft.com/office/word/2010/wordprocessingShape">
                          <wps:wsp>
                            <wps:cNvSpPr txBox="1"/>
                            <wps:spPr>
                              <a:xfrm>
                                <a:off x="0" y="0"/>
                                <a:ext cx="4495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2710" cy="175260"/>
                      <wp:effectExtent l="0" t="0" r="0" b="0"/>
                      <wp:wrapNone/>
                      <wp:docPr id="201" name="Frame2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73050" cy="175260"/>
                      <wp:effectExtent l="0" t="0" r="0" b="0"/>
                      <wp:wrapNone/>
                      <wp:docPr id="202" name="Frame20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22935" cy="175260"/>
                      <wp:effectExtent l="0" t="0" r="0" b="0"/>
                      <wp:wrapNone/>
                      <wp:docPr id="203" name="Frame203"/>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88595" cy="175260"/>
                      <wp:effectExtent l="0" t="0" r="0" b="0"/>
                      <wp:wrapNone/>
                      <wp:docPr id="204" name="Frame20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73050" cy="175260"/>
                      <wp:effectExtent l="0" t="0" r="0" b="0"/>
                      <wp:wrapNone/>
                      <wp:docPr id="205" name="Frame205"/>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10210" cy="175260"/>
                      <wp:effectExtent l="0" t="0" r="0" b="0"/>
                      <wp:wrapNone/>
                      <wp:docPr id="206" name="Frame20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23825" cy="175260"/>
                      <wp:effectExtent l="0" t="0" r="0" b="0"/>
                      <wp:wrapNone/>
                      <wp:docPr id="207" name="Frame207"/>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80"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27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195" w:type="dxa"/>
            <w:tcBorders/>
            <w:vAlign w:val="center"/>
          </w:tcPr>
          <w:p>
            <w:pPr>
              <w:pStyle w:val="TableContents"/>
              <w:bidi w:val="0"/>
              <w:spacing w:lineRule="auto" w:line="285" w:before="0" w:after="0"/>
              <w:ind w:left="0" w:right="0" w:hanging="0"/>
              <w:jc w:val="center"/>
              <w:rPr/>
            </w:pPr>
            <w:r>
              <w:rPr/>
              <w:t> </w:t>
            </w:r>
          </w:p>
        </w:tc>
      </w:tr>
      <w:tr>
        <w:trPr/>
        <w:tc>
          <w:tcPr>
            <w:tcW w:w="7080"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14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297" w:type="dxa"/>
            <w:tcBorders/>
            <w:vAlign w:val="center"/>
          </w:tcPr>
          <w:p>
            <w:pPr>
              <w:pStyle w:val="TableContents"/>
              <w:bidi w:val="0"/>
              <w:spacing w:lineRule="auto" w:line="285" w:before="0" w:after="0"/>
              <w:ind w:left="0" w:right="0" w:hanging="0"/>
              <w:jc w:val="left"/>
              <w:rPr/>
            </w:pPr>
            <w:r>
              <w:rPr/>
              <w:t>​</w:t>
            </w:r>
          </w:p>
        </w:tc>
        <w:tc>
          <w:tcPr>
            <w:tcW w:w="10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5" w:type="dxa"/>
            <w:tcBorders/>
            <w:vAlign w:val="center"/>
          </w:tcPr>
          <w:p>
            <w:pPr>
              <w:pStyle w:val="TableContents"/>
              <w:bidi w:val="0"/>
              <w:spacing w:lineRule="auto" w:line="285" w:before="0" w:after="0"/>
              <w:ind w:left="0" w:right="0" w:hanging="0"/>
              <w:jc w:val="center"/>
              <w:rPr/>
            </w:pPr>
            <w:r>
              <w:rPr/>
              <w:t> </w:t>
            </w:r>
          </w:p>
        </w:tc>
      </w:tr>
      <w:tr>
        <w:trPr/>
        <w:tc>
          <w:tcPr>
            <w:tcW w:w="7080"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Foreign Exchange Fair Value Derivatives, not designated as Hedging Instruments:</w:t>
            </w:r>
          </w:p>
        </w:tc>
        <w:tc>
          <w:tcPr>
            <w:tcW w:w="146" w:type="dxa"/>
            <w:tcBorders/>
            <w:vAlign w:val="center"/>
          </w:tcPr>
          <w:p>
            <w:pPr>
              <w:pStyle w:val="TableContents"/>
              <w:bidi w:val="0"/>
              <w:spacing w:lineRule="auto" w:line="285" w:before="0" w:after="0"/>
              <w:ind w:left="0" w:right="0" w:hanging="0"/>
              <w:jc w:val="center"/>
              <w:rPr/>
            </w:pPr>
            <w:r>
              <w:rPr/>
              <w:t> </w:t>
            </w:r>
          </w:p>
        </w:tc>
        <w:tc>
          <w:tcPr>
            <w:tcW w:w="430"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95" w:type="dxa"/>
            <w:tcBorders/>
            <w:vAlign w:val="center"/>
          </w:tcPr>
          <w:p>
            <w:pPr>
              <w:pStyle w:val="TableContents"/>
              <w:bidi w:val="0"/>
              <w:spacing w:lineRule="auto" w:line="285" w:before="0" w:after="0"/>
              <w:ind w:left="0" w:right="0" w:hanging="0"/>
              <w:jc w:val="center"/>
              <w:rPr/>
            </w:pPr>
            <w:r>
              <w:rPr/>
              <w:t>​</w:t>
            </w:r>
          </w:p>
        </w:tc>
      </w:tr>
      <w:tr>
        <w:trPr/>
        <w:tc>
          <w:tcPr>
            <w:tcW w:w="7080"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right"/>
              <w:rPr/>
            </w:pPr>
            <w:r>
              <w:rPr/>
              <w:t>​</w:t>
            </w:r>
          </w:p>
        </w:tc>
        <w:tc>
          <w:tcPr>
            <w:tcW w:w="981" w:type="dxa"/>
            <w:tcBorders/>
            <w:vAlign w:val="center"/>
          </w:tcPr>
          <w:p>
            <w:pPr>
              <w:pStyle w:val="TableContents"/>
              <w:bidi w:val="0"/>
              <w:spacing w:lineRule="auto" w:line="285" w:before="0" w:after="0"/>
              <w:ind w:left="0" w:right="0" w:hanging="0"/>
              <w:jc w:val="righ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430" w:type="dxa"/>
            <w:tcBorders/>
            <w:vAlign w:val="center"/>
          </w:tcPr>
          <w:p>
            <w:pPr>
              <w:pStyle w:val="TableContents"/>
              <w:bidi w:val="0"/>
              <w:spacing w:lineRule="auto" w:line="285" w:before="0" w:after="0"/>
              <w:ind w:left="0" w:right="0" w:hanging="0"/>
              <w:jc w:val="right"/>
              <w:rPr/>
            </w:pPr>
            <w:r>
              <w:rPr/>
              <w:t>​</w:t>
            </w:r>
          </w:p>
        </w:tc>
        <w:tc>
          <w:tcPr>
            <w:tcW w:w="646" w:type="dxa"/>
            <w:tcBorders/>
            <w:vAlign w:val="center"/>
          </w:tcPr>
          <w:p>
            <w:pPr>
              <w:pStyle w:val="TableContents"/>
              <w:bidi w:val="0"/>
              <w:spacing w:lineRule="auto" w:line="285" w:before="0" w:after="0"/>
              <w:ind w:left="0" w:right="0" w:hanging="0"/>
              <w:jc w:val="right"/>
              <w:rPr/>
            </w:pPr>
            <w:r>
              <w:rPr/>
              <w:t>​</w:t>
            </w:r>
          </w:p>
        </w:tc>
        <w:tc>
          <w:tcPr>
            <w:tcW w:w="195" w:type="dxa"/>
            <w:tcBorders/>
            <w:vAlign w:val="center"/>
          </w:tcPr>
          <w:p>
            <w:pPr>
              <w:pStyle w:val="TableContents"/>
              <w:bidi w:val="0"/>
              <w:spacing w:lineRule="auto" w:line="285" w:before="0" w:after="0"/>
              <w:ind w:left="0" w:right="0" w:hanging="0"/>
              <w:jc w:val="left"/>
              <w:rPr/>
            </w:pPr>
            <w:r>
              <w:rPr/>
              <w:t>​</w:t>
            </w:r>
          </w:p>
        </w:tc>
      </w:tr>
      <w:tr>
        <w:trPr/>
        <w:tc>
          <w:tcPr>
            <w:tcW w:w="708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43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(165)</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43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4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w:t>
            </w:r>
          </w:p>
        </w:tc>
        <w:tc>
          <w:tcPr>
            <w:tcW w:w="195"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related cash flow impacts of all the derivative activities are reflected as cash flows from operating activities.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shd w:fill="00FF00" w:val="clear"/>
        </w:rPr>
      </w:pPr>
      <w:r>
        <w:rPr>
          <w:shd w:fill="00FF00" w:val="clear"/>
        </w:rPr>
        <w:t>​</w:t>
      </w:r>
    </w:p>
    <w:p>
      <w:pPr>
        <w:pStyle w:val="TextBody"/>
        <w:bidi w:val="0"/>
        <w:spacing w:lineRule="auto" w:line="285" w:before="0" w:after="120"/>
        <w:ind w:left="0" w:right="0" w:hanging="0"/>
        <w:jc w:val="left"/>
        <w:rPr>
          <w:rFonts w:ascii="Arial;Helvetica;sans-serif" w:hAnsi="Arial;Helvetica;sans-serif"/>
          <w:sz w:val="20"/>
        </w:rPr>
      </w:pPr>
      <w:bookmarkStart w:id="976" w:name="_Hlk519691536"/>
      <w:bookmarkEnd w:id="976"/>
      <w:r>
        <w:rPr>
          <w:rFonts w:ascii="Arial;Helvetica;sans-serif" w:hAnsi="Arial;Helvetica;sans-serif"/>
          <w:b/>
          <w:i w:val="false"/>
          <w:caps w:val="false"/>
          <w:smallCaps w:val="false"/>
          <w:sz w:val="20"/>
        </w:rPr>
        <w:t>(6)</w:t>
      </w:r>
      <w:r>
        <w:rPr>
          <w:rFonts w:ascii="Arial;Helvetica;sans-serif" w:hAnsi="Arial;Helvetica;sans-serif"/>
          <w:b/>
          <w:sz w:val="20"/>
        </w:rPr>
        <w:t>FAIR VALUE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authoritative guidance for fair value measurements establishes a three-level fair value hierarchy that prioritizes the inputs used to measure fair value. This hierarchy requires that the Company maximize the use of observable inputs and minimize the use of unobservable inputs. The three levels of inputs used to measure fair value are as follows: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firstLine="720"/>
        <w:jc w:val="both"/>
        <w:rPr>
          <w:rFonts w:ascii="Arial;Helvetica;sans-serif" w:hAnsi="Arial;Helvetica;sans-serif"/>
          <w:sz w:val="20"/>
        </w:rPr>
      </w:pPr>
      <w:bookmarkStart w:id="977" w:name="Tc_0LZVLHuyhke9hp-nJHz_Jw_9_11"/>
      <w:bookmarkStart w:id="978" w:name="Tc_sqZ6UAZAg0OSiJN8YhhUgQ_9_8"/>
      <w:bookmarkStart w:id="979" w:name="Tc_ujUbCV04c0qwtc6IxhSCXQ_9_5"/>
      <w:bookmarkStart w:id="980" w:name="Tc_bD_g-vztwk-mpAPvqxkWsw_9_2"/>
      <w:bookmarkStart w:id="981" w:name="Tc__lYnb-3b60Cx7KwYClTqTQ_9_0"/>
      <w:bookmarkStart w:id="982" w:name="Tc_SnecV-wyUkuSC-z9swYQDQ_8_0"/>
      <w:bookmarkStart w:id="983" w:name="Tc_5s6fiQC37UqICTSVkRWTRg_7_11"/>
      <w:bookmarkStart w:id="984" w:name="Tc_p_v5Bnqi7U2Plneygoyu3A_7_8"/>
      <w:bookmarkStart w:id="985" w:name="Tc_AxZW5zjRzkG1KAKRqdDwBw_7_5"/>
      <w:bookmarkStart w:id="986" w:name="Tc_tWwMA4Zrs0KGm9uXS9slTA_7_2"/>
      <w:bookmarkStart w:id="987" w:name="Tc_OfBYnnvXXE6EZkHEQULeOQ_7_0"/>
      <w:bookmarkStart w:id="988" w:name="Tc_PJav5BeIsEWZ5T0gvBpyWA_6_11"/>
      <w:bookmarkStart w:id="989" w:name="Tc_9V7jeun78k6Ve3XL2fypMw_6_8"/>
      <w:bookmarkStart w:id="990" w:name="Tc_RbWVuemic0WfUDpFToFgmw_6_5"/>
      <w:bookmarkStart w:id="991" w:name="Tc_55_N0Au2GUiVl9i9EZdBgA_6_2"/>
      <w:bookmarkStart w:id="992" w:name="Tc_n4qpkV6a4EuMcmDLXROXCw_5_8"/>
      <w:bookmarkStart w:id="993" w:name="Tc_oS9rof6nHUuFbYdxGIDWFA_5_5"/>
      <w:bookmarkStart w:id="994" w:name="Tc_DkzLD-VfNkSisFNEV9AbZQ_5_2"/>
      <w:bookmarkStart w:id="995" w:name="Tc_F_tn0jqd00ifigxbfyZWyA_4_8"/>
      <w:bookmarkStart w:id="996" w:name="Tc_rLsYk27HlEGeWOjVlfGegw_4_5"/>
      <w:bookmarkStart w:id="997" w:name="Tc_LvtIa38LPEiUIT3elrRUzw_4_2"/>
      <w:bookmarkStart w:id="998" w:name="Tc_loircny1q0i_LmglNh8FcA_3_8"/>
      <w:bookmarkStart w:id="999" w:name="Tc_eyuJ5jomyEi9VOrQEWCu0A_3_5"/>
      <w:bookmarkStart w:id="1000" w:name="Tc_AhN9j9HH1kyMYV98F6i_mg_3_2"/>
      <w:bookmarkStart w:id="1001" w:name="Tc_Zz2U0NwlAE-jT26DxPl9Gw_2_5"/>
      <w:bookmarkStart w:id="1002" w:name="Tc_QuajCTxNf0agVEi3C4Opuw_2_2"/>
      <w:bookmarkStart w:id="1003" w:name="Tc_-9BT9QNk-kWpy0xsPsKcuQ_1_2"/>
      <w:bookmarkStart w:id="1004" w:name="_f99b2dcf_8b65_47b6_a292_0d668b2b3acc"/>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Arial;Helvetica;sans-serif" w:hAnsi="Arial;Helvetica;sans-serif"/>
          <w:sz w:val="20"/>
        </w:rPr>
        <w:t>Level 1 — Quoted prices in active markets for identical assets or liabilities.</w:t>
      </w:r>
    </w:p>
    <w:p>
      <w:pPr>
        <w:pStyle w:val="TextBody"/>
        <w:pBdr/>
        <w:bidi w:val="0"/>
        <w:spacing w:lineRule="auto" w:line="285" w:before="0" w:after="120"/>
        <w:ind w:left="720" w:right="0" w:hanging="990"/>
        <w:jc w:val="both"/>
        <w:rPr>
          <w:rFonts w:ascii="Arial;Helvetica;sans-serif" w:hAnsi="Arial;Helvetica;sans-serif"/>
          <w:sz w:val="20"/>
        </w:rPr>
      </w:pPr>
      <w:r>
        <w:rPr>
          <w:rFonts w:ascii="Arial;Helvetica;sans-serif" w:hAnsi="Arial;Helvetica;sans-serif"/>
          <w:sz w:val="20"/>
        </w:rPr>
        <w:t>Level 2 — Observable inputs other than quoted prices included in Level 1, such as quoted prices for similar assets and liabilities in active markets, similar assets and liabilities in markets that are not active or can be corroborated by observable market data.</w:t>
      </w:r>
    </w:p>
    <w:p>
      <w:pPr>
        <w:pStyle w:val="TextBody"/>
        <w:pBdr/>
        <w:bidi w:val="0"/>
        <w:spacing w:lineRule="auto" w:line="285" w:before="0" w:after="120"/>
        <w:ind w:left="720" w:right="0" w:hanging="994"/>
        <w:jc w:val="both"/>
        <w:rPr>
          <w:rFonts w:ascii="Arial;Helvetica;sans-serif" w:hAnsi="Arial;Helvetica;sans-serif"/>
          <w:sz w:val="20"/>
        </w:rPr>
      </w:pPr>
      <w:r>
        <w:rPr>
          <w:rFonts w:ascii="Arial;Helvetica;sans-serif" w:hAnsi="Arial;Helvetica;sans-serif"/>
          <w:sz w:val="20"/>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presents information as of March 31, 2026 and December 31, 2025 for the Company’s assets and liabilities required to be measured at fair value on a recurring basis, as well as the fair value hierarchy used to determine their fair value.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Accounts Receivable and Payable</w:t>
      </w:r>
      <w:r>
        <w:rPr>
          <w:rFonts w:ascii="Arial;Helvetica;sans-serif" w:hAnsi="Arial;Helvetica;sans-serif"/>
          <w:sz w:val="20"/>
        </w:rPr>
        <w:t xml:space="preserve"> - The amounts recorded in the accompanying balance sheets approximate fair value because of their short-term nature.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 xml:space="preserve">Investments – </w:t>
      </w:r>
      <w:r>
        <w:rPr>
          <w:rFonts w:ascii="Arial;Helvetica;sans-serif" w:hAnsi="Arial;Helvetica;sans-serif"/>
          <w:sz w:val="20"/>
        </w:rPr>
        <w:t xml:space="preserve">The Company measures investments, including cost and equity method investments, at fair value on a nonrecurring basis when they are deemed to be other-than-temporarily impaired. The fair values of these investments are determined based on valuation techniques using the best information available, and may include market observable inputs, and discounted cash flow projections. An impairment charge is recorded when the cost of the investment exceeds its fair value and this condition is determined to be other-than-temporary.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Debt</w:t>
      </w:r>
      <w:r>
        <w:rPr>
          <w:rFonts w:ascii="Arial;Helvetica;sans-serif" w:hAnsi="Arial;Helvetica;sans-serif"/>
          <w:sz w:val="20"/>
        </w:rPr>
        <w:t xml:space="preserve"> - The Company’s debt consists primarily of the Company’s Credit Facility, which permits floating-rate borrowings based upon the current Prime Rate or SOFR plus a credit spread as determined by the Company’s leverage ratio calculation (in each case as defined in the Credit Agreement discussed in Note 9). As of March 31, 2026 and December 31, 2025, the Company had $889.0 million and $905.0 million, respectively, of borrowings outstanding under the Credit Facility. During the first quarter of 2026 outstanding borrowings accrued interest at an average rate of 6.9% per annum, excluding unused commitment fees. The amounts recorded in the accompanying Balance Sheets approximate fair value due to the variable nature of the debt based on Level 2 inputs.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i/>
          <w:sz w:val="20"/>
        </w:rPr>
        <w:t>Derivatives -</w:t>
      </w:r>
      <w:r>
        <w:rPr>
          <w:rFonts w:ascii="Arial;Helvetica;sans-serif" w:hAnsi="Arial;Helvetica;sans-serif"/>
          <w:sz w:val="20"/>
        </w:rPr>
        <w:t xml:space="preserve"> Net derivative assets (liabilities) are measured at fair value on a recurring basis. The portfolio is valued using models based on market observable inputs, including both forward and spot foreign exchange rates, interest rates, implied volatility, and counterparty credit risk, including the ability of each party to execute its obligations under the contract. As of March 31, 2026, credit risk did not materially change the fair value of the Company’s derivative contracts.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is a summary of the Company’s fair value measurements for its net derivative assets (liabilities) as of March 31, 2026 and December 31, 2025 (in thousands):</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March 31, 2026</w:t>
      </w:r>
    </w:p>
    <w:tbl>
      <w:tblPr>
        <w:tblW w:w="9623" w:type="dxa"/>
        <w:jc w:val="left"/>
        <w:tblInd w:w="0" w:type="dxa"/>
        <w:tblLayout w:type="fixed"/>
        <w:tblCellMar>
          <w:top w:w="0" w:type="dxa"/>
          <w:left w:w="0" w:type="dxa"/>
          <w:bottom w:w="0" w:type="dxa"/>
          <w:right w:w="0" w:type="dxa"/>
        </w:tblCellMar>
      </w:tblPr>
      <w:tblGrid>
        <w:gridCol w:w="2881"/>
        <w:gridCol w:w="346"/>
        <w:gridCol w:w="573"/>
        <w:gridCol w:w="943"/>
        <w:gridCol w:w="370"/>
        <w:gridCol w:w="273"/>
        <w:gridCol w:w="823"/>
        <w:gridCol w:w="370"/>
        <w:gridCol w:w="488"/>
        <w:gridCol w:w="818"/>
        <w:gridCol w:w="346"/>
        <w:gridCol w:w="425"/>
        <w:gridCol w:w="776"/>
        <w:gridCol w:w="191"/>
      </w:tblGrid>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73" w:type="dxa"/>
            <w:tcBorders/>
            <w:vAlign w:val="center"/>
          </w:tcPr>
          <w:p>
            <w:pPr>
              <w:pStyle w:val="TableContents"/>
              <w:bidi w:val="0"/>
              <w:spacing w:lineRule="auto" w:line="285" w:before="0" w:after="0"/>
              <w:ind w:left="0" w:right="0" w:hanging="0"/>
              <w:jc w:val="left"/>
              <w:rPr/>
            </w:pPr>
            <w:r>
              <w:rPr/>
              <w:t>​</w:t>
            </w:r>
          </w:p>
        </w:tc>
        <w:tc>
          <w:tcPr>
            <w:tcW w:w="943" w:type="dxa"/>
            <w:tcBorders/>
            <w:vAlign w:val="center"/>
          </w:tcPr>
          <w:p>
            <w:pPr>
              <w:pStyle w:val="TableContents"/>
              <w:bidi w:val="0"/>
              <w:spacing w:lineRule="auto" w:line="285" w:before="0" w:after="0"/>
              <w:ind w:left="0" w:right="0" w:hanging="0"/>
              <w:jc w:val="left"/>
              <w:rPr/>
            </w:pPr>
            <w:r>
              <w:rPr/>
              <w:t>​</w:t>
            </w:r>
          </w:p>
        </w:tc>
        <w:tc>
          <w:tcPr>
            <w:tcW w:w="370"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823" w:type="dxa"/>
            <w:tcBorders/>
            <w:vAlign w:val="center"/>
          </w:tcPr>
          <w:p>
            <w:pPr>
              <w:pStyle w:val="TableContents"/>
              <w:bidi w:val="0"/>
              <w:spacing w:lineRule="auto" w:line="285" w:before="0" w:after="0"/>
              <w:ind w:left="0" w:right="0" w:hanging="0"/>
              <w:jc w:val="left"/>
              <w:rPr/>
            </w:pPr>
            <w:r>
              <w:rPr/>
              <w:t>​</w:t>
            </w:r>
          </w:p>
        </w:tc>
        <w:tc>
          <w:tcPr>
            <w:tcW w:w="370" w:type="dxa"/>
            <w:tcBorders/>
            <w:vAlign w:val="center"/>
          </w:tcPr>
          <w:p>
            <w:pPr>
              <w:pStyle w:val="TableContents"/>
              <w:bidi w:val="0"/>
              <w:spacing w:lineRule="auto" w:line="285" w:before="0" w:after="0"/>
              <w:ind w:left="0" w:right="0" w:hanging="0"/>
              <w:jc w:val="left"/>
              <w:rPr/>
            </w:pPr>
            <w:r>
              <w:rPr/>
              <w:t>​</w:t>
            </w:r>
          </w:p>
        </w:tc>
        <w:tc>
          <w:tcPr>
            <w:tcW w:w="488" w:type="dxa"/>
            <w:tcBorders/>
            <w:vAlign w:val="center"/>
          </w:tcPr>
          <w:p>
            <w:pPr>
              <w:pStyle w:val="TableContents"/>
              <w:bidi w:val="0"/>
              <w:spacing w:lineRule="auto" w:line="285" w:before="0" w:after="0"/>
              <w:ind w:left="0" w:right="0" w:hanging="0"/>
              <w:jc w:val="left"/>
              <w:rPr/>
            </w:pPr>
            <w:r>
              <w:rPr/>
              <w:t>​</w:t>
            </w:r>
          </w:p>
        </w:tc>
        <w:tc>
          <w:tcPr>
            <w:tcW w:w="8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65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370" w:type="dxa"/>
            <w:tcBorders/>
            <w:vAlign w:val="center"/>
          </w:tcPr>
          <w:p>
            <w:pPr>
              <w:pStyle w:val="TableContents"/>
              <w:bidi w:val="0"/>
              <w:spacing w:lineRule="auto" w:line="285" w:before="0" w:after="0"/>
              <w:ind w:left="0" w:right="0" w:hanging="0"/>
              <w:jc w:val="center"/>
              <w:rPr/>
            </w:pPr>
            <w:r>
              <w:rPr/>
              <w:t>  ​ ​ ​</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370" w:type="dxa"/>
            <w:tcBorders/>
            <w:vAlign w:val="center"/>
          </w:tcPr>
          <w:p>
            <w:pPr>
              <w:pStyle w:val="TableContents"/>
              <w:bidi w:val="0"/>
              <w:spacing w:lineRule="auto" w:line="285" w:before="0" w:after="0"/>
              <w:ind w:left="0" w:right="0" w:hanging="0"/>
              <w:jc w:val="center"/>
              <w:rPr/>
            </w:pPr>
            <w:r>
              <w:rPr/>
              <w:t>  ​ ​ ​</w:t>
            </w:r>
          </w:p>
        </w:tc>
        <w:tc>
          <w:tcPr>
            <w:tcW w:w="488" w:type="dxa"/>
            <w:tcBorders/>
            <w:vAlign w:val="center"/>
          </w:tcPr>
          <w:p>
            <w:pPr>
              <w:pStyle w:val="TableContents"/>
              <w:bidi w:val="0"/>
              <w:spacing w:lineRule="auto" w:line="285" w:before="0" w:after="0"/>
              <w:ind w:left="0" w:right="0" w:hanging="0"/>
              <w:jc w:val="center"/>
              <w:rPr/>
            </w:pPr>
            <w:r>
              <w:rPr/>
              <w:t>​</w:t>
            </w:r>
          </w:p>
        </w:tc>
        <w:tc>
          <w:tcPr>
            <w:tcW w:w="81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425" w:type="dxa"/>
            <w:tcBorders/>
            <w:vAlign w:val="center"/>
          </w:tcPr>
          <w:p>
            <w:pPr>
              <w:pStyle w:val="TableContents"/>
              <w:bidi w:val="0"/>
              <w:spacing w:lineRule="auto" w:line="285" w:before="0" w:after="0"/>
              <w:ind w:left="0" w:right="0" w:hanging="0"/>
              <w:jc w:val="center"/>
              <w:rPr/>
            </w:pPr>
            <w:r>
              <w:rPr/>
              <w:t>  ​ ​ ​</w:t>
            </w:r>
          </w:p>
        </w:tc>
        <w:tc>
          <w:tcPr>
            <w:tcW w:w="77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w:t>
            </w:r>
          </w:p>
        </w:tc>
        <w:tc>
          <w:tcPr>
            <w:tcW w:w="370"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Other</w:t>
            </w:r>
          </w:p>
        </w:tc>
        <w:tc>
          <w:tcPr>
            <w:tcW w:w="370"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Identical</w:t>
            </w:r>
          </w:p>
        </w:tc>
        <w:tc>
          <w:tcPr>
            <w:tcW w:w="370"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w:t>
            </w:r>
          </w:p>
        </w:tc>
        <w:tc>
          <w:tcPr>
            <w:tcW w:w="370"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Assets</w:t>
            </w:r>
          </w:p>
        </w:tc>
        <w:tc>
          <w:tcPr>
            <w:tcW w:w="370"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370"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346" w:type="dxa"/>
            <w:tcBorders/>
            <w:vAlign w:val="center"/>
          </w:tcPr>
          <w:p>
            <w:pPr>
              <w:pStyle w:val="TableContents"/>
              <w:bidi w:val="0"/>
              <w:spacing w:lineRule="auto" w:line="285" w:before="0" w:after="0"/>
              <w:ind w:left="0" w:right="0" w:hanging="0"/>
              <w:jc w:val="center"/>
              <w:rPr/>
            </w:pPr>
            <w:r>
              <w:rPr/>
              <w:t>​</w:t>
            </w:r>
          </w:p>
        </w:tc>
        <w:tc>
          <w:tcPr>
            <w:tcW w:w="425"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370"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370"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346" w:type="dxa"/>
            <w:tcBorders/>
            <w:vAlign w:val="center"/>
          </w:tcPr>
          <w:p>
            <w:pPr>
              <w:pStyle w:val="TableContents"/>
              <w:bidi w:val="0"/>
              <w:spacing w:lineRule="auto" w:line="285"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At Fair Value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flow hedges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3" w:type="dxa"/>
            <w:tcBorders/>
            <w:shd w:fill="CCEEFF" w:val="clear"/>
            <w:vAlign w:val="center"/>
          </w:tcPr>
          <w:p>
            <w:pPr>
              <w:pStyle w:val="TableContents"/>
              <w:bidi w:val="0"/>
              <w:spacing w:lineRule="auto" w:line="285" w:before="0" w:after="0"/>
              <w:ind w:left="0" w:right="0" w:hanging="0"/>
              <w:jc w:val="right"/>
              <w:rPr/>
            </w:pPr>
            <w:r>
              <w:rPr/>
              <w:t>—</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(1,414)</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488"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Fair value hedges</w:t>
            </w:r>
          </w:p>
        </w:tc>
        <w:tc>
          <w:tcPr>
            <w:tcW w:w="346" w:type="dxa"/>
            <w:tcBorders/>
            <w:vAlign w:val="center"/>
          </w:tcPr>
          <w:p>
            <w:pPr>
              <w:pStyle w:val="TableContents"/>
              <w:bidi w:val="0"/>
              <w:spacing w:lineRule="auto" w:line="285"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70"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(112)</w:t>
            </w:r>
          </w:p>
        </w:tc>
        <w:tc>
          <w:tcPr>
            <w:tcW w:w="370" w:type="dxa"/>
            <w:tcBorders/>
            <w:vAlign w:val="center"/>
          </w:tcPr>
          <w:p>
            <w:pPr>
              <w:pStyle w:val="TableContents"/>
              <w:bidi w:val="0"/>
              <w:spacing w:lineRule="auto" w:line="285"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net derivative asset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(1,526)</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48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rFonts w:ascii="Arial;Helvetica;sans-serif" w:hAnsi="Arial;Helvetica;sans-serif"/>
          <w:b/>
          <w:sz w:val="18"/>
        </w:rPr>
      </w:pPr>
      <w:bookmarkStart w:id="1005" w:name="Tc_Y3G4R33xs0-M-zIT7AR2kw_13_8"/>
      <w:bookmarkStart w:id="1006" w:name="Tc_TAfVdko_EEyEgsHk7Y4GrQ_13_5"/>
      <w:bookmarkStart w:id="1007" w:name="Tc_41R3_7xcvUu-PiMnHgdBnA_13_2"/>
      <w:bookmarkStart w:id="1008" w:name="Tc_j603HaV4BkCso6alPpkvTA_12_8"/>
      <w:bookmarkStart w:id="1009" w:name="Tc_LAxwnYYRy0qo2udqLFuoag_12_5"/>
      <w:bookmarkStart w:id="1010" w:name="Tc_bpNQPdC6M0SUM3P7cKAVxg_12_2"/>
      <w:bookmarkStart w:id="1011" w:name="Tc_z45yCpPAhU27LQUhRdvcQg_12_0"/>
      <w:bookmarkStart w:id="1012" w:name="Tc_28TOIA9_90yrcbBY5fpeBQ_11_0"/>
      <w:bookmarkStart w:id="1013" w:name="Tc_p5j4iQlHWU6RMWa_yNid9A_9_8"/>
      <w:bookmarkStart w:id="1014" w:name="Tc_ecuyIBqVpUybfhk-o1SAbw_9_5"/>
      <w:bookmarkStart w:id="1015" w:name="Tc_FYKHOmPakEaX3ZMvVxqNNQ_9_2"/>
      <w:bookmarkStart w:id="1016" w:name="Tc_1VmfHbkDlUKljpB1mMAHAQ_9_0"/>
      <w:bookmarkStart w:id="1017" w:name="Tc_7yLTSrqvLEmrDdXaHwJWEQ_8_0"/>
      <w:bookmarkStart w:id="1018" w:name="Tc_1xMSNIozSECDy1erjZpRqA_7_8"/>
      <w:bookmarkStart w:id="1019" w:name="Tc_Kdw2xpvM_kSCBVvbMxei8A_7_5"/>
      <w:bookmarkStart w:id="1020" w:name="Tc_2lC33qIruEaVmxQBxdRhYQ_7_2"/>
      <w:bookmarkStart w:id="1021" w:name="Tc_EyRp0feB60WmD1v6Dnpndg_7_0"/>
      <w:bookmarkStart w:id="1022" w:name="Tc_o_IstvVO7Uyosc5LCxzhJg_6_0"/>
      <w:bookmarkStart w:id="1023" w:name="Tc_naLSNr4GYECpDgxl9-oxHQ_5_8"/>
      <w:bookmarkStart w:id="1024" w:name="Tc_BVmTll9U5UG1IsppaF314A_5_5"/>
      <w:bookmarkStart w:id="1025" w:name="Tc_9Dc01YpX9U61BB7MgVQlVA_5_2"/>
      <w:bookmarkStart w:id="1026" w:name="Tc_CWaDf8_XpUOcVnLrlVbfDw_4_8"/>
      <w:bookmarkStart w:id="1027" w:name="Tc_4IlffXsoeUazkq91MJ6ejg_4_5"/>
      <w:bookmarkStart w:id="1028" w:name="Tc_MKly7Jvg102k8xoLdvdHdA_4_2"/>
      <w:bookmarkStart w:id="1029" w:name="Tc_JYXVjyHMZUexHiefvbQSMg_3_8"/>
      <w:bookmarkStart w:id="1030" w:name="Tc_JhTNNgNLoEqlTKnTKVwlbA_3_5"/>
      <w:bookmarkStart w:id="1031" w:name="Tc_r39gGyCllkSpVqJ3L_85LQ_3_2"/>
      <w:bookmarkStart w:id="1032" w:name="Tc_X3UPo7dyZkqZkg1AHVfEnw_2_8"/>
      <w:bookmarkStart w:id="1033" w:name="Tc_adU6qJkjE0y1d6mhVYLQAA_2_2"/>
      <w:bookmarkStart w:id="1034" w:name="Tc_ymArAR3tWECI2Hgf3QRKaQ_1_2"/>
      <w:bookmarkStart w:id="1035" w:name="_a7a48829_f8b3_43f1_9ad9_1e13c78efacb"/>
      <w:bookmarkStart w:id="1036" w:name="Tc_wO2EYwUCEUC_wpbtTlcF3g_13_8"/>
      <w:bookmarkStart w:id="1037" w:name="Tc_C0zuWB59akKn-iVdnTA4GQ_13_5"/>
      <w:bookmarkStart w:id="1038" w:name="Tc_VqOkPBw6DkaHL1Trn5uL0g_13_2"/>
      <w:bookmarkStart w:id="1039" w:name="Tc_bsKj_chHlUa6mYTXWxqa2g_13_0"/>
      <w:bookmarkStart w:id="1040" w:name="Tc_RlZYsuPzN0G0Z53n9CO2lw_12_8"/>
      <w:bookmarkStart w:id="1041" w:name="Tc_M3ReTKpfXUKZ99DhAR5FlQ_12_5"/>
      <w:bookmarkStart w:id="1042" w:name="Tc_MDoWSJ3IoEyaY86ThGLa8A_12_2"/>
      <w:bookmarkStart w:id="1043" w:name="Tc_Y3l5JA7Y_06QeOxvPFpmdw_12_0"/>
      <w:bookmarkStart w:id="1044" w:name="Tc_hy5h4lzUlkysYnVpqmDj9A_11_0"/>
      <w:bookmarkStart w:id="1045" w:name="Tc_5f_hc-4Z4USGJCX_AtnmOw_9_8"/>
      <w:bookmarkStart w:id="1046" w:name="Tc_xCo7ipjakkWs6WpuqvsW5g_9_5"/>
      <w:bookmarkStart w:id="1047" w:name="Tc_HkLWznZkgUGajtQTDCS1cg_9_2"/>
      <w:bookmarkStart w:id="1048" w:name="Tc_znCpwmoLqEeeO5MGIKiAIw_9_0"/>
      <w:bookmarkStart w:id="1049" w:name="Tc_AKfhpCYh7ECuhchk487FhQ_8_0"/>
      <w:bookmarkStart w:id="1050" w:name="Tc___0DEmzmQEu215IEn5Bcrw_7_8"/>
      <w:bookmarkStart w:id="1051" w:name="Tc_LJ-oIOGw70-p4VjWfviKXA_7_5"/>
      <w:bookmarkStart w:id="1052" w:name="Tc_hbVbEkHYwUyIBLmYTH_3ig_7_2"/>
      <w:bookmarkStart w:id="1053" w:name="Tc_XJbN8V2wm0GGXFJ_v4G0Aw_7_0"/>
      <w:bookmarkStart w:id="1054" w:name="Tc_Ke1tqcOq3U6u2h0qnndCdw_6_0"/>
      <w:bookmarkStart w:id="1055" w:name="Tc_xPxa8xkz1UmUekXEqkhpbA_5_8"/>
      <w:bookmarkStart w:id="1056" w:name="Tc_e6YtkRrjpkeDIFAnhkhlJw_5_5"/>
      <w:bookmarkStart w:id="1057" w:name="Tc_No97BWTBOk2RvO4ihz7WHQ_5_2"/>
      <w:bookmarkStart w:id="1058" w:name="Tc_qbZ1H5SA4Ua2kYmlZnSfrw_4_8"/>
      <w:bookmarkStart w:id="1059" w:name="Tc_DZvCVyBtYkSRGWrUew537w_4_5"/>
      <w:bookmarkStart w:id="1060" w:name="Tc_u6UX_SbyjUynCYUsztgiVg_4_2"/>
      <w:bookmarkStart w:id="1061" w:name="Tc_DODkG5aUaEK7QGLTTTC7VQ_3_8"/>
      <w:bookmarkStart w:id="1062" w:name="Tc_arkt-mFWGk-wCKQAUPAtPg_3_5"/>
      <w:bookmarkStart w:id="1063" w:name="Tc_Dfu4u0rWBkCjyIU2OjS-BA_3_2"/>
      <w:bookmarkStart w:id="1064" w:name="Tc_oFNl5VQE40KergSIIBSevg_2_8"/>
      <w:bookmarkStart w:id="1065" w:name="Tc_rNQlaueOqkajxiTNP2BgYw_2_2"/>
      <w:bookmarkStart w:id="1066" w:name="Tc_-Xm0aSmNu02w9WupVOSqTA_1_2"/>
      <w:bookmarkStart w:id="1067" w:name="_273a054c_174e_4f7f_98a6_ba1c6c33c0c5"/>
      <w:bookmarkStart w:id="1068" w:name="Tc_iLB6k1Zwz02YZWLKqYBH_Q_9_11"/>
      <w:bookmarkStart w:id="1069" w:name="Tc_rI883KlrWUGtZF7V204kSQ_9_8"/>
      <w:bookmarkStart w:id="1070" w:name="Tc_EMqpXGp5fk6xoamHcw8ilg_9_5"/>
      <w:bookmarkStart w:id="1071" w:name="Tc_jrvfx8itH0CNX5tyAIWeUg_9_2"/>
      <w:bookmarkStart w:id="1072" w:name="Tc_pbfOc4Uzo0OsUUa4wAMWmA_9_0"/>
      <w:bookmarkStart w:id="1073" w:name="Tc_wcEzXgdSqECjSKb2dO3zQg_8_0"/>
      <w:bookmarkStart w:id="1074" w:name="Tc_cGWlV3GfpUadYvTICDanfQ_7_11"/>
      <w:bookmarkStart w:id="1075" w:name="Tc_ld-8zgKsp06EERaOH7Y-gQ_7_8"/>
      <w:bookmarkStart w:id="1076" w:name="Tc_XngAjIJklEycrv7uPTOLgA_7_5"/>
      <w:bookmarkStart w:id="1077" w:name="Tc_oO_FtA48WEqCcZigWdWpjw_7_2"/>
      <w:bookmarkStart w:id="1078" w:name="Tc_XEDEyGFUP0ixZ5YllxT3vQ_7_0"/>
      <w:bookmarkStart w:id="1079" w:name="Tc_rtd6Z5B5UEqRxf4FVxrGng_6_11"/>
      <w:bookmarkStart w:id="1080" w:name="Tc_IDM4eCxjPECTsrjhIhfHxA_6_8"/>
      <w:bookmarkStart w:id="1081" w:name="Tc_sNgRVwBydEW4siZ8QCdoYQ_6_5"/>
      <w:bookmarkStart w:id="1082" w:name="Tc_j6wXmCiNbkq3oLeH0SUC2Q_6_2"/>
      <w:bookmarkStart w:id="1083" w:name="Tc_TK1WN_AmSU22XS-Nytl6ZA_5_8"/>
      <w:bookmarkStart w:id="1084" w:name="Tc_fg4nF_0Tg0WFIRgfkBm1VQ_5_5"/>
      <w:bookmarkStart w:id="1085" w:name="Tc_KC8cFnefjkqGwOshwq7w5Q_5_2"/>
      <w:bookmarkStart w:id="1086" w:name="Tc_4247uvbF50SYiSq3muD58g_4_8"/>
      <w:bookmarkStart w:id="1087" w:name="Tc_wWgs6X8nYk6MPDCN5rhzYA_4_5"/>
      <w:bookmarkStart w:id="1088" w:name="Tc_cruaDg72akqXOqWAUKz4Iw_4_2"/>
      <w:bookmarkStart w:id="1089" w:name="Tc_d1edI5yykE-O7_BTgEjD3A_3_8"/>
      <w:bookmarkStart w:id="1090" w:name="Tc_Ab_qK2kplU6e2PN2qPTRmg_3_5"/>
      <w:bookmarkStart w:id="1091" w:name="Tc_0PWpY1yDjEyz7DFILK3WBA_3_2"/>
      <w:bookmarkStart w:id="1092" w:name="Tc_yxtZtlfDnkSG21sKPqCO3A_2_5"/>
      <w:bookmarkStart w:id="1093" w:name="Tc_eMJxFmfSbkmsTMDzKie4WQ_2_2"/>
      <w:bookmarkStart w:id="1094" w:name="Tc_HIvyKH7RY0Sg6twIitFbew_1_2"/>
      <w:bookmarkStart w:id="1095" w:name="_3a2bef3a_a162_48b4_87c1_8ab09c9ef43d"/>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Arial;Helvetica;sans-serif" w:hAnsi="Arial;Helvetica;sans-serif"/>
          <w:b/>
          <w:sz w:val="18"/>
        </w:rPr>
        <w:t>As of December 31, 2025</w:t>
      </w:r>
    </w:p>
    <w:tbl>
      <w:tblPr>
        <w:tblW w:w="9687" w:type="dxa"/>
        <w:jc w:val="left"/>
        <w:tblInd w:w="0" w:type="dxa"/>
        <w:tblLayout w:type="fixed"/>
        <w:tblCellMar>
          <w:top w:w="0" w:type="dxa"/>
          <w:left w:w="0" w:type="dxa"/>
          <w:bottom w:w="0" w:type="dxa"/>
          <w:right w:w="0" w:type="dxa"/>
        </w:tblCellMar>
      </w:tblPr>
      <w:tblGrid>
        <w:gridCol w:w="2881"/>
        <w:gridCol w:w="346"/>
        <w:gridCol w:w="574"/>
        <w:gridCol w:w="942"/>
        <w:gridCol w:w="402"/>
        <w:gridCol w:w="364"/>
        <w:gridCol w:w="732"/>
        <w:gridCol w:w="402"/>
        <w:gridCol w:w="490"/>
        <w:gridCol w:w="816"/>
        <w:gridCol w:w="346"/>
        <w:gridCol w:w="541"/>
        <w:gridCol w:w="660"/>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29435" cy="175260"/>
                      <wp:effectExtent l="0" t="0" r="0" b="0"/>
                      <wp:wrapNone/>
                      <wp:docPr id="208" name="Frame208"/>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64490" cy="175260"/>
                      <wp:effectExtent l="0" t="0" r="0" b="0"/>
                      <wp:wrapNone/>
                      <wp:docPr id="210" name="Frame21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98170" cy="175260"/>
                      <wp:effectExtent l="0" t="0" r="0" b="0"/>
                      <wp:wrapNone/>
                      <wp:docPr id="211" name="Frame211"/>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55270" cy="175260"/>
                      <wp:effectExtent l="0" t="0" r="0" b="0"/>
                      <wp:wrapNone/>
                      <wp:docPr id="212" name="Frame21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31140" cy="175260"/>
                      <wp:effectExtent l="0" t="0" r="0" b="0"/>
                      <wp:wrapNone/>
                      <wp:docPr id="213" name="Frame21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64820" cy="175260"/>
                      <wp:effectExtent l="0" t="0" r="0" b="0"/>
                      <wp:wrapNone/>
                      <wp:docPr id="214" name="Frame214"/>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55270" cy="175260"/>
                      <wp:effectExtent l="0" t="0" r="0" b="0"/>
                      <wp:wrapNone/>
                      <wp:docPr id="215" name="Frame215"/>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11150" cy="175260"/>
                      <wp:effectExtent l="0" t="0" r="0" b="0"/>
                      <wp:wrapNone/>
                      <wp:docPr id="216" name="Frame216"/>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18160" cy="175260"/>
                      <wp:effectExtent l="0" t="0" r="0" b="0"/>
                      <wp:wrapNone/>
                      <wp:docPr id="217" name="Frame217"/>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43535" cy="175260"/>
                      <wp:effectExtent l="0" t="0" r="0" b="0"/>
                      <wp:wrapNone/>
                      <wp:docPr id="219" name="Frame21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19100" cy="175260"/>
                      <wp:effectExtent l="0" t="0" r="0" b="0"/>
                      <wp:wrapNone/>
                      <wp:docPr id="220" name="Frame220"/>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21285" cy="175260"/>
                      <wp:effectExtent l="0" t="0" r="0" b="0"/>
                      <wp:wrapNone/>
                      <wp:docPr id="221" name="Frame2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4722"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402" w:type="dxa"/>
            <w:tcBorders/>
            <w:vAlign w:val="center"/>
          </w:tcPr>
          <w:p>
            <w:pPr>
              <w:pStyle w:val="TableContents"/>
              <w:bidi w:val="0"/>
              <w:spacing w:lineRule="auto" w:line="285" w:before="0" w:after="0"/>
              <w:ind w:left="0" w:right="0" w:hanging="0"/>
              <w:jc w:val="center"/>
              <w:rPr/>
            </w:pPr>
            <w:r>
              <w:rPr/>
              <w:t>  ​ ​ ​</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402" w:type="dxa"/>
            <w:tcBorders/>
            <w:vAlign w:val="center"/>
          </w:tcPr>
          <w:p>
            <w:pPr>
              <w:pStyle w:val="TableContents"/>
              <w:bidi w:val="0"/>
              <w:spacing w:lineRule="auto" w:line="285" w:before="0" w:after="0"/>
              <w:ind w:left="0" w:right="0" w:hanging="0"/>
              <w:jc w:val="center"/>
              <w:rPr/>
            </w:pPr>
            <w:r>
              <w:rPr/>
              <w:t>  ​ ​ ​</w:t>
            </w:r>
          </w:p>
        </w:tc>
        <w:tc>
          <w:tcPr>
            <w:tcW w:w="490" w:type="dxa"/>
            <w:tcBorders/>
            <w:vAlign w:val="center"/>
          </w:tcPr>
          <w:p>
            <w:pPr>
              <w:pStyle w:val="TableContents"/>
              <w:bidi w:val="0"/>
              <w:spacing w:lineRule="auto" w:line="285" w:before="0" w:after="0"/>
              <w:ind w:left="0" w:right="0" w:hanging="0"/>
              <w:jc w:val="center"/>
              <w:rPr/>
            </w:pPr>
            <w:r>
              <w:rPr/>
              <w:t>​</w:t>
            </w:r>
          </w:p>
        </w:tc>
        <w:tc>
          <w:tcPr>
            <w:tcW w:w="8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541" w:type="dxa"/>
            <w:tcBorders/>
            <w:vAlign w:val="center"/>
          </w:tcPr>
          <w:p>
            <w:pPr>
              <w:pStyle w:val="TableContents"/>
              <w:bidi w:val="0"/>
              <w:spacing w:lineRule="auto" w:line="285" w:before="0" w:after="0"/>
              <w:ind w:left="0" w:right="0" w:hanging="0"/>
              <w:jc w:val="center"/>
              <w:rPr/>
            </w:pPr>
            <w:r>
              <w:rPr/>
              <w:t>  ​ ​ ​</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Other</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Identical</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Assets</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346"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660"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402" w:type="dxa"/>
            <w:tcBorders/>
            <w:vAlign w:val="center"/>
          </w:tcPr>
          <w:p>
            <w:pPr>
              <w:pStyle w:val="TableContents"/>
              <w:bidi w:val="0"/>
              <w:spacing w:lineRule="auto" w:line="285"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402"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346" w:type="dxa"/>
            <w:tcBorders/>
            <w:vAlign w:val="center"/>
          </w:tcPr>
          <w:p>
            <w:pPr>
              <w:pStyle w:val="TableContents"/>
              <w:bidi w:val="0"/>
              <w:spacing w:lineRule="auto" w:line="285" w:before="0" w:after="0"/>
              <w:ind w:left="0" w:right="0" w:hanging="0"/>
              <w:jc w:val="center"/>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At Fair Value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Cash flow hedges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2" w:type="dxa"/>
            <w:tcBorders/>
            <w:shd w:fill="CCEEFF" w:val="clear"/>
            <w:vAlign w:val="center"/>
          </w:tcPr>
          <w:p>
            <w:pPr>
              <w:pStyle w:val="TableContents"/>
              <w:bidi w:val="0"/>
              <w:spacing w:lineRule="auto" w:line="285" w:before="0" w:after="0"/>
              <w:ind w:left="0" w:right="0" w:hanging="0"/>
              <w:jc w:val="righ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490"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Fair value hedges</w:t>
            </w:r>
          </w:p>
        </w:tc>
        <w:tc>
          <w:tcPr>
            <w:tcW w:w="346" w:type="dxa"/>
            <w:tcBorders/>
            <w:vAlign w:val="center"/>
          </w:tcPr>
          <w:p>
            <w:pPr>
              <w:pStyle w:val="TableContents"/>
              <w:bidi w:val="0"/>
              <w:spacing w:lineRule="auto" w:line="285"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02" w:type="dxa"/>
            <w:tcBorders/>
            <w:vAlign w:val="center"/>
          </w:tcPr>
          <w:p>
            <w:pPr>
              <w:pStyle w:val="TableContents"/>
              <w:bidi w:val="0"/>
              <w:spacing w:lineRule="auto" w:line="285"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402" w:type="dxa"/>
            <w:tcBorders/>
            <w:vAlign w:val="center"/>
          </w:tcPr>
          <w:p>
            <w:pPr>
              <w:pStyle w:val="TableContents"/>
              <w:bidi w:val="0"/>
              <w:spacing w:lineRule="auto" w:line="285" w:before="0" w:after="0"/>
              <w:ind w:left="0" w:right="0" w:hanging="0"/>
              <w:jc w:val="left"/>
              <w:rPr/>
            </w:pPr>
            <w:r>
              <w:rPr/>
              <w:t>​</w:t>
            </w:r>
          </w:p>
        </w:tc>
        <w:tc>
          <w:tcPr>
            <w:tcW w:w="4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net derivative asset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4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is a summary of the Company’s fair value measurements as of March 31, 2026 and December 31, 2025 (in thousands):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March 31, 2026</w:t>
      </w:r>
    </w:p>
    <w:tbl>
      <w:tblPr>
        <w:tblW w:w="8823" w:type="dxa"/>
        <w:jc w:val="left"/>
        <w:tblInd w:w="0" w:type="dxa"/>
        <w:tblLayout w:type="fixed"/>
        <w:tblCellMar>
          <w:top w:w="0" w:type="dxa"/>
          <w:left w:w="0" w:type="dxa"/>
          <w:bottom w:w="0" w:type="dxa"/>
          <w:right w:w="0" w:type="dxa"/>
        </w:tblCellMar>
      </w:tblPr>
      <w:tblGrid>
        <w:gridCol w:w="2926"/>
        <w:gridCol w:w="346"/>
        <w:gridCol w:w="402"/>
        <w:gridCol w:w="1294"/>
        <w:gridCol w:w="346"/>
        <w:gridCol w:w="416"/>
        <w:gridCol w:w="1250"/>
        <w:gridCol w:w="346"/>
        <w:gridCol w:w="494"/>
        <w:gridCol w:w="812"/>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858010" cy="175260"/>
                      <wp:effectExtent l="0" t="0" r="0" b="0"/>
                      <wp:wrapNone/>
                      <wp:docPr id="222" name="Frame22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5270" cy="175260"/>
                      <wp:effectExtent l="0" t="0" r="0" b="0"/>
                      <wp:wrapNone/>
                      <wp:docPr id="224" name="Frame224"/>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21690" cy="175260"/>
                      <wp:effectExtent l="0" t="0" r="0" b="0"/>
                      <wp:wrapNone/>
                      <wp:docPr id="225" name="Frame225"/>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64160" cy="175260"/>
                      <wp:effectExtent l="0" t="0" r="0" b="0"/>
                      <wp:wrapNone/>
                      <wp:docPr id="227" name="Frame22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93750" cy="175260"/>
                      <wp:effectExtent l="0" t="0" r="0" b="0"/>
                      <wp:wrapNone/>
                      <wp:docPr id="228" name="Frame228"/>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13690" cy="175260"/>
                      <wp:effectExtent l="0" t="0" r="0" b="0"/>
                      <wp:wrapNone/>
                      <wp:docPr id="230" name="Frame230"/>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15620" cy="175260"/>
                      <wp:effectExtent l="0" t="0" r="0" b="0"/>
                      <wp:wrapNone/>
                      <wp:docPr id="231" name="Frame231"/>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1285" cy="175260"/>
                      <wp:effectExtent l="0" t="0" r="0" b="0"/>
                      <wp:wrapNone/>
                      <wp:docPr id="232" name="Frame23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536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346" w:type="dxa"/>
            <w:tcBorders/>
            <w:vAlign w:val="center"/>
          </w:tcPr>
          <w:p>
            <w:pPr>
              <w:pStyle w:val="TableContents"/>
              <w:bidi w:val="0"/>
              <w:spacing w:lineRule="auto" w:line="285" w:before="0" w:after="0"/>
              <w:ind w:left="0" w:right="0" w:hanging="0"/>
              <w:jc w:val="center"/>
              <w:rPr/>
            </w:pPr>
            <w:r>
              <w:rPr/>
              <w:t>  ​ ​ ​</w:t>
            </w:r>
          </w:p>
        </w:tc>
        <w:tc>
          <w:tcPr>
            <w:tcW w:w="416" w:type="dxa"/>
            <w:tcBorders/>
            <w:vAlign w:val="center"/>
          </w:tcPr>
          <w:p>
            <w:pPr>
              <w:pStyle w:val="TableContents"/>
              <w:bidi w:val="0"/>
              <w:spacing w:lineRule="auto" w:line="285" w:before="0" w:after="0"/>
              <w:ind w:left="0" w:right="0" w:hanging="0"/>
              <w:jc w:val="center"/>
              <w:rPr/>
            </w:pPr>
            <w:r>
              <w:rPr/>
              <w:t>​</w:t>
            </w:r>
          </w:p>
        </w:tc>
        <w:tc>
          <w:tcPr>
            <w:tcW w:w="1250"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 for</w:t>
            </w:r>
          </w:p>
        </w:tc>
        <w:tc>
          <w:tcPr>
            <w:tcW w:w="346" w:type="dxa"/>
            <w:tcBorders/>
            <w:vAlign w:val="center"/>
          </w:tcPr>
          <w:p>
            <w:pPr>
              <w:pStyle w:val="TableContents"/>
              <w:bidi w:val="0"/>
              <w:spacing w:lineRule="auto" w:line="285" w:before="0" w:after="0"/>
              <w:ind w:left="0" w:right="0" w:hanging="0"/>
              <w:jc w:val="center"/>
              <w:rPr/>
            </w:pPr>
            <w:r>
              <w:rPr/>
              <w:t>​</w:t>
            </w:r>
          </w:p>
        </w:tc>
        <w:tc>
          <w:tcPr>
            <w:tcW w:w="166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 Other</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Identical Assets</w:t>
            </w:r>
          </w:p>
        </w:tc>
        <w:tc>
          <w:tcPr>
            <w:tcW w:w="346"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 Inputs</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346"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6" w:type="dxa"/>
            <w:tcBorders/>
            <w:shd w:fill="CCEEFF" w:val="clear"/>
            <w:vAlign w:val="center"/>
          </w:tcPr>
          <w:p>
            <w:pPr>
              <w:pStyle w:val="TableContents"/>
              <w:bidi w:val="0"/>
              <w:spacing w:lineRule="auto" w:line="285" w:before="0" w:after="0"/>
              <w:ind w:left="0" w:right="0" w:hanging="0"/>
              <w:jc w:val="right"/>
              <w:rPr/>
            </w:pPr>
            <w:r>
              <w:rPr/>
              <w:t>​</w:t>
            </w:r>
          </w:p>
        </w:tc>
        <w:tc>
          <w:tcPr>
            <w:tcW w:w="125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81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5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compensation plan asset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30,750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30,750</w:t>
            </w:r>
          </w:p>
        </w:tc>
        <w:tc>
          <w:tcPr>
            <w:tcW w:w="346" w:type="dxa"/>
            <w:tcBorders/>
            <w:vAlign w:val="center"/>
          </w:tcPr>
          <w:p>
            <w:pPr>
              <w:pStyle w:val="TableContents"/>
              <w:bidi w:val="0"/>
              <w:spacing w:lineRule="auto" w:line="285" w:before="0" w:after="0"/>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6" w:type="dxa"/>
            <w:tcBorders/>
            <w:shd w:fill="CCEEFF" w:val="clear"/>
            <w:vAlign w:val="center"/>
          </w:tcPr>
          <w:p>
            <w:pPr>
              <w:pStyle w:val="TableContents"/>
              <w:bidi w:val="0"/>
              <w:spacing w:lineRule="auto" w:line="285" w:before="0" w:after="0"/>
              <w:ind w:left="0" w:right="0" w:hanging="0"/>
              <w:jc w:val="right"/>
              <w:rPr/>
            </w:pPr>
            <w:r>
              <w:rPr/>
              <w:t>​</w:t>
            </w:r>
          </w:p>
        </w:tc>
        <w:tc>
          <w:tcPr>
            <w:tcW w:w="125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shd w:fill="CCEEFF" w:val="clear"/>
            <w:vAlign w:val="center"/>
          </w:tcPr>
          <w:p>
            <w:pPr>
              <w:pStyle w:val="TableContents"/>
              <w:bidi w:val="0"/>
              <w:spacing w:lineRule="auto" w:line="285" w:before="0" w:after="0"/>
              <w:ind w:left="0" w:right="0" w:hanging="0"/>
              <w:jc w:val="right"/>
              <w:rPr/>
            </w:pPr>
            <w:r>
              <w:rPr/>
              <w:t>​</w:t>
            </w:r>
          </w:p>
        </w:tc>
        <w:tc>
          <w:tcPr>
            <w:tcW w:w="81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right"/>
              <w:rPr/>
            </w:pPr>
            <w:r>
              <w:rPr/>
              <w:t>​</w:t>
            </w:r>
          </w:p>
        </w:tc>
        <w:tc>
          <w:tcPr>
            <w:tcW w:w="12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6" w:type="dxa"/>
            <w:tcBorders/>
            <w:vAlign w:val="center"/>
          </w:tcPr>
          <w:p>
            <w:pPr>
              <w:pStyle w:val="TableContents"/>
              <w:bidi w:val="0"/>
              <w:spacing w:lineRule="auto" w:line="285" w:before="0" w:after="0"/>
              <w:ind w:left="0" w:right="0" w:hanging="0"/>
              <w:jc w:val="right"/>
              <w:rPr/>
            </w:pPr>
            <w:r>
              <w:rPr/>
              <w:t>​</w:t>
            </w:r>
          </w:p>
        </w:tc>
        <w:tc>
          <w:tcPr>
            <w:tcW w:w="125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vAlign w:val="center"/>
          </w:tcPr>
          <w:p>
            <w:pPr>
              <w:pStyle w:val="TableContents"/>
              <w:bidi w:val="0"/>
              <w:spacing w:lineRule="auto" w:line="285" w:before="0" w:after="0"/>
              <w:ind w:left="0" w:right="0" w:hanging="0"/>
              <w:jc w:val="right"/>
              <w:rPr/>
            </w:pPr>
            <w:r>
              <w:rPr/>
              <w:t>​</w:t>
            </w:r>
          </w:p>
        </w:tc>
        <w:tc>
          <w:tcPr>
            <w:tcW w:w="81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(1,526)</w:t>
            </w:r>
          </w:p>
        </w:tc>
        <w:tc>
          <w:tcPr>
            <w:tcW w:w="346" w:type="dxa"/>
            <w:tcBorders/>
            <w:vAlign w:val="center"/>
          </w:tcPr>
          <w:p>
            <w:pPr>
              <w:pStyle w:val="TableContents"/>
              <w:bidi w:val="0"/>
              <w:spacing w:lineRule="auto" w:line="285" w:before="0" w:after="0"/>
              <w:ind w:left="0" w:right="0" w:hanging="0"/>
              <w:jc w:val="left"/>
              <w:rPr/>
            </w:pPr>
            <w:r>
              <w:rPr/>
              <w:t>​</w:t>
            </w:r>
          </w:p>
        </w:tc>
        <w:tc>
          <w:tcPr>
            <w:tcW w:w="4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December 31, 2025</w:t>
      </w:r>
    </w:p>
    <w:tbl>
      <w:tblPr>
        <w:tblW w:w="8839" w:type="dxa"/>
        <w:jc w:val="left"/>
        <w:tblInd w:w="0" w:type="dxa"/>
        <w:tblLayout w:type="fixed"/>
        <w:tblCellMar>
          <w:top w:w="0" w:type="dxa"/>
          <w:left w:w="0" w:type="dxa"/>
          <w:bottom w:w="0" w:type="dxa"/>
          <w:right w:w="0" w:type="dxa"/>
        </w:tblCellMar>
      </w:tblPr>
      <w:tblGrid>
        <w:gridCol w:w="2926"/>
        <w:gridCol w:w="346"/>
        <w:gridCol w:w="402"/>
        <w:gridCol w:w="1294"/>
        <w:gridCol w:w="354"/>
        <w:gridCol w:w="556"/>
        <w:gridCol w:w="1110"/>
        <w:gridCol w:w="354"/>
        <w:gridCol w:w="492"/>
        <w:gridCol w:w="814"/>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58010" cy="175260"/>
                      <wp:effectExtent l="0" t="0" r="0" b="0"/>
                      <wp:wrapNone/>
                      <wp:docPr id="233" name="Frame23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55270" cy="175260"/>
                      <wp:effectExtent l="0" t="0" r="0" b="0"/>
                      <wp:wrapNone/>
                      <wp:docPr id="235" name="Frame235"/>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21690" cy="175260"/>
                      <wp:effectExtent l="0" t="0" r="0" b="0"/>
                      <wp:wrapNone/>
                      <wp:docPr id="236" name="Frame236"/>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24790" cy="175260"/>
                      <wp:effectExtent l="0" t="0" r="0" b="0"/>
                      <wp:wrapNone/>
                      <wp:docPr id="237" name="Frame23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53060" cy="175260"/>
                      <wp:effectExtent l="0" t="0" r="0" b="0"/>
                      <wp:wrapNone/>
                      <wp:docPr id="238" name="Frame23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04850" cy="175260"/>
                      <wp:effectExtent l="0" t="0" r="0" b="0"/>
                      <wp:wrapNone/>
                      <wp:docPr id="239" name="Frame239"/>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4790" cy="175260"/>
                      <wp:effectExtent l="0" t="0" r="0" b="0"/>
                      <wp:wrapNone/>
                      <wp:docPr id="240" name="Frame24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12420" cy="175260"/>
                      <wp:effectExtent l="0" t="0" r="0" b="0"/>
                      <wp:wrapNone/>
                      <wp:docPr id="241" name="Frame241"/>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16890" cy="175260"/>
                      <wp:effectExtent l="0" t="0" r="0" b="0"/>
                      <wp:wrapNone/>
                      <wp:docPr id="242" name="Frame24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1285" cy="175260"/>
                      <wp:effectExtent l="0" t="0" r="0" b="0"/>
                      <wp:wrapNone/>
                      <wp:docPr id="243" name="Frame24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5376"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Fair Value Measurements Using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Quoted Prices in</w:t>
            </w:r>
          </w:p>
        </w:tc>
        <w:tc>
          <w:tcPr>
            <w:tcW w:w="354" w:type="dxa"/>
            <w:tcBorders/>
            <w:vAlign w:val="center"/>
          </w:tcPr>
          <w:p>
            <w:pPr>
              <w:pStyle w:val="TableContents"/>
              <w:bidi w:val="0"/>
              <w:spacing w:lineRule="auto" w:line="285" w:before="0" w:after="0"/>
              <w:ind w:left="0" w:right="0" w:hanging="0"/>
              <w:jc w:val="center"/>
              <w:rPr/>
            </w:pPr>
            <w:r>
              <w:rPr/>
              <w:t>  ​ ​ ​</w:t>
            </w:r>
          </w:p>
        </w:tc>
        <w:tc>
          <w:tcPr>
            <w:tcW w:w="556" w:type="dxa"/>
            <w:tcBorders/>
            <w:vAlign w:val="center"/>
          </w:tcPr>
          <w:p>
            <w:pPr>
              <w:pStyle w:val="TableContents"/>
              <w:bidi w:val="0"/>
              <w:spacing w:lineRule="auto" w:line="285" w:before="0" w:after="0"/>
              <w:ind w:left="0" w:right="0" w:hanging="0"/>
              <w:jc w:val="center"/>
              <w:rPr/>
            </w:pPr>
            <w:r>
              <w:rPr/>
              <w:t>​</w:t>
            </w:r>
          </w:p>
        </w:tc>
        <w:tc>
          <w:tcPr>
            <w:tcW w:w="1110" w:type="dxa"/>
            <w:tcBorders/>
            <w:vAlign w:val="center"/>
          </w:tcPr>
          <w:p>
            <w:pPr>
              <w:pStyle w:val="TableContents"/>
              <w:bidi w:val="0"/>
              <w:spacing w:lineRule="auto" w:line="285" w:before="0" w:after="0"/>
              <w:ind w:left="0" w:right="0" w:hanging="0"/>
              <w:jc w:val="center"/>
              <w:rPr/>
            </w:pPr>
            <w:r>
              <w:rPr/>
              <w:t>​</w:t>
            </w:r>
          </w:p>
        </w:tc>
        <w:tc>
          <w:tcPr>
            <w:tcW w:w="354" w:type="dxa"/>
            <w:tcBorders/>
            <w:vAlign w:val="center"/>
          </w:tcPr>
          <w:p>
            <w:pPr>
              <w:pStyle w:val="TableContents"/>
              <w:bidi w:val="0"/>
              <w:spacing w:lineRule="auto" w:line="285" w:before="0" w:after="0"/>
              <w:ind w:left="0" w:right="0" w:hanging="0"/>
              <w:jc w:val="center"/>
              <w:rPr/>
            </w:pPr>
            <w:r>
              <w:rPr/>
              <w:t>  ​ ​ ​</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Active Markets for</w:t>
            </w:r>
          </w:p>
        </w:tc>
        <w:tc>
          <w:tcPr>
            <w:tcW w:w="354" w:type="dxa"/>
            <w:tcBorders/>
            <w:vAlign w:val="center"/>
          </w:tcPr>
          <w:p>
            <w:pPr>
              <w:pStyle w:val="TableContents"/>
              <w:bidi w:val="0"/>
              <w:spacing w:lineRule="auto" w:line="285" w:before="0" w:after="0"/>
              <w:ind w:left="0" w:right="0" w:hanging="0"/>
              <w:jc w:val="center"/>
              <w:rPr/>
            </w:pPr>
            <w:r>
              <w:rPr/>
              <w:t>​</w:t>
            </w:r>
          </w:p>
        </w:tc>
        <w:tc>
          <w:tcPr>
            <w:tcW w:w="166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Significant Other</w:t>
            </w:r>
          </w:p>
        </w:tc>
        <w:tc>
          <w:tcPr>
            <w:tcW w:w="354" w:type="dxa"/>
            <w:tcBorders/>
            <w:vAlign w:val="center"/>
          </w:tcPr>
          <w:p>
            <w:pPr>
              <w:pStyle w:val="TableContents"/>
              <w:bidi w:val="0"/>
              <w:spacing w:lineRule="auto" w:line="285" w:before="0" w:after="0"/>
              <w:ind w:left="0" w:right="0" w:hanging="0"/>
              <w:jc w:val="center"/>
              <w:rPr/>
            </w:pPr>
            <w:r>
              <w:rPr/>
              <w:t>​</w:t>
            </w:r>
          </w:p>
        </w:tc>
        <w:tc>
          <w:tcPr>
            <w:tcW w:w="13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Unobservable</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Identical Assets</w:t>
            </w:r>
          </w:p>
        </w:tc>
        <w:tc>
          <w:tcPr>
            <w:tcW w:w="354"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Observable Inputs</w:t>
            </w:r>
          </w:p>
        </w:tc>
        <w:tc>
          <w:tcPr>
            <w:tcW w:w="354"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Inputs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6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1)</w:t>
            </w:r>
          </w:p>
        </w:tc>
        <w:tc>
          <w:tcPr>
            <w:tcW w:w="354" w:type="dxa"/>
            <w:tcBorders/>
            <w:vAlign w:val="center"/>
          </w:tcPr>
          <w:p>
            <w:pPr>
              <w:pStyle w:val="TableContents"/>
              <w:bidi w:val="0"/>
              <w:spacing w:lineRule="auto" w:line="285" w:before="0" w:after="0"/>
              <w:ind w:left="0" w:right="0" w:hanging="0"/>
              <w:jc w:val="center"/>
              <w:rPr/>
            </w:pPr>
            <w:r>
              <w:rPr/>
              <w:t>​</w:t>
            </w:r>
          </w:p>
        </w:tc>
        <w:tc>
          <w:tcPr>
            <w:tcW w:w="16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2)</w:t>
            </w:r>
          </w:p>
        </w:tc>
        <w:tc>
          <w:tcPr>
            <w:tcW w:w="354" w:type="dxa"/>
            <w:tcBorders/>
            <w:vAlign w:val="center"/>
          </w:tcPr>
          <w:p>
            <w:pPr>
              <w:pStyle w:val="TableContents"/>
              <w:bidi w:val="0"/>
              <w:spacing w:lineRule="auto" w:line="285"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(Level 3)</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shd w:fill="CCEEFF" w:val="clear"/>
            <w:vAlign w:val="center"/>
          </w:tcPr>
          <w:p>
            <w:pPr>
              <w:pStyle w:val="TableContents"/>
              <w:bidi w:val="0"/>
              <w:spacing w:lineRule="auto" w:line="285" w:before="0" w:after="0"/>
              <w:ind w:left="0" w:right="0" w:hanging="0"/>
              <w:jc w:val="right"/>
              <w:rPr/>
            </w:pPr>
            <w:r>
              <w:rPr/>
              <w:t>​</w:t>
            </w:r>
          </w:p>
        </w:tc>
        <w:tc>
          <w:tcPr>
            <w:tcW w:w="1110"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shd w:fill="CCEEFF" w:val="clear"/>
            <w:vAlign w:val="center"/>
          </w:tcPr>
          <w:p>
            <w:pPr>
              <w:pStyle w:val="TableContents"/>
              <w:bidi w:val="0"/>
              <w:spacing w:lineRule="auto" w:line="285" w:before="0" w:after="0"/>
              <w:ind w:left="0" w:right="0" w:hanging="0"/>
              <w:jc w:val="right"/>
              <w:rPr/>
            </w:pPr>
            <w:r>
              <w:rPr/>
              <w:t>​</w:t>
            </w:r>
          </w:p>
        </w:tc>
        <w:tc>
          <w:tcPr>
            <w:tcW w:w="814"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Deferred compensation plan asset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34,964</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34,964</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395</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right"/>
              <w:rPr/>
            </w:pPr>
            <w:r>
              <w:rPr/>
              <w:t>​</w:t>
            </w:r>
          </w:p>
        </w:tc>
        <w:tc>
          <w:tcPr>
            <w:tcW w:w="1294"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shd w:fill="CCEEFF" w:val="clear"/>
            <w:vAlign w:val="center"/>
          </w:tcPr>
          <w:p>
            <w:pPr>
              <w:pStyle w:val="TableContents"/>
              <w:bidi w:val="0"/>
              <w:spacing w:lineRule="auto" w:line="285" w:before="0" w:after="0"/>
              <w:ind w:left="0" w:right="0" w:hanging="0"/>
              <w:jc w:val="right"/>
              <w:rPr/>
            </w:pPr>
            <w:r>
              <w:rPr/>
              <w:t>​</w:t>
            </w:r>
          </w:p>
        </w:tc>
        <w:tc>
          <w:tcPr>
            <w:tcW w:w="1110" w:type="dxa"/>
            <w:tcBorders/>
            <w:shd w:fill="CCEEFF" w:val="cle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shd w:fill="CCEEFF" w:val="clear"/>
            <w:vAlign w:val="center"/>
          </w:tcPr>
          <w:p>
            <w:pPr>
              <w:pStyle w:val="TableContents"/>
              <w:bidi w:val="0"/>
              <w:spacing w:lineRule="auto" w:line="285" w:before="0" w:after="0"/>
              <w:ind w:left="0" w:right="0" w:hanging="0"/>
              <w:jc w:val="right"/>
              <w:rPr/>
            </w:pPr>
            <w:r>
              <w:rPr/>
              <w:t>​</w:t>
            </w:r>
          </w:p>
        </w:tc>
        <w:tc>
          <w:tcPr>
            <w:tcW w:w="814"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right"/>
              <w:rPr/>
            </w:pPr>
            <w:r>
              <w:rPr/>
              <w:t>​</w:t>
            </w:r>
          </w:p>
        </w:tc>
        <w:tc>
          <w:tcPr>
            <w:tcW w:w="1294" w:type="dxa"/>
            <w:tcBorders/>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vAlign w:val="center"/>
          </w:tcPr>
          <w:p>
            <w:pPr>
              <w:pStyle w:val="TableContents"/>
              <w:bidi w:val="0"/>
              <w:spacing w:lineRule="auto" w:line="285" w:before="0" w:after="0"/>
              <w:ind w:left="0" w:right="0" w:hanging="0"/>
              <w:jc w:val="right"/>
              <w:rPr/>
            </w:pPr>
            <w:r>
              <w:rPr/>
              <w:t>​</w:t>
            </w:r>
          </w:p>
        </w:tc>
        <w:tc>
          <w:tcPr>
            <w:tcW w:w="1110" w:type="dxa"/>
            <w:tcBorders/>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vAlign w:val="center"/>
          </w:tcPr>
          <w:p>
            <w:pPr>
              <w:pStyle w:val="TableContents"/>
              <w:bidi w:val="0"/>
              <w:spacing w:lineRule="auto" w:line="285" w:before="0" w:after="0"/>
              <w:ind w:left="0" w:right="0" w:hanging="0"/>
              <w:jc w:val="right"/>
              <w:rPr/>
            </w:pPr>
            <w:r>
              <w:rPr/>
              <w:t>​</w:t>
            </w:r>
          </w:p>
        </w:tc>
        <w:tc>
          <w:tcPr>
            <w:tcW w:w="814"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92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Derivative instruments,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54" w:type="dxa"/>
            <w:tcBorders/>
            <w:shd w:fill="CCEEFF" w:val="clear"/>
            <w:vAlign w:val="center"/>
          </w:tcPr>
          <w:p>
            <w:pPr>
              <w:pStyle w:val="TableContents"/>
              <w:bidi w:val="0"/>
              <w:spacing w:lineRule="auto" w:line="285"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926" w:type="dxa"/>
            <w:tcBorders/>
            <w:vAlign w:val="center"/>
          </w:tcPr>
          <w:p>
            <w:pPr>
              <w:pStyle w:val="TableContents"/>
              <w:bidi w:val="0"/>
              <w:spacing w:lineRule="auto" w:line="285"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54" w:type="dxa"/>
            <w:tcBorders/>
            <w:vAlign w:val="center"/>
          </w:tcPr>
          <w:p>
            <w:pPr>
              <w:pStyle w:val="TableContents"/>
              <w:bidi w:val="0"/>
              <w:spacing w:lineRule="auto" w:line="285" w:before="0" w:after="0"/>
              <w:ind w:left="0" w:right="0" w:hanging="0"/>
              <w:jc w:val="left"/>
              <w:rPr/>
            </w:pPr>
            <w:r>
              <w:rPr/>
              <w:t>​</w:t>
            </w:r>
          </w:p>
        </w:tc>
        <w:tc>
          <w:tcPr>
            <w:tcW w:w="49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i/>
          <w:sz w:val="20"/>
        </w:rPr>
        <w:t>Deferred Compensation Plan</w:t>
      </w:r>
      <w:r>
        <w:rPr>
          <w:rFonts w:ascii="Arial;Helvetica;sans-serif" w:hAnsi="Arial;Helvetica;sans-serif"/>
          <w:sz w:val="20"/>
        </w:rPr>
        <w:t xml:space="preserve"> — The Company maintains a non-qualified deferred compensation plan for certain eligible employees. The deferred compensation asset represents the combined fair value of all the funds based on quoted values and market observable inputs.</w:t>
      </w:r>
    </w:p>
    <w:p>
      <w:pPr>
        <w:pStyle w:val="TextBody"/>
        <w:bidi w:val="0"/>
        <w:spacing w:lineRule="auto" w:line="285" w:before="0" w:after="0"/>
        <w:ind w:left="0" w:right="0" w:hanging="0"/>
        <w:jc w:val="both"/>
        <w:rPr/>
      </w:pPr>
      <w:bookmarkStart w:id="1096" w:name="_Hlk519691510"/>
      <w:bookmarkEnd w:id="1096"/>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(7)</w:t>
      </w:r>
      <w:r>
        <w:rPr>
          <w:rFonts w:ascii="Arial;Helvetica;sans-serif" w:hAnsi="Arial;Helvetica;sans-serif"/>
          <w:b/>
          <w:sz w:val="20"/>
        </w:rPr>
        <w:t>IMPAIRMENT OF ASSETS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Company evaluated the recoverability of its leasehold improvement assets at certain customer engagement centers, building and land assets, as well as all internally developed software projects. An asset group is considered to be impaired when the anticipated undiscounted future cash flows of its asset group is estimated to be less than the asset group’s carrying value. The amount of impairment recognized is the difference between the carrying value of the asset group and its fair value. To determine fair value, the Company used Level 3 inputs in its discounted cash flows analysis. Assumptions included the amount and timing of estimated future cash flows and assumed discount rates. During both the three months ended March 31, 2026 and 2025, TTEC Digital recognized insignificant impairment losses related to leasehold improvements assets, right of use lease assets, capitalized software and certain computer equipment. During the three months ended March 31, 2026 and 2025, TTEC Engage recognized impairment losses related to leasehold improvement assets, right of use lease assets, capitalized software and certain computer equipment of $0.5 million and $0.7 million, respectively. </w:t>
      </w:r>
    </w:p>
    <w:p>
      <w:pPr>
        <w:pStyle w:val="TextBody"/>
        <w:bidi w:val="0"/>
        <w:spacing w:lineRule="auto" w:line="285" w:before="0" w:after="120"/>
        <w:ind w:left="0" w:right="0" w:hanging="0"/>
        <w:jc w:val="left"/>
        <w:rPr>
          <w:rFonts w:ascii="Arial;Helvetica;sans-serif" w:hAnsi="Arial;Helvetica;sans-serif"/>
          <w:sz w:val="20"/>
        </w:rPr>
      </w:pPr>
      <w:bookmarkStart w:id="1097" w:name="_Hlk173921939"/>
      <w:bookmarkStart w:id="1098" w:name="_Hlk519691496"/>
      <w:bookmarkEnd w:id="1097"/>
      <w:bookmarkEnd w:id="1098"/>
      <w:r>
        <w:rPr>
          <w:rFonts w:ascii="Arial;Helvetica;sans-serif" w:hAnsi="Arial;Helvetica;sans-serif"/>
          <w:b/>
          <w:i w:val="false"/>
          <w:caps w:val="false"/>
          <w:smallCaps w:val="false"/>
          <w:sz w:val="20"/>
        </w:rPr>
        <w:t>(8)</w:t>
      </w:r>
      <w:r>
        <w:rPr>
          <w:rFonts w:ascii="Arial;Helvetica;sans-serif" w:hAnsi="Arial;Helvetica;sans-serif"/>
          <w:b/>
          <w:sz w:val="20"/>
        </w:rPr>
        <w:t>INCOME TAXES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accounts for income taxes in accordance with the accounting literature for income taxes, which requires recognition of deferred tax assets and liabilities for the expected future income tax consequences of transactions that have been included in the Consolidated Financial Statements. Under this method, deferred tax assets and liabilities are determined based on the difference between the financial statement and tax basis of assets and liabilities using tax rates in effect for the year in which the differences are expected to reverse. Quarterly, the Company assesses the likelihood that its net deferred tax assets will be recovered. Based on the weight of all available evidence, both positive and negative, the Company records a valuation allowance against deferred tax assets when it is more-likely-than-not that a future tax benefit will not be realized. The Company’s selection of an accounting policy with respect to both the Net CFC Tested Income (“NCTI”) and base erosion and anti-abuse tax (“BEAT”) rules is to compute the related taxes in the period the entity becomes subject to either NCTI or BEAT.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July 4, 2025, the One Big Beautiful Bill Act (“OBBBA”) was signed into law, extending key provisions of the 2017 Tax Cuts and Jobs Act. The Company has evaluated the provisions of the new law and determined there was no material impact on the Company’s consolidated financial statements.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At the end of each interim period, the Company is required to estimate its annual effective tax rate for the fiscal year and to use that rate to provide for income taxes for the current year-to-date reporting period. The Company’s 2026 estimated annual effective tax rate of 25.5%, before discrete items, is driven by the distribution of forecasted income between the U.S. and international tax jurisdictions, earnings in international jurisdictions currently under an income tax holiday, and the impact of valuation allowances in the United States and several other jurisdictions. The Company’s effective tax rate for the three months ended March 31, 2026 was 297.6%. This rate was the result of the jurisdictional mix of year-to-date income, foreign currency gains and losses and the impact of the exclusion of losses related to entities with a full valuation allowance.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Company’s U.S. income tax returns filed for the tax years ending December 31, 2020 to present, remain open tax years. The Company has been notified of the intent to audit or is currently under audit with respect to income taxes for the Philippines for tax year 2024, Canada for tax year 2021, and India for tax years 2017 through 2023. Although the outcome of examinations by taxing authorities are always uncertain, it is the opinion of management that the resolution of these audits will not have a material effect on the Company’s Consolidated Financial Statements.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Organization for Economic Co-operation and Development (OECD), supported by 140 of their member countries, have agreed to implement a minimum 15% tax rate on certain multinational enterprises and have released model guidance. This global minimum tax, known as the Pillar 2 framework, became effective across various countries in 2024, as each country works to enact legislation influenced by the OECD Pillar 2 rules. The Company does not expect the adoption of the Pillar 2 framework to have a material impact on its effective tax rate and the Company continues to evaluate additional guidance released by the OECD, along with the pending and adopted legislation in each of the countries in which it operates.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Company has been granted “Tax Holidays” as an incentive to attract foreign investment by the governments of the Philippines. Generally, a Tax Holiday is an agreement between the Company and a foreign government under which the Company receives certain tax benefits in that country, such as exemption from taxation on profits derived from export-related activities. In the Philippines, the Company has been granted multiple agreements under local laws which result in an overall reduced tax rate. These incentives have varying benefit year over year and expire at various times beginning in 2031. The aggregate benefit to income tax expense for the three months ended March 31, 2026 and 2025 was approximately $0.6 million and $0.6 million, respectively, which had an impact on diluted net income per share of $0.01 and $0.01, respectively.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bookmarkStart w:id="1099" w:name="_Hlk519691531"/>
      <w:bookmarkEnd w:id="1099"/>
      <w:r>
        <w:rPr>
          <w:rFonts w:ascii="Arial;Helvetica;sans-serif" w:hAnsi="Arial;Helvetica;sans-serif"/>
          <w:b/>
          <w:i w:val="false"/>
          <w:caps w:val="false"/>
          <w:smallCaps w:val="false"/>
          <w:sz w:val="20"/>
        </w:rPr>
        <w:t>(9)</w:t>
      </w:r>
      <w:r>
        <w:rPr>
          <w:rFonts w:ascii="Arial;Helvetica;sans-serif" w:hAnsi="Arial;Helvetica;sans-serif"/>
          <w:b/>
          <w:sz w:val="20"/>
        </w:rPr>
        <w:t>COMMITMENTS AND CONTINGENCIES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Credit Facility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On November 5, 2025, the Company entered into the Tenth Amendment, which extended the maturity date to November 23, 2027 (the “New Maturity Date”) and modified certain other material terms of the Credit Facility, including the size of the facility, pricing and certain covenants. The aggregate revolving commitment was reduced from $1.2 billion to $1.05 billion, with further reductions of $25 million each on April 1, 2026 and July 1, 2026. The letter of credit sublimit was reduced from $100 million to $50 million. Base rate loans bear interest at a rate equal to the highest of (a) the prime rate, (b) the federal funds rate plus 0.50%, and (c) SOFR in effect on such day plus 1.0%. Base rate loans shall be based on the base rate, plus the applicable credit margin of 2.0% through September 30, 2026, increasing to 5.0% thereafter. SOFR loans bear interest at a rate equal to the applicable spread adjusted SOFR plus applicable credit margin of 3.0% through September 30, 2026, increasing to spread adjusted SOFR plus 6.0% thereafter. Alternative currency loans (not denominated in U.S. Dollars) bear interest at rates applicable to their respective currencies. A one-time extension fee of 1.5% of the aggregate revolving credit commitment will be payable if the Credit Facility is still in effect on October 1, 2026. Limits on certain indebtedness, liens, investments and mergers were reduced by 50%, while acquisitions and restricted payments (subject to limited exceptions) were reduced by 100%. Certain other uses of cash were also restricted, subject to limited exceptions. The period during which certain covenant adjustments apply are as of March 31, 2026 and June 30, 2026. The maximum net leverage ratio steps down from the currently permitted 4.00 to 3.00 by Q3 2027 (TTEC’s Q1 2026 net leverage ratio is 3.77). The upfront fee payable to consenting lenders was 20 basis points of the revolving credit commitment.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Letter of credit fees are one eighth of 1% of the stated amount of the letter of credit on the date of issuance, renewal or amendment, plus an annual fee equal to the borrowing margin for SOFR loans.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Failure to comply with the financial covenants and operating restrictions set forth in the Credit Agreement could result in a default. As of the issuance of these unaudited Consolidated Financial Statements, the Company believes it has sufficient cash on hand, positive working capital, and availability to access additional cash under the Credit Facility to meet its business operating requirements and make its capital expenditures and to continue to comply with the financial covenants under the Credit Agreement for the next 12 months. The Company has the ability to reduce discretionary spending, if necessary, to maintain compliance with the financial covenants under the Credit Agreement. In the event the Company does not remain in compliance with such financial covenants, it may be required to negotiate additional amendments to, or waivers of, the terms of Credit Facility, refinance its debt, or raise additional capital.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of March 31, 2026 and December 31, 2025, the Company had borrowings of $889.0 million and $905.0 million, respectively, under its Credit Facility, and its average daily utilization was $937.9 million and $1,042.8 million for the three months ended March 31, 2026 and 2025, respectively. Based on the level of availability per the covenant calculations as of March 31, 2026, the Company’s remaining borrowing capacity was approximately $50.0 million. As of March 31, 2026, the Company was in compliance with all covenants and  conditions under its Credit Agreement.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Letters of Credit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As of March 31, 2026, outstanding letters of credit under the Credit Facility totaled $0.1 million. As of March 31, 2026, letters of credit and contract performance guarantees issued outside of the Credit Agreement totaled zero.</w:t>
      </w:r>
    </w:p>
    <w:p>
      <w:pPr>
        <w:pStyle w:val="TextBody"/>
        <w:bidi w:val="0"/>
        <w:spacing w:lineRule="auto" w:line="285" w:before="0" w:after="120"/>
        <w:ind w:left="0" w:right="0" w:hanging="0"/>
        <w:jc w:val="left"/>
        <w:rPr>
          <w:rFonts w:ascii="Arial;Helvetica;sans-serif" w:hAnsi="Arial;Helvetica;sans-serif"/>
          <w:b/>
          <w:sz w:val="20"/>
        </w:rPr>
      </w:pPr>
      <w:r>
        <w:rPr>
          <w:rFonts w:ascii="Arial;Helvetica;sans-serif" w:hAnsi="Arial;Helvetica;sans-serif"/>
          <w:b/>
          <w:sz w:val="20"/>
        </w:rPr>
        <w:t>Guarantees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Indebtedness under the Credit Agreement is guaranteed by the Company’s present and future subsidiaries.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Legal Proceedings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From time to time, the Company has been involved in legal actions, both as plaintiff and defendant, which arise in the ordinary course of business. The Company accrues for exposures associated with such legal actions to the extent that losses are deemed both probable and reasonably estimable. To the extent specific reserves have not been made for certain legal proceedings, their ultimate outcome, and consequently, an estimate of possible loss, if any, cannot reasonably be determined at this time.</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currently available information and advice received from counsel, the Company believes that the disposition or ultimate resolution of any current legal proceedings, except as otherwise specifically reserved for in its financial statements, will not have a material adverse effect on the Company’s financial position, cash flows or results of operations. In the event of unexpected further developments, however, it is possible that the ultimate resolution of these matters, or other similar matters, if unfavorable, may be materially adverse to the Company’s financial position, cash flows, or 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(10)</w:t>
      </w:r>
      <w:r>
        <w:rPr>
          <w:rFonts w:ascii="Arial;Helvetica;sans-serif" w:hAnsi="Arial;Helvetica;sans-serif"/>
          <w:b/>
          <w:sz w:val="20"/>
        </w:rPr>
        <w:t>DEFERRED REVENUE AND REMAINING PERFORMANCE OBLIGATIONS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Revenue recognized for the three months ended March 31, 2026 from amounts included in deferred revenue as of December 31, 2025 was $30.2 million. Revenue recognized for the three months ended March 31, 2025 from amounts included in deferred revenue as of December 31, 2024 was $31.3 million.</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Remaining performance obligations (“RPO”) represent the amount of contracted future revenue that has not yet been recognized, including both deferred revenue and non-cancelable contracted amounts that will be invoiced and recognized as revenue in future periods. The Company’s RPO excludes performance obligations from on-demand arrangements as there are no minimum purchase commitments associated with these arrangements, and certain time and materials contracts that are billed in arrears.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As of March 31, 2026, the Company’s RPO was $325.9 million, which will be delivered and recognized within the next five years. The Company expects to recognize approximately 59% of the RPO over the next 12 months, 26% of the RPO over the subsequent </w:t>
      </w:r>
      <w:r>
        <w:rPr>
          <w:rFonts w:ascii="Arial;Helvetica;sans-serif" w:hAnsi="Arial;Helvetica;sans-serif"/>
          <w:b w:val="false"/>
          <w:i w:val="false"/>
          <w:caps w:val="false"/>
          <w:smallCaps w:val="false"/>
          <w:sz w:val="20"/>
        </w:rPr>
        <w:t>13</w:t>
      </w:r>
      <w:r>
        <w:rPr>
          <w:rFonts w:ascii="Arial;Helvetica;sans-serif" w:hAnsi="Arial;Helvetica;sans-serif"/>
          <w:sz w:val="20"/>
        </w:rPr>
        <w:t xml:space="preserve"> to 24 months, and the </w:t>
      </w:r>
      <w:r>
        <w:rPr>
          <w:rFonts w:ascii="Arial;Helvetica;sans-serif" w:hAnsi="Arial;Helvetica;sans-serif"/>
          <w:b w:val="false"/>
          <w:i w:val="false"/>
          <w:caps w:val="false"/>
          <w:smallCaps w:val="false"/>
          <w:sz w:val="20"/>
        </w:rPr>
        <w:t>remainder</w:t>
      </w:r>
      <w:r>
        <w:rPr>
          <w:rFonts w:ascii="Arial;Helvetica;sans-serif" w:hAnsi="Arial;Helvetica;sans-serif"/>
          <w:sz w:val="20"/>
        </w:rPr>
        <w:t xml:space="preserve"> thereafter.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rFonts w:ascii="Arial;Helvetica;sans-serif" w:hAnsi="Arial;Helvetica;sans-serif"/>
          <w:sz w:val="20"/>
        </w:rPr>
      </w:pPr>
      <w:bookmarkStart w:id="1100" w:name="Tc_7zob114s0kKxrTCOiTNNAg_14_8"/>
      <w:bookmarkStart w:id="1101" w:name="Tc_LORxI8lW-kKuiTqR_fG6zQ_14_5"/>
      <w:bookmarkStart w:id="1102" w:name="Tc_V4w_QvrDKUShKBUNFqCDBA_14_2"/>
      <w:bookmarkStart w:id="1103" w:name="Tc_4fNbIlYNbUWKiZQBdtjh4w_13_8"/>
      <w:bookmarkStart w:id="1104" w:name="Tc_Q0JZiRjQSkmHkA5viJpqiQ_13_0"/>
      <w:bookmarkStart w:id="1105" w:name="Tc_qgv961GVvkS2ro_Z-7napg_12_8"/>
      <w:bookmarkStart w:id="1106" w:name="Tc_OT2rAxlmw0iFtbtB3kQMFw_12_6"/>
      <w:bookmarkStart w:id="1107" w:name="Tc_7XVARyivhES9PismgXGJOQ_12_3"/>
      <w:bookmarkStart w:id="1108" w:name="Tc_F83tcGjXW0CMS4LLBIh3lA_12_0"/>
      <w:bookmarkStart w:id="1109" w:name="Tc_JzK32C9Mp0iuwcsWNEk12w_11_8"/>
      <w:bookmarkStart w:id="1110" w:name="Tc_3z_5td-Yl0yuDez2xgIWEQ_11_5"/>
      <w:bookmarkStart w:id="1111" w:name="Tc_0zGyhHiiSESAiaTNke1xig_11_2"/>
      <w:bookmarkStart w:id="1112" w:name="Tc_3fqdT9hKX0SkJGmRyjkx_g_11_0"/>
      <w:bookmarkStart w:id="1113" w:name="Tc__b885_fUbUeO9X2zO4eDdQ_10_0"/>
      <w:bookmarkStart w:id="1114" w:name="Tc_FOJks4yfbkWJqPtYDzRHLA_8_8"/>
      <w:bookmarkStart w:id="1115" w:name="Tc_lHsnguqKo0ubwPxhcxYDOQ_8_5"/>
      <w:bookmarkStart w:id="1116" w:name="Tc_hNcdYVmN7ku_qlZZ62nzdw_8_2"/>
      <w:bookmarkStart w:id="1117" w:name="Tc_TttK35fQWUq3Dm1Kp9yCHA_7_8"/>
      <w:bookmarkStart w:id="1118" w:name="Tc_2Ho5LxlxcECTovV4h_FOPA_7_0"/>
      <w:bookmarkStart w:id="1119" w:name="Tc__E8fgiAlBUO8_IlmZyB8iA_6_8"/>
      <w:bookmarkStart w:id="1120" w:name="Tc_yoHER6f2wU2BTs5fVkJEjQ_6_5"/>
      <w:bookmarkStart w:id="1121" w:name="Tc_khDvngWRM0eYFYuIVwU7_g_6_2"/>
      <w:bookmarkStart w:id="1122" w:name="Tc_pKmbc51XtkqnTvxOKlIpsw_6_0"/>
      <w:bookmarkStart w:id="1123" w:name="Tc_E3HX98IVQUeB--whBxrsIg_5_0"/>
      <w:bookmarkStart w:id="1124" w:name="Tc_C6XN1YG9OkWA-sdU1U7ppw_4_8"/>
      <w:bookmarkStart w:id="1125" w:name="Tc_hAa6mRz0lUmESjNZdRedcQ_4_5"/>
      <w:bookmarkStart w:id="1126" w:name="Tc_GVnztSHhv02SUdsJbEutzQ_4_2"/>
      <w:bookmarkStart w:id="1127" w:name="Tc_GURYz1ULi0WbR98A9pUibQ_3_8"/>
      <w:bookmarkStart w:id="1128" w:name="Tc_4k3viM8iO0ajTaUCfIr-TA_3_2"/>
      <w:bookmarkStart w:id="1129" w:name="Tc_BwuPD89NeEirizeylTrpbg_2_8"/>
      <w:bookmarkStart w:id="1130" w:name="Tc_3_cTJDtsj0CXofDB4C1tQw_2_2"/>
      <w:bookmarkStart w:id="1131" w:name="_ef3b373c_4fb2_4ed7_918b_aa47297799e6"/>
      <w:bookmarkStart w:id="1132" w:name="_Hlk519691467"/>
      <w:bookmarkStart w:id="1133" w:name="Tc_oYWEqosrwUSB4dVLmei1xQ_20_11"/>
      <w:bookmarkStart w:id="1134" w:name="Tc_jUuSyxv4PUOXr9IpgLGtcQ_20_8"/>
      <w:bookmarkStart w:id="1135" w:name="Tc_MwppQh2q0Eqf3pXoUtpHJA_20_5"/>
      <w:bookmarkStart w:id="1136" w:name="Tc_iQ6yQxYQnkmjJXD1AkcyrA_20_2"/>
      <w:bookmarkStart w:id="1137" w:name="Tc__nBnYBMXpkqA_VMVkvrq8Q_20_0"/>
      <w:bookmarkStart w:id="1138" w:name="Tc_vYWBcbfVrU-wB9fCye2aAw_18_0"/>
      <w:bookmarkStart w:id="1139" w:name="Tc_b1t19rzXREyz3OkQwii5ig_17_0"/>
      <w:bookmarkStart w:id="1140" w:name="Tc_1zawM0eJtUCTZ_OqZ7zwmA_16_0"/>
      <w:bookmarkStart w:id="1141" w:name="Tc_fbvf_lHzEEGVzCzItimsdA_14_11"/>
      <w:bookmarkStart w:id="1142" w:name="Tc_scR7mtWkZUqTbkGb5aMywg_14_8"/>
      <w:bookmarkStart w:id="1143" w:name="Tc_rH96u6o6aEOqBqrX0kdPDQ_14_5"/>
      <w:bookmarkStart w:id="1144" w:name="Tc_gWH7zmDMTU2khGW6GDle5Q_14_2"/>
      <w:bookmarkStart w:id="1145" w:name="Tc_B7K0maJvEEyMXX1q8TkXag_14_0"/>
      <w:bookmarkStart w:id="1146" w:name="Tc_wc5-0mLOFUu3agYs245mkg_12_11"/>
      <w:bookmarkStart w:id="1147" w:name="Tc_uS8QqOuCokGNKxbUUnDsHg_12_8"/>
      <w:bookmarkStart w:id="1148" w:name="Tc_co7glaMPX06KqTeBAOCQlg_12_5"/>
      <w:bookmarkStart w:id="1149" w:name="Tc_upLbbtC03keUFNgT5lEZzQ_12_2"/>
      <w:bookmarkStart w:id="1150" w:name="Tc_VLLTOGGII02qY52BYV2VgQ_12_0"/>
      <w:bookmarkStart w:id="1151" w:name="Tc_8bhz10K0uUSuaALXfYCJCQ_10_0"/>
      <w:bookmarkStart w:id="1152" w:name="Tc_po5jH4u7eU-w8A1_dCgdYQ_9_0"/>
      <w:bookmarkStart w:id="1153" w:name="Tc_23q4NtKEj0yD9bG2E0LRPQ_8_0"/>
      <w:bookmarkStart w:id="1154" w:name="Tc_Or_ndnxFp0-gxRGZPE5R5Q_6_11"/>
      <w:bookmarkStart w:id="1155" w:name="Tc_Tv-JR0ay0kCp_Jggxqj7KQ_6_8"/>
      <w:bookmarkStart w:id="1156" w:name="Tc_SG4XrlkJfUCfF-oWAD8wUA_6_5"/>
      <w:bookmarkStart w:id="1157" w:name="Tc_SXH-GFqumUqdtvgnsql6lg_6_2"/>
      <w:bookmarkStart w:id="1158" w:name="Tc_CvmAOfBsWkKDaVj6S_AztQ_6_0"/>
      <w:bookmarkStart w:id="1159" w:name="Tc_KAoiHnClFkqH2iYkSBwGlA_4_11"/>
      <w:bookmarkStart w:id="1160" w:name="Tc_tlTk5eNq6Uyoxh3MSw-hxQ_4_8"/>
      <w:bookmarkStart w:id="1161" w:name="Tc_bVLU5BPurkO9xtgQFjihmQ_4_5"/>
      <w:bookmarkStart w:id="1162" w:name="Tc_56gy8xJonUu685pE-uFR2w_4_2"/>
      <w:bookmarkStart w:id="1163" w:name="Tc_T5IlJNp5sUCjhPgkGqxtFA_3_8"/>
      <w:bookmarkStart w:id="1164" w:name="Tc_8c-TpfvKmUa6x9Z-6zD3WQ_3_5"/>
      <w:bookmarkStart w:id="1165" w:name="Tc_UkA0F_K2XkaTzZCdzKp9ZA_3_2"/>
      <w:bookmarkStart w:id="1166" w:name="Tc_wT2e2WtUOkWdb8bIEHG-GQ_2_5"/>
      <w:bookmarkStart w:id="1167" w:name="Tc_3GsBrIFl-EqHxe4Nj0AJRg_2_2"/>
      <w:bookmarkStart w:id="1168" w:name="Tc_4btYF3ay3Ua4RWcO1eMHDA_1_2"/>
      <w:bookmarkStart w:id="1169" w:name="_3c8b305b_77eb_4ee1_809b_e1ddd68e0431"/>
      <w:bookmarkStart w:id="1170" w:name="_Hlk519691507"/>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rPr>
          <w:rFonts w:ascii="Arial;Helvetica;sans-serif" w:hAnsi="Arial;Helvetica;sans-serif"/>
          <w:b/>
          <w:i w:val="false"/>
          <w:caps w:val="false"/>
          <w:smallCaps w:val="false"/>
          <w:sz w:val="20"/>
        </w:rPr>
        <w:t>(11)</w:t>
      </w:r>
      <w:r>
        <w:rPr>
          <w:rFonts w:ascii="Arial;Helvetica;sans-serif" w:hAnsi="Arial;Helvetica;sans-serif"/>
          <w:b/>
          <w:sz w:val="20"/>
        </w:rPr>
        <w:t>ACCUMULATED OTHER COMPREHENSIVE INCOME (LOSS)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presents changes in the accumulated balance for each component of Other comprehensive income (loss), including current period other comprehensive income (loss) and reclassifications out of Accumulated other comprehensive income (loss) (in thousands):</w:t>
      </w:r>
    </w:p>
    <w:tbl>
      <w:tblPr>
        <w:tblW w:w="10205" w:type="dxa"/>
        <w:jc w:val="left"/>
        <w:tblInd w:w="0" w:type="dxa"/>
        <w:tblLayout w:type="fixed"/>
        <w:tblCellMar>
          <w:top w:w="0" w:type="dxa"/>
          <w:left w:w="0" w:type="dxa"/>
          <w:bottom w:w="0" w:type="dxa"/>
          <w:right w:w="0" w:type="dxa"/>
        </w:tblCellMar>
      </w:tblPr>
      <w:tblGrid>
        <w:gridCol w:w="4171"/>
        <w:gridCol w:w="346"/>
        <w:gridCol w:w="211"/>
        <w:gridCol w:w="894"/>
        <w:gridCol w:w="346"/>
        <w:gridCol w:w="323"/>
        <w:gridCol w:w="968"/>
        <w:gridCol w:w="346"/>
        <w:gridCol w:w="244"/>
        <w:gridCol w:w="732"/>
        <w:gridCol w:w="346"/>
        <w:gridCol w:w="211"/>
        <w:gridCol w:w="874"/>
        <w:gridCol w:w="193"/>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648585" cy="175260"/>
                      <wp:effectExtent l="0" t="0" r="0" b="0"/>
                      <wp:wrapNone/>
                      <wp:docPr id="244" name="Frame244"/>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67690" cy="175260"/>
                      <wp:effectExtent l="0" t="0" r="0" b="0"/>
                      <wp:wrapNone/>
                      <wp:docPr id="247" name="Frame247"/>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5105" cy="175260"/>
                      <wp:effectExtent l="0" t="0" r="0" b="0"/>
                      <wp:wrapNone/>
                      <wp:docPr id="249" name="Frame249"/>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14680" cy="175260"/>
                      <wp:effectExtent l="0" t="0" r="0" b="0"/>
                      <wp:wrapNone/>
                      <wp:docPr id="250" name="Frame250"/>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4940" cy="175260"/>
                      <wp:effectExtent l="0" t="0" r="0" b="0"/>
                      <wp:wrapNone/>
                      <wp:docPr id="252" name="Frame252"/>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64820" cy="175260"/>
                      <wp:effectExtent l="0" t="0" r="0" b="0"/>
                      <wp:wrapNone/>
                      <wp:docPr id="253" name="Frame253"/>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54990" cy="175260"/>
                      <wp:effectExtent l="0" t="0" r="0" b="0"/>
                      <wp:wrapNone/>
                      <wp:docPr id="256" name="Frame256"/>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2555" cy="175260"/>
                      <wp:effectExtent l="0" t="0" r="0" b="0"/>
                      <wp:wrapNone/>
                      <wp:docPr id="257" name="Frame257"/>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05"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Foreign</w:t>
            </w:r>
          </w:p>
        </w:tc>
        <w:tc>
          <w:tcPr>
            <w:tcW w:w="346" w:type="dxa"/>
            <w:tcBorders/>
            <w:vAlign w:val="center"/>
          </w:tcPr>
          <w:p>
            <w:pPr>
              <w:pStyle w:val="TableContents"/>
              <w:bidi w:val="0"/>
              <w:spacing w:lineRule="auto" w:line="285" w:before="0" w:after="0"/>
              <w:ind w:left="0" w:right="0" w:hanging="0"/>
              <w:jc w:val="center"/>
              <w:rPr/>
            </w:pPr>
            <w:r>
              <w:rPr/>
              <w:t>  ​ ​ ​</w:t>
            </w:r>
          </w:p>
        </w:tc>
        <w:tc>
          <w:tcPr>
            <w:tcW w:w="323" w:type="dxa"/>
            <w:tcBorders/>
            <w:vAlign w:val="center"/>
          </w:tcPr>
          <w:p>
            <w:pPr>
              <w:pStyle w:val="TableContents"/>
              <w:bidi w:val="0"/>
              <w:spacing w:lineRule="auto" w:line="285" w:before="0" w:after="0"/>
              <w:ind w:left="0" w:right="0" w:hanging="0"/>
              <w:jc w:val="center"/>
              <w:rPr/>
            </w:pPr>
            <w:r>
              <w:rPr/>
              <w:t>​</w:t>
            </w:r>
          </w:p>
        </w:tc>
        <w:tc>
          <w:tcPr>
            <w:tcW w:w="96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44" w:type="dxa"/>
            <w:tcBorders/>
            <w:vAlign w:val="center"/>
          </w:tcPr>
          <w:p>
            <w:pPr>
              <w:pStyle w:val="TableContents"/>
              <w:bidi w:val="0"/>
              <w:spacing w:lineRule="auto" w:line="285" w:before="0" w:after="0"/>
              <w:ind w:left="0" w:right="0" w:hanging="0"/>
              <w:jc w:val="center"/>
              <w:rPr/>
            </w:pPr>
            <w:r>
              <w:rPr/>
              <w:t>​</w:t>
            </w:r>
          </w:p>
        </w:tc>
        <w:tc>
          <w:tcPr>
            <w:tcW w:w="73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1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2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Derivative</w:t>
            </w:r>
          </w:p>
        </w:tc>
        <w:tc>
          <w:tcPr>
            <w:tcW w:w="346" w:type="dxa"/>
            <w:tcBorders/>
            <w:vAlign w:val="center"/>
          </w:tcPr>
          <w:p>
            <w:pPr>
              <w:pStyle w:val="TableContents"/>
              <w:bidi w:val="0"/>
              <w:spacing w:lineRule="auto" w:line="285" w:before="0" w:after="0"/>
              <w:ind w:left="0" w:right="0" w:hanging="0"/>
              <w:jc w:val="center"/>
              <w:rPr/>
            </w:pPr>
            <w:r>
              <w:rPr/>
              <w:t>​</w:t>
            </w:r>
          </w:p>
        </w:tc>
        <w:tc>
          <w:tcPr>
            <w:tcW w:w="244" w:type="dxa"/>
            <w:tcBorders/>
            <w:vAlign w:val="center"/>
          </w:tcPr>
          <w:p>
            <w:pPr>
              <w:pStyle w:val="TableContents"/>
              <w:bidi w:val="0"/>
              <w:spacing w:lineRule="auto" w:line="285" w:before="0" w:after="0"/>
              <w:ind w:left="0" w:right="0" w:hanging="0"/>
              <w:jc w:val="center"/>
              <w:rPr/>
            </w:pPr>
            <w:r>
              <w:rPr/>
              <w:t>​</w:t>
            </w:r>
          </w:p>
        </w:tc>
        <w:tc>
          <w:tcPr>
            <w:tcW w:w="73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Translation</w:t>
            </w:r>
          </w:p>
        </w:tc>
        <w:tc>
          <w:tcPr>
            <w:tcW w:w="346" w:type="dxa"/>
            <w:tcBorders/>
            <w:vAlign w:val="center"/>
          </w:tcPr>
          <w:p>
            <w:pPr>
              <w:pStyle w:val="TableContents"/>
              <w:bidi w:val="0"/>
              <w:spacing w:lineRule="auto" w:line="285" w:before="0" w:after="0"/>
              <w:ind w:left="0" w:right="0" w:hanging="0"/>
              <w:jc w:val="center"/>
              <w:rPr/>
            </w:pPr>
            <w:r>
              <w:rPr/>
              <w:t>​</w:t>
            </w:r>
          </w:p>
        </w:tc>
        <w:tc>
          <w:tcPr>
            <w:tcW w:w="1291"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Valuation, Net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Other, Net</w:t>
            </w:r>
          </w:p>
        </w:tc>
        <w:tc>
          <w:tcPr>
            <w:tcW w:w="346"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874"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Adjustment</w:t>
            </w:r>
          </w:p>
        </w:tc>
        <w:tc>
          <w:tcPr>
            <w:tcW w:w="346" w:type="dxa"/>
            <w:tcBorders/>
            <w:vAlign w:val="center"/>
          </w:tcPr>
          <w:p>
            <w:pPr>
              <w:pStyle w:val="TableContents"/>
              <w:bidi w:val="0"/>
              <w:spacing w:lineRule="auto" w:line="285" w:before="0" w:after="0"/>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of Tax</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of Tax</w:t>
            </w:r>
          </w:p>
        </w:tc>
        <w:tc>
          <w:tcPr>
            <w:tcW w:w="346" w:type="dxa"/>
            <w:tcBorders/>
            <w:vAlign w:val="center"/>
          </w:tcPr>
          <w:p>
            <w:pPr>
              <w:pStyle w:val="TableContents"/>
              <w:bidi w:val="0"/>
              <w:spacing w:lineRule="auto" w:line="285"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Totals</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December 31, 2024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(123,821)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(5,583)</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(2,717)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(132,121)</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comprehensive income (loss) before reclassifications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9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shd w:fill="CCEEFF" w:val="clear"/>
            <w:vAlign w:val="center"/>
          </w:tcPr>
          <w:p>
            <w:pPr>
              <w:pStyle w:val="TableContents"/>
              <w:bidi w:val="0"/>
              <w:spacing w:lineRule="auto" w:line="285" w:before="0" w:after="0"/>
              <w:ind w:left="0" w:right="0" w:hanging="0"/>
              <w:jc w:val="right"/>
              <w:rPr/>
            </w:pPr>
            <w:r>
              <w:rPr/>
              <w:t> </w:t>
            </w:r>
          </w:p>
        </w:tc>
        <w:tc>
          <w:tcPr>
            <w:tcW w:w="96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2,340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right"/>
              <w:rPr/>
            </w:pPr>
            <w:r>
              <w:rPr/>
              <w:t> </w:t>
            </w:r>
          </w:p>
        </w:tc>
        <w:tc>
          <w:tcPr>
            <w:tcW w:w="7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8,968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Amounts reclassified from accumulated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128</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current period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6,622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2,468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9,148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March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(117,199)</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(3,115)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(2,659)</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(122,973)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(102,275)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(1,874)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(2,789)</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(106,938)</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comprehensive income (loss) before reclassifications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9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(4,924)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shd w:fill="CCEEFF" w:val="clear"/>
            <w:vAlign w:val="center"/>
          </w:tcPr>
          <w:p>
            <w:pPr>
              <w:pStyle w:val="TableContents"/>
              <w:bidi w:val="0"/>
              <w:spacing w:lineRule="auto" w:line="285" w:before="0" w:after="0"/>
              <w:ind w:left="0" w:right="0" w:hanging="0"/>
              <w:jc w:val="right"/>
              <w:rPr/>
            </w:pPr>
            <w:r>
              <w:rPr/>
              <w:t>​</w:t>
            </w:r>
          </w:p>
        </w:tc>
        <w:tc>
          <w:tcPr>
            <w:tcW w:w="968"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right"/>
              <w:rPr/>
            </w:pPr>
            <w:r>
              <w:rPr/>
              <w:t>​</w:t>
            </w:r>
          </w:p>
        </w:tc>
        <w:tc>
          <w:tcPr>
            <w:tcW w:w="732"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87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(6,593)</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Amounts reclassified from accumulated other comprehensive income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(126)</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current period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8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(6,719)</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r>
        <w:trPr/>
        <w:tc>
          <w:tcPr>
            <w:tcW w:w="41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9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righ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right"/>
              <w:rPr/>
            </w:pPr>
            <w:r>
              <w:rPr/>
              <w:t>​</w:t>
            </w:r>
          </w:p>
        </w:tc>
        <w:tc>
          <w:tcPr>
            <w:tcW w:w="7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874"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41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Accumulated other comprehensive income (loss) at March 31,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(107,301)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(3,630)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(113,657)</w:t>
            </w:r>
          </w:p>
        </w:tc>
        <w:tc>
          <w:tcPr>
            <w:tcW w:w="1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table presents the classification and amount of the reclassifications from Accumulated other comprehensive income (loss) to the Statement of Comprehensive Income (Loss) (in thousands):</w:t>
      </w:r>
    </w:p>
    <w:tbl>
      <w:tblPr>
        <w:tblW w:w="10205" w:type="dxa"/>
        <w:jc w:val="left"/>
        <w:tblInd w:w="0" w:type="dxa"/>
        <w:tblLayout w:type="fixed"/>
        <w:tblCellMar>
          <w:top w:w="0" w:type="dxa"/>
          <w:left w:w="0" w:type="dxa"/>
          <w:bottom w:w="0" w:type="dxa"/>
          <w:right w:w="0" w:type="dxa"/>
        </w:tblCellMar>
      </w:tblPr>
      <w:tblGrid>
        <w:gridCol w:w="4402"/>
        <w:gridCol w:w="346"/>
        <w:gridCol w:w="307"/>
        <w:gridCol w:w="635"/>
        <w:gridCol w:w="503"/>
        <w:gridCol w:w="307"/>
        <w:gridCol w:w="787"/>
        <w:gridCol w:w="346"/>
        <w:gridCol w:w="2414"/>
        <w:gridCol w:w="158"/>
      </w:tblGrid>
      <w:tr>
        <w:trPr/>
        <w:tc>
          <w:tcPr>
            <w:tcW w:w="4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795270" cy="175260"/>
                      <wp:effectExtent l="0" t="0" r="0" b="0"/>
                      <wp:wrapNone/>
                      <wp:docPr id="258" name="Frame258"/>
                      <a:graphic xmlns:a="http://schemas.openxmlformats.org/drawingml/2006/main">
                        <a:graphicData uri="http://schemas.microsoft.com/office/word/2010/wordprocessingShape">
                          <wps:wsp>
                            <wps:cNvSpPr txBox="1"/>
                            <wps:spPr>
                              <a:xfrm>
                                <a:off x="0" y="0"/>
                                <a:ext cx="279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94945" cy="175260"/>
                      <wp:effectExtent l="0" t="0" r="0" b="0"/>
                      <wp:wrapNone/>
                      <wp:docPr id="260" name="Frame26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03225" cy="175260"/>
                      <wp:effectExtent l="0" t="0" r="0" b="0"/>
                      <wp:wrapNone/>
                      <wp:docPr id="261" name="Frame261"/>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19405" cy="175260"/>
                      <wp:effectExtent l="0" t="0" r="0" b="0"/>
                      <wp:wrapNone/>
                      <wp:docPr id="262" name="Frame262"/>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94945" cy="175260"/>
                      <wp:effectExtent l="0" t="0" r="0" b="0"/>
                      <wp:wrapNone/>
                      <wp:docPr id="263" name="Frame26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99745" cy="175260"/>
                      <wp:effectExtent l="0" t="0" r="0" b="0"/>
                      <wp:wrapNone/>
                      <wp:docPr id="264" name="Frame26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532890" cy="175260"/>
                      <wp:effectExtent l="0" t="0" r="0" b="0"/>
                      <wp:wrapNone/>
                      <wp:docPr id="266" name="Frame266"/>
                      <a:graphic xmlns:a="http://schemas.openxmlformats.org/drawingml/2006/main">
                        <a:graphicData uri="http://schemas.microsoft.com/office/word/2010/wordprocessingShape">
                          <wps:wsp>
                            <wps:cNvSpPr txBox="1"/>
                            <wps:spPr>
                              <a:xfrm>
                                <a:off x="0" y="0"/>
                                <a:ext cx="1532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00330" cy="175260"/>
                      <wp:effectExtent l="0" t="0" r="0" b="0"/>
                      <wp:wrapNone/>
                      <wp:docPr id="267" name="Frame267"/>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40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635"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4"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39" w:type="dxa"/>
            <w:gridSpan w:val="5"/>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lineRule="auto" w:line="285" w:before="0" w:after="0"/>
              <w:ind w:left="0" w:right="0" w:hanging="0"/>
              <w:jc w:val="center"/>
              <w:rPr/>
            </w:pPr>
            <w:r>
              <w:rPr/>
              <w:t>​</w:t>
            </w:r>
          </w:p>
        </w:tc>
        <w:tc>
          <w:tcPr>
            <w:tcW w:w="2414"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Statement of</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3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March 31, </w:t>
            </w:r>
          </w:p>
        </w:tc>
        <w:tc>
          <w:tcPr>
            <w:tcW w:w="346" w:type="dxa"/>
            <w:tcBorders/>
            <w:vAlign w:val="center"/>
          </w:tcPr>
          <w:p>
            <w:pPr>
              <w:pStyle w:val="TableContents"/>
              <w:bidi w:val="0"/>
              <w:spacing w:lineRule="auto" w:line="285" w:before="0" w:after="0"/>
              <w:ind w:left="0" w:right="0" w:hanging="0"/>
              <w:jc w:val="center"/>
              <w:rPr/>
            </w:pPr>
            <w:r>
              <w:rPr/>
              <w:t>​</w:t>
            </w:r>
          </w:p>
        </w:tc>
        <w:tc>
          <w:tcPr>
            <w:tcW w:w="2414"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Comprehensive Income</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4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503" w:type="dxa"/>
            <w:tcBorders/>
            <w:vAlign w:val="center"/>
          </w:tcPr>
          <w:p>
            <w:pPr>
              <w:pStyle w:val="TableContents"/>
              <w:bidi w:val="0"/>
              <w:spacing w:lineRule="auto" w:line="285" w:before="0" w:after="0"/>
              <w:ind w:left="0" w:right="0" w:hanging="0"/>
              <w:jc w:val="center"/>
              <w:rPr/>
            </w:pPr>
            <w:r>
              <w:rPr/>
              <w:t>  ​ ​ ​</w:t>
            </w:r>
          </w:p>
        </w:tc>
        <w:tc>
          <w:tcPr>
            <w:tcW w:w="109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lineRule="auto" w:line="285" w:before="0" w:after="0"/>
              <w:ind w:left="0" w:right="0" w:hanging="0"/>
              <w:jc w:val="center"/>
              <w:rPr/>
            </w:pPr>
            <w:r>
              <w:rPr/>
              <w:t>  ​ ​ ​</w:t>
            </w:r>
          </w:p>
        </w:tc>
        <w:tc>
          <w:tcPr>
            <w:tcW w:w="241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(Loss) Classification</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Derivative valuation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right"/>
              <w:rPr/>
            </w:pPr>
            <w:r>
              <w:rPr/>
              <w:t>​</w:t>
            </w:r>
          </w:p>
        </w:tc>
        <w:tc>
          <w:tcPr>
            <w:tcW w:w="635" w:type="dxa"/>
            <w:tcBorders/>
            <w:shd w:fill="CCEEFF" w:val="clear"/>
            <w:vAlign w:val="center"/>
          </w:tcPr>
          <w:p>
            <w:pPr>
              <w:pStyle w:val="TableContents"/>
              <w:bidi w:val="0"/>
              <w:spacing w:lineRule="auto" w:line="285" w:before="0" w:after="0"/>
              <w:ind w:left="0" w:right="0" w:hanging="0"/>
              <w:jc w:val="right"/>
              <w:rPr/>
            </w:pPr>
            <w:r>
              <w:rPr/>
              <w:t>​</w:t>
            </w:r>
          </w:p>
        </w:tc>
        <w:tc>
          <w:tcPr>
            <w:tcW w:w="503"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4" w:type="dxa"/>
            <w:tcBorders/>
            <w:shd w:fill="CCEEFF" w:val="clear"/>
            <w:vAlign w:val="center"/>
          </w:tcPr>
          <w:p>
            <w:pPr>
              <w:pStyle w:val="TableContents"/>
              <w:bidi w:val="0"/>
              <w:spacing w:lineRule="auto" w:line="285" w:before="0" w:after="0"/>
              <w:ind w:left="0" w:right="0" w:hanging="0"/>
              <w:jc w:val="left"/>
              <w:rPr/>
            </w:pPr>
            <w:r>
              <w:rPr/>
              <w:t>​</w:t>
            </w:r>
          </w:p>
        </w:tc>
        <w:tc>
          <w:tcPr>
            <w:tcW w:w="158" w:type="dxa"/>
            <w:tcBorders/>
            <w:shd w:fill="CCEEFF" w:val="clear"/>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Gain on foreign currency forward exchange contracts</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5"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109</w:t>
            </w:r>
          </w:p>
        </w:tc>
        <w:tc>
          <w:tcPr>
            <w:tcW w:w="503"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(173)</w:t>
            </w:r>
          </w:p>
        </w:tc>
        <w:tc>
          <w:tcPr>
            <w:tcW w:w="346" w:type="dxa"/>
            <w:tcBorders/>
            <w:vAlign w:val="center"/>
          </w:tcPr>
          <w:p>
            <w:pPr>
              <w:pStyle w:val="TableContents"/>
              <w:bidi w:val="0"/>
              <w:spacing w:lineRule="auto" w:line="285" w:before="0" w:after="0"/>
              <w:ind w:left="0" w:right="0" w:hanging="0"/>
              <w:jc w:val="left"/>
              <w:rPr/>
            </w:pPr>
            <w:r>
              <w:rPr/>
              <w:t> </w:t>
            </w:r>
          </w:p>
        </w:tc>
        <w:tc>
          <w:tcPr>
            <w:tcW w:w="241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Tax effect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6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w:t>
            </w:r>
          </w:p>
        </w:tc>
        <w:tc>
          <w:tcPr>
            <w:tcW w:w="503"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1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158" w:type="dxa"/>
            <w:tcBorders/>
            <w:shd w:fill="CCEEFF" w:val="clear"/>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81</w:t>
            </w:r>
          </w:p>
        </w:tc>
        <w:tc>
          <w:tcPr>
            <w:tcW w:w="503" w:type="dxa"/>
            <w:tcBorders/>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(128)</w:t>
            </w:r>
          </w:p>
        </w:tc>
        <w:tc>
          <w:tcPr>
            <w:tcW w:w="346" w:type="dxa"/>
            <w:tcBorders/>
            <w:vAlign w:val="center"/>
          </w:tcPr>
          <w:p>
            <w:pPr>
              <w:pStyle w:val="TableContents"/>
              <w:bidi w:val="0"/>
              <w:spacing w:lineRule="auto" w:line="285" w:before="0" w:after="0"/>
              <w:ind w:left="0" w:right="0" w:hanging="0"/>
              <w:jc w:val="left"/>
              <w:rPr/>
            </w:pPr>
            <w:r>
              <w:rPr/>
              <w:t> </w:t>
            </w:r>
          </w:p>
        </w:tc>
        <w:tc>
          <w:tcPr>
            <w:tcW w:w="241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right"/>
              <w:rPr/>
            </w:pPr>
            <w:r>
              <w:rPr/>
              <w:t>​</w:t>
            </w:r>
          </w:p>
        </w:tc>
        <w:tc>
          <w:tcPr>
            <w:tcW w:w="635" w:type="dxa"/>
            <w:tcBorders/>
            <w:shd w:fill="CCEEFF" w:val="clear"/>
            <w:vAlign w:val="center"/>
          </w:tcPr>
          <w:p>
            <w:pPr>
              <w:pStyle w:val="TableContents"/>
              <w:bidi w:val="0"/>
              <w:spacing w:lineRule="auto" w:line="285" w:before="0" w:after="0"/>
              <w:ind w:left="0" w:right="0" w:hanging="0"/>
              <w:jc w:val="right"/>
              <w:rPr/>
            </w:pPr>
            <w:r>
              <w:rPr/>
              <w:t>​</w:t>
            </w:r>
          </w:p>
        </w:tc>
        <w:tc>
          <w:tcPr>
            <w:tcW w:w="503"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4" w:type="dxa"/>
            <w:tcBorders/>
            <w:shd w:fill="CCEEFF" w:val="clear"/>
            <w:vAlign w:val="center"/>
          </w:tcPr>
          <w:p>
            <w:pPr>
              <w:pStyle w:val="TableContents"/>
              <w:bidi w:val="0"/>
              <w:spacing w:lineRule="auto" w:line="285" w:before="0" w:after="0"/>
              <w:ind w:left="0" w:right="0" w:hanging="0"/>
              <w:jc w:val="left"/>
              <w:rPr/>
            </w:pPr>
            <w:r>
              <w:rPr/>
              <w:t>​</w:t>
            </w:r>
          </w:p>
        </w:tc>
        <w:tc>
          <w:tcPr>
            <w:tcW w:w="158" w:type="dxa"/>
            <w:tcBorders/>
            <w:shd w:fill="CCEEFF" w:val="clear"/>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right"/>
              <w:rPr/>
            </w:pPr>
            <w:r>
              <w:rPr/>
              <w:t>​</w:t>
            </w:r>
          </w:p>
        </w:tc>
        <w:tc>
          <w:tcPr>
            <w:tcW w:w="635" w:type="dxa"/>
            <w:tcBorders/>
            <w:vAlign w:val="center"/>
          </w:tcPr>
          <w:p>
            <w:pPr>
              <w:pStyle w:val="TableContents"/>
              <w:bidi w:val="0"/>
              <w:spacing w:lineRule="auto" w:line="285" w:before="0" w:after="0"/>
              <w:ind w:left="0" w:right="0" w:hanging="0"/>
              <w:jc w:val="righ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4"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Actuarial loss on defined benefit plan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5"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(63)</w:t>
            </w:r>
          </w:p>
        </w:tc>
        <w:tc>
          <w:tcPr>
            <w:tcW w:w="503"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1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158" w:type="dxa"/>
            <w:tcBorders/>
            <w:shd w:fill="CCEEFF" w:val="clear"/>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Gain on liquidation</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635" w:type="dxa"/>
            <w:tcBorders/>
            <w:vAlign w:val="center"/>
          </w:tcPr>
          <w:p>
            <w:pPr>
              <w:pStyle w:val="TableContents"/>
              <w:bidi w:val="0"/>
              <w:spacing w:lineRule="auto" w:line="285" w:before="0" w:after="0"/>
              <w:ind w:left="0" w:right="0" w:hanging="0"/>
              <w:jc w:val="righ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307" w:type="dxa"/>
            <w:tcBorders/>
            <w:vAlign w:val="center"/>
          </w:tcPr>
          <w:p>
            <w:pPr>
              <w:pStyle w:val="TableContents"/>
              <w:bidi w:val="0"/>
              <w:spacing w:lineRule="auto" w:line="285" w:before="0" w:after="0"/>
              <w:ind w:left="0" w:right="0" w:hanging="0"/>
              <w:jc w:val="left"/>
              <w:rPr/>
            </w:pPr>
            <w:r>
              <w:rPr/>
              <w:t>​</w:t>
            </w:r>
          </w:p>
        </w:tc>
        <w:tc>
          <w:tcPr>
            <w:tcW w:w="78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Other income (expense), net</w:t>
            </w:r>
          </w:p>
        </w:tc>
        <w:tc>
          <w:tcPr>
            <w:tcW w:w="158" w:type="dxa"/>
            <w:tcBorders/>
            <w:vAlign w:val="center"/>
          </w:tcPr>
          <w:p>
            <w:pPr>
              <w:pStyle w:val="TableContents"/>
              <w:bidi w:val="0"/>
              <w:spacing w:lineRule="auto" w:line="285" w:before="0" w:after="0"/>
              <w:ind w:left="0" w:right="0" w:hanging="0"/>
              <w:jc w:val="left"/>
              <w:rPr/>
            </w:pPr>
            <w:r>
              <w:rPr/>
              <w:t>​</w:t>
            </w:r>
          </w:p>
        </w:tc>
      </w:tr>
      <w:tr>
        <w:trPr/>
        <w:tc>
          <w:tcPr>
            <w:tcW w:w="4402"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Tax effect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6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503" w:type="dxa"/>
            <w:tcBorders/>
            <w:shd w:fill="CCEEFF" w:val="clear"/>
            <w:vAlign w:val="center"/>
          </w:tcPr>
          <w:p>
            <w:pPr>
              <w:pStyle w:val="TableContents"/>
              <w:bidi w:val="0"/>
              <w:spacing w:lineRule="auto" w:line="285"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414"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Provision for income taxes</w:t>
            </w:r>
          </w:p>
        </w:tc>
        <w:tc>
          <w:tcPr>
            <w:tcW w:w="158" w:type="dxa"/>
            <w:tcBorders/>
            <w:shd w:fill="CCEEFF" w:val="clear"/>
            <w:vAlign w:val="center"/>
          </w:tcPr>
          <w:p>
            <w:pPr>
              <w:pStyle w:val="TableContents"/>
              <w:bidi w:val="0"/>
              <w:spacing w:lineRule="auto" w:line="285" w:before="0" w:after="0"/>
              <w:ind w:left="0" w:right="0" w:hanging="0"/>
              <w:jc w:val="left"/>
              <w:rPr/>
            </w:pPr>
            <w:r>
              <w:rPr/>
              <w:t>​</w:t>
            </w:r>
          </w:p>
        </w:tc>
      </w:tr>
      <w:tr>
        <w:trPr/>
        <w:tc>
          <w:tcPr>
            <w:tcW w:w="440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w:t>
            </w:r>
          </w:p>
        </w:tc>
        <w:tc>
          <w:tcPr>
            <w:tcW w:w="503" w:type="dxa"/>
            <w:tcBorders/>
            <w:vAlign w:val="center"/>
          </w:tcPr>
          <w:p>
            <w:pPr>
              <w:pStyle w:val="TableContents"/>
              <w:bidi w:val="0"/>
              <w:spacing w:lineRule="auto" w:line="285"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(52)</w:t>
            </w:r>
          </w:p>
        </w:tc>
        <w:tc>
          <w:tcPr>
            <w:tcW w:w="346" w:type="dxa"/>
            <w:tcBorders/>
            <w:vAlign w:val="center"/>
          </w:tcPr>
          <w:p>
            <w:pPr>
              <w:pStyle w:val="TableContents"/>
              <w:bidi w:val="0"/>
              <w:spacing w:lineRule="auto" w:line="285" w:before="0" w:after="0"/>
              <w:ind w:left="0" w:right="0" w:hanging="0"/>
              <w:jc w:val="left"/>
              <w:rPr/>
            </w:pPr>
            <w:r>
              <w:rPr/>
              <w:t> </w:t>
            </w:r>
          </w:p>
        </w:tc>
        <w:tc>
          <w:tcPr>
            <w:tcW w:w="2414"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158"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bookmarkStart w:id="1171" w:name="_Hlk172279915"/>
      <w:bookmarkStart w:id="1172" w:name="Tc_C10fMVLyXUiazXQfEViCEw_9_0"/>
      <w:bookmarkStart w:id="1173" w:name="Tc_xom-M3dByEiTbjOmuBJN6g_8_0"/>
      <w:bookmarkStart w:id="1174" w:name="Tc_RG5KeMUx5kOFxzuVXvNLYA_7_0"/>
      <w:bookmarkStart w:id="1175" w:name="Tc_KvBYqDzkTUyg8fRIYqBaGA_6_0"/>
      <w:bookmarkStart w:id="1176" w:name="Tc_93-GMUgBBUyboP56nErbUw_5_0"/>
      <w:bookmarkStart w:id="1177" w:name="Tc_adRpGhyaXkC0xxOZX2VsIw_4_0"/>
      <w:bookmarkStart w:id="1178" w:name="Tc_i69w9Ww9ek6sytUm6nL5OA_2_5"/>
      <w:bookmarkStart w:id="1179" w:name="Tc_GFz0wLIzD0yktWJwe_0yQA_2_3"/>
      <w:bookmarkStart w:id="1180" w:name="Tc_8aTczvDOKEmNBjDMfp52EQ_1_3"/>
      <w:bookmarkStart w:id="1181" w:name="_84662d54_6253_411c_a021_f0ce7b8f8090"/>
      <w:bookmarkStart w:id="1182" w:name="_Hlk519691542"/>
      <w:bookmarkEnd w:id="1171"/>
      <w:bookmarkEnd w:id="1172"/>
      <w:bookmarkEnd w:id="1173"/>
      <w:bookmarkEnd w:id="1174"/>
      <w:bookmarkEnd w:id="1175"/>
      <w:bookmarkEnd w:id="1176"/>
      <w:bookmarkEnd w:id="1177"/>
      <w:bookmarkEnd w:id="1178"/>
      <w:bookmarkEnd w:id="1179"/>
      <w:bookmarkEnd w:id="1180"/>
      <w:bookmarkEnd w:id="1181"/>
      <w:bookmarkEnd w:id="1182"/>
      <w:r>
        <w:rPr>
          <w:rFonts w:ascii="Arial;Helvetica;sans-serif" w:hAnsi="Arial;Helvetica;sans-serif"/>
          <w:b/>
          <w:i w:val="false"/>
          <w:caps w:val="false"/>
          <w:smallCaps w:val="false"/>
          <w:sz w:val="20"/>
        </w:rPr>
        <w:t>(12)</w:t>
      </w:r>
      <w:r>
        <w:rPr>
          <w:rFonts w:ascii="Arial;Helvetica;sans-serif" w:hAnsi="Arial;Helvetica;sans-serif"/>
          <w:b/>
          <w:sz w:val="20"/>
        </w:rPr>
        <w:t>WEIGHTED AVERAGE SHARE COUNTS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sets forth the computation of basic and diluted shares for the periods indicated (in thousands):</w:t>
      </w:r>
    </w:p>
    <w:tbl>
      <w:tblPr>
        <w:tblW w:w="8028" w:type="dxa"/>
        <w:jc w:val="left"/>
        <w:tblInd w:w="0" w:type="dxa"/>
        <w:tblLayout w:type="fixed"/>
        <w:tblCellMar>
          <w:top w:w="0" w:type="dxa"/>
          <w:left w:w="0" w:type="dxa"/>
          <w:bottom w:w="0" w:type="dxa"/>
          <w:right w:w="0" w:type="dxa"/>
        </w:tblCellMar>
      </w:tblPr>
      <w:tblGrid>
        <w:gridCol w:w="4501"/>
        <w:gridCol w:w="346"/>
        <w:gridCol w:w="346"/>
        <w:gridCol w:w="1063"/>
        <w:gridCol w:w="543"/>
        <w:gridCol w:w="1229"/>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858135" cy="175260"/>
                      <wp:effectExtent l="0" t="0" r="0" b="0"/>
                      <wp:wrapNone/>
                      <wp:docPr id="268" name="Frame268"/>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75005" cy="175260"/>
                      <wp:effectExtent l="0" t="0" r="0" b="0"/>
                      <wp:wrapNone/>
                      <wp:docPr id="271" name="Frame271"/>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44805" cy="175260"/>
                      <wp:effectExtent l="0" t="0" r="0" b="0"/>
                      <wp:wrapNone/>
                      <wp:docPr id="272" name="Frame27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80415" cy="175260"/>
                      <wp:effectExtent l="0" t="0" r="0" b="0"/>
                      <wp:wrapNone/>
                      <wp:docPr id="273" name="Frame273"/>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835"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106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543" w:type="dxa"/>
            <w:tcBorders/>
            <w:vAlign w:val="center"/>
          </w:tcPr>
          <w:p>
            <w:pPr>
              <w:pStyle w:val="TableContents"/>
              <w:bidi w:val="0"/>
              <w:spacing w:lineRule="auto" w:line="285" w:before="0" w:after="0"/>
              <w:ind w:left="0" w:right="0" w:hanging="0"/>
              <w:jc w:val="center"/>
              <w:rPr/>
            </w:pPr>
            <w:r>
              <w:rPr/>
              <w:t>  ​ ​ ​</w:t>
            </w:r>
          </w:p>
        </w:tc>
        <w:tc>
          <w:tcPr>
            <w:tcW w:w="122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3" w:type="dxa"/>
            <w:tcBorders/>
            <w:vAlign w:val="center"/>
          </w:tcPr>
          <w:p>
            <w:pPr>
              <w:pStyle w:val="TableContents"/>
              <w:bidi w:val="0"/>
              <w:spacing w:lineRule="auto" w:line="285" w:before="0" w:after="0"/>
              <w:ind w:left="0" w:right="0" w:hanging="0"/>
              <w:jc w:val="right"/>
              <w:rPr/>
            </w:pPr>
            <w:r>
              <w:rPr/>
              <w:t>​</w:t>
            </w:r>
          </w:p>
        </w:tc>
        <w:tc>
          <w:tcPr>
            <w:tcW w:w="543" w:type="dxa"/>
            <w:tcBorders/>
            <w:vAlign w:val="center"/>
          </w:tcPr>
          <w:p>
            <w:pPr>
              <w:pStyle w:val="TableContents"/>
              <w:bidi w:val="0"/>
              <w:spacing w:lineRule="auto" w:line="285" w:before="0" w:after="0"/>
              <w:ind w:left="0" w:right="0" w:hanging="0"/>
              <w:jc w:val="left"/>
              <w:rPr/>
            </w:pPr>
            <w:r>
              <w:rPr/>
              <w:t>​</w:t>
            </w:r>
          </w:p>
        </w:tc>
        <w:tc>
          <w:tcPr>
            <w:tcW w:w="1229" w:type="dxa"/>
            <w:tcBorders/>
            <w:vAlign w:val="center"/>
          </w:tcPr>
          <w:p>
            <w:pPr>
              <w:pStyle w:val="TableContents"/>
              <w:bidi w:val="0"/>
              <w:spacing w:lineRule="auto" w:line="285" w:before="0" w:after="0"/>
              <w:ind w:left="0" w:right="0" w:hanging="0"/>
              <w:jc w:val="right"/>
              <w:rPr/>
            </w:pPr>
            <w:r>
              <w:rPr/>
              <w:t>​</w:t>
            </w:r>
          </w:p>
        </w:tc>
      </w:tr>
      <w:tr>
        <w:trPr/>
        <w:tc>
          <w:tcPr>
            <w:tcW w:w="45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Shares used in basic earnings per share calculation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6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48,580</w:t>
            </w:r>
          </w:p>
        </w:tc>
        <w:tc>
          <w:tcPr>
            <w:tcW w:w="543" w:type="dxa"/>
            <w:tcBorders/>
            <w:shd w:fill="CCEEFF" w:val="clear"/>
            <w:vAlign w:val="center"/>
          </w:tcPr>
          <w:p>
            <w:pPr>
              <w:pStyle w:val="TableContents"/>
              <w:bidi w:val="0"/>
              <w:spacing w:lineRule="auto" w:line="285" w:before="0" w:after="0"/>
              <w:ind w:left="0" w:right="0" w:hanging="0"/>
              <w:jc w:val="left"/>
              <w:rPr/>
            </w:pPr>
            <w:r>
              <w:rPr/>
              <w:t> </w:t>
            </w:r>
          </w:p>
        </w:tc>
        <w:tc>
          <w:tcPr>
            <w:tcW w:w="12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47,771</w:t>
            </w:r>
          </w:p>
        </w:tc>
      </w:tr>
      <w:tr>
        <w:trPr/>
        <w:tc>
          <w:tcPr>
            <w:tcW w:w="450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Effect of dilutive securities:</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3" w:type="dxa"/>
            <w:tcBorders/>
            <w:vAlign w:val="center"/>
          </w:tcPr>
          <w:p>
            <w:pPr>
              <w:pStyle w:val="TableContents"/>
              <w:bidi w:val="0"/>
              <w:spacing w:lineRule="auto" w:line="285" w:before="0" w:after="0"/>
              <w:ind w:left="0" w:right="0" w:hanging="0"/>
              <w:jc w:val="right"/>
              <w:rPr/>
            </w:pPr>
            <w:r>
              <w:rPr/>
              <w:t>​</w:t>
            </w:r>
          </w:p>
        </w:tc>
        <w:tc>
          <w:tcPr>
            <w:tcW w:w="543" w:type="dxa"/>
            <w:tcBorders/>
            <w:vAlign w:val="center"/>
          </w:tcPr>
          <w:p>
            <w:pPr>
              <w:pStyle w:val="TableContents"/>
              <w:bidi w:val="0"/>
              <w:spacing w:lineRule="auto" w:line="285" w:before="0" w:after="0"/>
              <w:ind w:left="0" w:right="0" w:hanging="0"/>
              <w:jc w:val="left"/>
              <w:rPr/>
            </w:pPr>
            <w:r>
              <w:rPr/>
              <w:t>​</w:t>
            </w:r>
          </w:p>
        </w:tc>
        <w:tc>
          <w:tcPr>
            <w:tcW w:w="1229" w:type="dxa"/>
            <w:tcBorders/>
            <w:vAlign w:val="center"/>
          </w:tcPr>
          <w:p>
            <w:pPr>
              <w:pStyle w:val="TableContents"/>
              <w:bidi w:val="0"/>
              <w:spacing w:lineRule="auto" w:line="285" w:before="0" w:after="0"/>
              <w:ind w:left="0" w:right="0" w:hanging="0"/>
              <w:jc w:val="right"/>
              <w:rPr/>
            </w:pPr>
            <w:r>
              <w:rPr/>
              <w:t>​</w:t>
            </w:r>
          </w:p>
        </w:tc>
      </w:tr>
      <w:tr>
        <w:trPr/>
        <w:tc>
          <w:tcPr>
            <w:tcW w:w="45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Restricted stock units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63" w:type="dxa"/>
            <w:tcBorders/>
            <w:shd w:fill="CCEEFF" w:val="clear"/>
            <w:vAlign w:val="center"/>
          </w:tcPr>
          <w:p>
            <w:pPr>
              <w:pStyle w:val="TableContents"/>
              <w:bidi w:val="0"/>
              <w:spacing w:lineRule="auto" w:line="285" w:before="0" w:after="0"/>
              <w:ind w:left="0" w:right="0" w:hanging="0"/>
              <w:jc w:val="right"/>
              <w:rPr/>
            </w:pPr>
            <w:r>
              <w:rPr/>
              <w:t>—</w:t>
            </w:r>
          </w:p>
        </w:tc>
        <w:tc>
          <w:tcPr>
            <w:tcW w:w="543" w:type="dxa"/>
            <w:tcBorders/>
            <w:shd w:fill="CCEEFF" w:val="clear"/>
            <w:vAlign w:val="center"/>
          </w:tcPr>
          <w:p>
            <w:pPr>
              <w:pStyle w:val="TableContents"/>
              <w:bidi w:val="0"/>
              <w:spacing w:lineRule="auto" w:line="285" w:before="0" w:after="0"/>
              <w:ind w:left="0" w:right="0" w:hanging="0"/>
              <w:jc w:val="left"/>
              <w:rPr/>
            </w:pPr>
            <w:r>
              <w:rPr/>
              <w:t> </w:t>
            </w:r>
          </w:p>
        </w:tc>
        <w:tc>
          <w:tcPr>
            <w:tcW w:w="12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454</w:t>
            </w:r>
          </w:p>
        </w:tc>
      </w:tr>
      <w:tr>
        <w:trPr/>
        <w:tc>
          <w:tcPr>
            <w:tcW w:w="450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Performance-based restricted stock units</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543" w:type="dxa"/>
            <w:tcBorders/>
            <w:vAlign w:val="center"/>
          </w:tcPr>
          <w:p>
            <w:pPr>
              <w:pStyle w:val="TableContents"/>
              <w:bidi w:val="0"/>
              <w:spacing w:lineRule="auto" w:line="285" w:before="0" w:after="0"/>
              <w:ind w:left="0" w:right="0" w:hanging="0"/>
              <w:jc w:val="left"/>
              <w:rPr/>
            </w:pPr>
            <w:r>
              <w:rPr/>
              <w:t> </w:t>
            </w:r>
          </w:p>
        </w:tc>
        <w:tc>
          <w:tcPr>
            <w:tcW w:w="12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450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effects of dilutive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543" w:type="dxa"/>
            <w:tcBorders/>
            <w:shd w:fill="CCEEFF" w:val="clear"/>
            <w:vAlign w:val="center"/>
          </w:tcPr>
          <w:p>
            <w:pPr>
              <w:pStyle w:val="TableContents"/>
              <w:bidi w:val="0"/>
              <w:spacing w:lineRule="auto" w:line="285" w:before="0" w:after="0"/>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454</w:t>
            </w:r>
          </w:p>
        </w:tc>
      </w:tr>
      <w:tr>
        <w:trPr/>
        <w:tc>
          <w:tcPr>
            <w:tcW w:w="450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Shares used in dilutive earnings per share calculation</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6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48,580</w:t>
            </w:r>
          </w:p>
        </w:tc>
        <w:tc>
          <w:tcPr>
            <w:tcW w:w="543" w:type="dxa"/>
            <w:tcBorders/>
            <w:vAlign w:val="center"/>
          </w:tcPr>
          <w:p>
            <w:pPr>
              <w:pStyle w:val="TableContents"/>
              <w:bidi w:val="0"/>
              <w:spacing w:lineRule="auto" w:line="285" w:before="0" w:after="0"/>
              <w:ind w:left="0" w:right="0" w:hanging="0"/>
              <w:jc w:val="left"/>
              <w:rPr/>
            </w:pPr>
            <w:r>
              <w:rPr/>
              <w:t> </w:t>
            </w:r>
          </w:p>
        </w:tc>
        <w:tc>
          <w:tcPr>
            <w:tcW w:w="1229"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Arial;Helvetica;sans-serif" w:hAnsi="Arial;Helvetica;sans-serif"/>
                <w:sz w:val="18"/>
              </w:rPr>
            </w:pPr>
            <w:r>
              <w:rPr>
                <w:rFonts w:ascii="Arial;Helvetica;sans-serif" w:hAnsi="Arial;Helvetica;sans-serif"/>
                <w:sz w:val="18"/>
              </w:rPr>
              <w:t>48,225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For the three months ended March 31, 2026 and 2025, there were 2.3 million and 2.5 million outstanding Restricted Stock Units (“RSUs”), respectively, that were excluded from the computation of diluted net income per share because the effect would have been anti-dilutive.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Arial;Helvetica;sans-serif" w:hAnsi="Arial;Helvetica;sans-serif"/>
          <w:sz w:val="20"/>
        </w:rPr>
      </w:pPr>
      <w:bookmarkStart w:id="1183" w:name="Tc_-gjDMiJ6qUWBfIXy_fyrPQ_6_5"/>
      <w:bookmarkStart w:id="1184" w:name="Tc_B6ruA9LKlkK_-4CYDeJVQA_6_2"/>
      <w:bookmarkStart w:id="1185" w:name="Tc_jGu3W1esHUOKkqX-P_UNzA_6_0"/>
      <w:bookmarkStart w:id="1186" w:name="Tc_pEvZpKIZokSLy4iNgNaSlA_5_0"/>
      <w:bookmarkStart w:id="1187" w:name="Tc_9RCwx8tFE0uuql5PuGmETA_4_5"/>
      <w:bookmarkStart w:id="1188" w:name="Tc_XCtGLajPYkiDiKWGvR-BXw_4_2"/>
      <w:bookmarkStart w:id="1189" w:name="Tc_EHDrrO6XDUycvm0EF1XDjw_4_0"/>
      <w:bookmarkStart w:id="1190" w:name="Tc_x3Y6yvP9-0iXUYaDQ4-8vw_2_5"/>
      <w:bookmarkStart w:id="1191" w:name="Tc_rbTsl6dQJU6UKNbSGG97Xg_2_2"/>
      <w:bookmarkStart w:id="1192" w:name="Tc_d-_20gdnM06mjPMc-TZaVQ_1_2"/>
      <w:bookmarkStart w:id="1193" w:name="_2849dac7_c47b_4589_85ac_68e0913a6e81"/>
      <w:bookmarkStart w:id="1194" w:name="_Hlk519691476"/>
      <w:bookmarkEnd w:id="1183"/>
      <w:bookmarkEnd w:id="1184"/>
      <w:bookmarkEnd w:id="1185"/>
      <w:bookmarkEnd w:id="1186"/>
      <w:bookmarkEnd w:id="1187"/>
      <w:bookmarkEnd w:id="1188"/>
      <w:bookmarkEnd w:id="1189"/>
      <w:bookmarkEnd w:id="1190"/>
      <w:bookmarkEnd w:id="1191"/>
      <w:bookmarkEnd w:id="1192"/>
      <w:bookmarkEnd w:id="1193"/>
      <w:bookmarkEnd w:id="1194"/>
      <w:r>
        <w:rPr>
          <w:rFonts w:ascii="Arial;Helvetica;sans-serif" w:hAnsi="Arial;Helvetica;sans-serif"/>
          <w:b/>
          <w:i w:val="false"/>
          <w:caps w:val="false"/>
          <w:smallCaps w:val="false"/>
          <w:sz w:val="20"/>
        </w:rPr>
        <w:t>(13)</w:t>
      </w:r>
      <w:r>
        <w:rPr>
          <w:rFonts w:ascii="Arial;Helvetica;sans-serif" w:hAnsi="Arial;Helvetica;sans-serif"/>
          <w:b/>
          <w:sz w:val="20"/>
        </w:rPr>
        <w:t>EQUITY-BASED COMPENSATION PLANS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All equity-based awards to employees are recognized in the Consolidated Statements of Comprehensive Income (Loss) at the fair value of the award on the grant date.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tables present the total equity-based compensation expense for the three months ended March 31, 2026 and 2025 (in thousands):</w:t>
      </w:r>
    </w:p>
    <w:tbl>
      <w:tblPr>
        <w:tblW w:w="10205" w:type="dxa"/>
        <w:jc w:val="left"/>
        <w:tblInd w:w="0" w:type="dxa"/>
        <w:tblLayout w:type="fixed"/>
        <w:tblCellMar>
          <w:top w:w="0" w:type="dxa"/>
          <w:left w:w="0" w:type="dxa"/>
          <w:bottom w:w="0" w:type="dxa"/>
          <w:right w:w="0" w:type="dxa"/>
        </w:tblCellMar>
      </w:tblPr>
      <w:tblGrid>
        <w:gridCol w:w="6909"/>
        <w:gridCol w:w="346"/>
        <w:gridCol w:w="347"/>
        <w:gridCol w:w="940"/>
        <w:gridCol w:w="178"/>
        <w:gridCol w:w="347"/>
        <w:gridCol w:w="944"/>
        <w:gridCol w:w="194"/>
      </w:tblGrid>
      <w:tr>
        <w:trPr/>
        <w:tc>
          <w:tcPr>
            <w:tcW w:w="6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215" cy="175260"/>
                      <wp:effectExtent l="0" t="0" r="0" b="0"/>
                      <wp:wrapNone/>
                      <wp:docPr id="274" name="Frame274"/>
                      <a:graphic xmlns:a="http://schemas.openxmlformats.org/drawingml/2006/main">
                        <a:graphicData uri="http://schemas.microsoft.com/office/word/2010/wordprocessingShape">
                          <wps:wsp>
                            <wps:cNvSpPr txBox="1"/>
                            <wps:spPr>
                              <a:xfrm>
                                <a:off x="0" y="0"/>
                                <a:ext cx="4387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20345" cy="175260"/>
                      <wp:effectExtent l="0" t="0" r="0" b="0"/>
                      <wp:wrapNone/>
                      <wp:docPr id="276" name="Frame27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96900" cy="175260"/>
                      <wp:effectExtent l="0" t="0" r="0" b="0"/>
                      <wp:wrapNone/>
                      <wp:docPr id="277" name="Frame277"/>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13030" cy="175260"/>
                      <wp:effectExtent l="0" t="0" r="0" b="0"/>
                      <wp:wrapNone/>
                      <wp:docPr id="278" name="Frame278"/>
                      <a:graphic xmlns:a="http://schemas.openxmlformats.org/drawingml/2006/main">
                        <a:graphicData uri="http://schemas.microsoft.com/office/word/2010/wordprocessingShape">
                          <wps:wsp>
                            <wps:cNvSpPr txBox="1"/>
                            <wps:spPr>
                              <a:xfrm>
                                <a:off x="0" y="0"/>
                                <a:ext cx="113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20345" cy="175260"/>
                      <wp:effectExtent l="0" t="0" r="0" b="0"/>
                      <wp:wrapNone/>
                      <wp:docPr id="279" name="Frame27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99440" cy="175260"/>
                      <wp:effectExtent l="0" t="0" r="0" b="0"/>
                      <wp:wrapNone/>
                      <wp:docPr id="280" name="Frame280"/>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3190" cy="175260"/>
                      <wp:effectExtent l="0" t="0" r="0" b="0"/>
                      <wp:wrapNone/>
                      <wp:docPr id="281" name="Frame28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9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5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194" w:type="dxa"/>
            <w:tcBorders/>
            <w:vAlign w:val="center"/>
          </w:tcPr>
          <w:p>
            <w:pPr>
              <w:pStyle w:val="TableContents"/>
              <w:bidi w:val="0"/>
              <w:spacing w:lineRule="auto" w:line="285" w:before="0" w:after="0"/>
              <w:ind w:left="0" w:right="0" w:hanging="0"/>
              <w:jc w:val="left"/>
              <w:rPr/>
            </w:pPr>
            <w:r>
              <w:rPr/>
              <w:t> </w:t>
            </w:r>
          </w:p>
        </w:tc>
      </w:tr>
      <w:tr>
        <w:trPr/>
        <w:tc>
          <w:tcPr>
            <w:tcW w:w="69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2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78" w:type="dxa"/>
            <w:tcBorders/>
            <w:vAlign w:val="center"/>
          </w:tcPr>
          <w:p>
            <w:pPr>
              <w:pStyle w:val="TableContents"/>
              <w:bidi w:val="0"/>
              <w:spacing w:lineRule="auto" w:line="285" w:before="0" w:after="0"/>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4" w:type="dxa"/>
            <w:tcBorders/>
            <w:vAlign w:val="center"/>
          </w:tcPr>
          <w:p>
            <w:pPr>
              <w:pStyle w:val="TableContents"/>
              <w:bidi w:val="0"/>
              <w:spacing w:lineRule="auto" w:line="285" w:before="0" w:after="0"/>
              <w:ind w:left="0" w:right="0" w:hanging="0"/>
              <w:jc w:val="left"/>
              <w:rPr/>
            </w:pPr>
            <w:r>
              <w:rPr/>
              <w:t> </w:t>
            </w:r>
          </w:p>
        </w:tc>
      </w:tr>
      <w:tr>
        <w:trPr/>
        <w:tc>
          <w:tcPr>
            <w:tcW w:w="69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7" w:type="dxa"/>
            <w:tcBorders/>
            <w:vAlign w:val="center"/>
          </w:tcPr>
          <w:p>
            <w:pPr>
              <w:pStyle w:val="TableContents"/>
              <w:bidi w:val="0"/>
              <w:spacing w:lineRule="auto" w:line="285" w:before="0" w:after="0"/>
              <w:ind w:left="0" w:right="0" w:hanging="0"/>
              <w:jc w:val="left"/>
              <w:rPr/>
            </w:pPr>
            <w:r>
              <w:rPr/>
              <w:t>​</w:t>
            </w:r>
          </w:p>
        </w:tc>
        <w:tc>
          <w:tcPr>
            <w:tcW w:w="940" w:type="dxa"/>
            <w:tcBorders/>
            <w:vAlign w:val="center"/>
          </w:tcPr>
          <w:p>
            <w:pPr>
              <w:pStyle w:val="TableContents"/>
              <w:bidi w:val="0"/>
              <w:spacing w:lineRule="auto" w:line="285" w:before="0" w:after="0"/>
              <w:ind w:left="0" w:right="0" w:hanging="0"/>
              <w:jc w:val="right"/>
              <w:rPr/>
            </w:pPr>
            <w:r>
              <w:rPr/>
              <w:t>​</w:t>
            </w:r>
          </w:p>
        </w:tc>
        <w:tc>
          <w:tcPr>
            <w:tcW w:w="178" w:type="dxa"/>
            <w:tcBorders/>
            <w:vAlign w:val="center"/>
          </w:tcPr>
          <w:p>
            <w:pPr>
              <w:pStyle w:val="TableContents"/>
              <w:bidi w:val="0"/>
              <w:spacing w:lineRule="auto" w:line="285" w:before="0" w:after="0"/>
              <w:ind w:left="0" w:right="0" w:hanging="0"/>
              <w:jc w:val="left"/>
              <w:rPr/>
            </w:pPr>
            <w:r>
              <w:rPr/>
              <w:t>​</w:t>
            </w:r>
          </w:p>
        </w:tc>
        <w:tc>
          <w:tcPr>
            <w:tcW w:w="347" w:type="dxa"/>
            <w:tcBorders/>
            <w:vAlign w:val="center"/>
          </w:tcPr>
          <w:p>
            <w:pPr>
              <w:pStyle w:val="TableContents"/>
              <w:bidi w:val="0"/>
              <w:spacing w:lineRule="auto" w:line="285" w:before="0" w:after="0"/>
              <w:ind w:left="0" w:right="0" w:hanging="0"/>
              <w:jc w:val="left"/>
              <w:rPr/>
            </w:pPr>
            <w:r>
              <w:rPr/>
              <w:t>​</w:t>
            </w:r>
          </w:p>
        </w:tc>
        <w:tc>
          <w:tcPr>
            <w:tcW w:w="944" w:type="dxa"/>
            <w:tcBorders/>
            <w:vAlign w:val="center"/>
          </w:tcPr>
          <w:p>
            <w:pPr>
              <w:pStyle w:val="TableContents"/>
              <w:bidi w:val="0"/>
              <w:spacing w:lineRule="auto" w:line="285" w:before="0" w:after="0"/>
              <w:ind w:left="0" w:right="0" w:hanging="0"/>
              <w:jc w:val="right"/>
              <w:rPr/>
            </w:pPr>
            <w:r>
              <w:rPr/>
              <w:t>​</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90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 recognized in Cost of services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0"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853</w:t>
            </w:r>
          </w:p>
        </w:tc>
        <w:tc>
          <w:tcPr>
            <w:tcW w:w="178" w:type="dxa"/>
            <w:tcBorders/>
            <w:shd w:fill="CCEEFF" w:val="clear"/>
            <w:vAlign w:val="center"/>
          </w:tcPr>
          <w:p>
            <w:pPr>
              <w:pStyle w:val="TableContents"/>
              <w:bidi w:val="0"/>
              <w:spacing w:lineRule="auto" w:line="285" w:before="0" w:after="0"/>
              <w:ind w:left="0" w:right="0" w:hanging="0"/>
              <w:jc w:val="left"/>
              <w:rPr/>
            </w:pPr>
            <w:r>
              <w:rPr/>
              <w:t>​</w:t>
            </w:r>
          </w:p>
        </w:tc>
        <w:tc>
          <w:tcPr>
            <w:tcW w:w="347"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4"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1,128</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690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Equity-based compensation expense recognized in Selling, 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1,973</w:t>
            </w:r>
          </w:p>
        </w:tc>
        <w:tc>
          <w:tcPr>
            <w:tcW w:w="178" w:type="dxa"/>
            <w:tcBorders/>
            <w:vAlign w:val="center"/>
          </w:tcPr>
          <w:p>
            <w:pPr>
              <w:pStyle w:val="TableContents"/>
              <w:bidi w:val="0"/>
              <w:spacing w:lineRule="auto" w:line="285"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2,122</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690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Total 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2,826</w:t>
            </w:r>
          </w:p>
        </w:tc>
        <w:tc>
          <w:tcPr>
            <w:tcW w:w="178" w:type="dxa"/>
            <w:tcBorders/>
            <w:shd w:fill="CCEEFF" w:val="clear"/>
            <w:vAlign w:val="center"/>
          </w:tcPr>
          <w:p>
            <w:pPr>
              <w:pStyle w:val="TableContents"/>
              <w:bidi w:val="0"/>
              <w:spacing w:lineRule="auto" w:line="285"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3,250</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Restricted Stock Unit Grants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During the three months ended March 31, 2026 and 2025, the Company granted 275,378 and 116,188 RSUs, respectively, to new and existing employees, which vest over </w:t>
      </w:r>
      <w:r>
        <w:rPr>
          <w:rFonts w:ascii="Arial;Helvetica;sans-serif" w:hAnsi="Arial;Helvetica;sans-serif"/>
          <w:b w:val="false"/>
          <w:i w:val="false"/>
          <w:caps w:val="false"/>
          <w:smallCaps w:val="false"/>
          <w:sz w:val="20"/>
        </w:rPr>
        <w:t>three</w:t>
      </w:r>
      <w:r>
        <w:rPr>
          <w:rFonts w:ascii="Arial;Helvetica;sans-serif" w:hAnsi="Arial;Helvetica;sans-serif"/>
          <w:sz w:val="20"/>
        </w:rPr>
        <w:t xml:space="preserve"> to five years. The Company recognized compensation expense related to RSUs of $2.8 million and $3.3 million for the three months ended March 31, 2026 and 2025, respectively. As of March 31, 2026, there was approximately $13.2 million of total unrecognized compensation cost (including the impact of expected forfeitures) related to RSUs granted under the Company’s equity plans.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Performance Based Restricted Stock Unit Grants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2022, the Company granted awards of two different performance-based RSU (“PRSU”) programs that are subject to service and performance vesting conditions: ordinary course annual PRSUs and one-time stretch financial goals PRSUs. For the ordinary course annual PRSUs, if defined minimum targets were met, the annual value of the PRSUs issued would have been between $0.9 million and $3.5 million and the PRSUs would have vested in March 2025. If the defined minimum targets were not met, then no shares would be issued. The number of shares awarded would have been based on the Company’s annual revenue and adjusted EBITDA for fiscal year 2024. For the 2022 ordinary course annual PRSUs, no shares were issued in March 2025 as defined minimum targets were not met. For the one-time stretch financial goals PRSUs, no shares were issued in March 2026 as defined minimum targets were not met.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2023, the Company awarded PRSUs to senior executives that were subject to service and performance vesting conditions. If defined minimum targets were met, the annual value of the PRSUs issued would have been between zero and $8.9 million and the PRSUs would have vested in 2026. If the defined minimum targets were not met, then no shares would be issued. The number of shares awarded would have been based on the Company’s annual revenue and adjusted EBITDA for fiscal year 2025. For the 2023 PRSUs, no shares were issued in March 2026 as defined minimum targets were not met.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fourth quarter of 2024, the Company awarded PRSUs to senior executives that are subject to service and performance vesting conditions. If defined minimum targets are met, the annual value of the PRSUs will be between zero and $4.0 million and the PRSUs will vest in 2027. If the defined minimum targets are not met, then no PRSUs will be issued. The number of PRSUs awarded will be based on the Company’s annual revenue and adjusted EBITDA for fiscal year 2026 and on TTEC Digital’s annual revenue and adjusted EBITDA for fiscal year 2026. The Company did not recognize any compensation expense related to these awards for the three months ended March 31, 2026, as they were not deemed probable of being achieved.</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(14)</w:t>
      </w:r>
      <w:r>
        <w:rPr>
          <w:rFonts w:ascii="Arial;Helvetica;sans-serif" w:hAnsi="Arial;Helvetica;sans-serif"/>
          <w:b/>
          <w:sz w:val="20"/>
        </w:rPr>
        <w:t>NON-QUALIFIED DEFERRED COMPENSATION PLAN</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The Company maintains a </w:t>
      </w:r>
      <w:r>
        <w:rPr>
          <w:rFonts w:ascii="Arial;Helvetica;sans-serif" w:hAnsi="Arial;Helvetica;sans-serif"/>
          <w:b w:val="false"/>
          <w:i w:val="false"/>
          <w:caps w:val="false"/>
          <w:smallCaps w:val="false"/>
          <w:sz w:val="20"/>
        </w:rPr>
        <w:t>non-qualified</w:t>
      </w:r>
      <w:r>
        <w:rPr>
          <w:rFonts w:ascii="Arial;Helvetica;sans-serif" w:hAnsi="Arial;Helvetica;sans-serif"/>
          <w:sz w:val="20"/>
        </w:rPr>
        <w:t xml:space="preserve"> deferred compensation plan for executive officers and other eligible employees that permits such employees to defer a portion of their compensation, on a pretax basis, until after their termination of employment. The plan allows for deferral of up to 75% of a participant’s base salary, bonus, commissions, and any amounts that U.S. highly compensated employees are limited from contributing into TTEC’s Deferred Tax Retirement Savings Plan (the “401K Plan”). All amounts deferred under the plan are unfunded, unsecured obligations and are recorded within Other long-term liabilities in the accompanying Consolidated Condensed Balance Sheets. In the event of bankruptcy, the assets of this plan are available to satisfy the claims of general creditors. Participants may choose among alternative earnings rates for the amounts they defer, which are primarily based on investment options within the 401K Plan. Amounts contributed and deferred under the Plan are credited or charged with the performance of investment options offered under the plan as elected by the participants. The Company manages the risk of changes in the fair value of the liability for deferred compensation by electing to match its liability under the plan with investment vehicles that offset a portion of its exposure including a Company owned life insurance policy held in a rabbi trust. In the fourth quarter of 2024 the Company suspended additional deferrals into the Plan until further notice.</w:t>
      </w:r>
    </w:p>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TTEC HOLDINGS, INC. AND SUBSIDIARIES</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Notes to Consolidated Financial Statements</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lineRule="auto" w:line="285" w:before="0" w:after="120"/>
        <w:ind w:left="0" w:right="0" w:hanging="0"/>
        <w:jc w:val="left"/>
        <w:rPr>
          <w:rFonts w:ascii="Arial;Helvetica;sans-serif" w:hAnsi="Arial;Helvetica;sans-serif"/>
          <w:sz w:val="20"/>
        </w:rPr>
      </w:pPr>
      <w:bookmarkStart w:id="1195" w:name="_Hlk519691490"/>
      <w:bookmarkEnd w:id="1195"/>
      <w:r>
        <w:rPr>
          <w:rFonts w:ascii="Arial;Helvetica;sans-serif" w:hAnsi="Arial;Helvetica;sans-serif"/>
          <w:b/>
          <w:i w:val="false"/>
          <w:caps w:val="false"/>
          <w:smallCaps w:val="false"/>
          <w:sz w:val="20"/>
        </w:rPr>
        <w:t>(15)</w:t>
      </w:r>
      <w:r>
        <w:rPr>
          <w:rFonts w:ascii="Arial;Helvetica;sans-serif" w:hAnsi="Arial;Helvetica;sans-serif"/>
          <w:b/>
          <w:sz w:val="20"/>
        </w:rPr>
        <w:t>RELATED PARTY TRANSACTIONS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entered into an agreement under which Avion, LLC (“Avion”) and Airmax LLC (“Airmax”) provide certain aviation flight services as requested by the Company. Such services include the use of an aircraft and flight crew. Kenneth D. Tuchman, Chairman and Chief Executive Officer of the Company, has an indirect 100% beneficial ownership interest in Avion and Airmax. During the three months ended March 31, 2026 and 2025, the Company expensed $0.3 million and $0.2 million, respectively, to Avion and Airmax for services provided to the Company. There was $79 thousand in payments due and outstanding to Avion and Airmax as of March 31, 2026.</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2025, the Company entered into service agreements with Mantucket Capital Management Corporation (“Mantucket”) to provide staff augmentation and cloud migration services. Kenneth D. Tuchman, Chairman and Chief Executive Officer of the Company, beneficially owns 100% of the equity of Mantucket. During the three months ended March 31, 2026, the Company recognized revenue under these agreements of $0.1 million.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bookmarkStart w:id="1196" w:name="_c8a5a513_bb06_4ea1_8484_f3731201caeb"/>
      <w:bookmarkEnd w:id="1196"/>
      <w:r>
        <w:rPr>
          <w:rFonts w:ascii="Arial;Helvetica;sans-serif" w:hAnsi="Arial;Helvetica;sans-serif"/>
          <w:b/>
          <w:sz w:val="20"/>
        </w:rPr>
        <w:t>CAUTIONARY NOTE REGARDING FORWARD LOOKING STATEMENTS</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Section 27A of the Securities Act of 1933, Section 21E of the Securities Exchange Act of 1934, and the Private Securities Litigation Reform Act of 1995. Forward-looking statements include, but are not limited to, statements regarding our operations, expected financial condition, results of operation, effective tax rate, cash flow, leverage, liquidity, business strategy, competitive position, demand for our services in international operations, acquisition opportunities and impact of acquisitions, capital allocation and dividends, growth opportunities, spending, capital expenditures and investments, competition and market forecasts, industry trends, our human capital resources, and other business matters that are based on our current expectations, assumptions, and projections with respect to the future, and are not a guarantee of performance.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this report, when we use words such as “may,” “believe,” “plan,” “will,” “anticipate,” “estimate,” “expect,” “intend,” “project,” “would,” “could,” “target,” or similar expressions, or when we discuss our strategy, plans, goals, initiatives, or objectives, we are making forward-looking statements. Unless otherwise indicated or except where the context otherwise requires, the terms “TTEC,” “the Company,” “we,” “us” and “our” and other similar terms in this report refer to TTEC Holdings, Inc. and its subsidiaries.</w:t>
      </w:r>
    </w:p>
    <w:p>
      <w:pPr>
        <w:pStyle w:val="TextBody"/>
        <w:bidi w:val="0"/>
        <w:spacing w:lineRule="auto" w:line="285" w:before="0" w:after="120"/>
        <w:ind w:left="0" w:right="0" w:hanging="0"/>
        <w:jc w:val="both"/>
        <w:rPr/>
      </w:pPr>
      <w:r>
        <w:rPr>
          <w:rFonts w:ascii="Arial;Helvetica;sans-serif" w:hAnsi="Arial;Helvetica;sans-serif"/>
          <w:sz w:val="20"/>
        </w:rPr>
        <w:t xml:space="preserve">We caution you not to rely unduly on any forward-looking statements. Actual results may differ materially from those expressed in the forward-looking statements, and you should review and consider carefully the risks, uncertainties, and other factors that affect our business and may cause such differences as outlined in Part II Item 1A. Risk Factors of this report and Item 1A. Risk Factors in our Annual Report on </w:t>
      </w:r>
      <w:hyperlink r:id="rId3">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 xml:space="preserve">Important factors that could cause our actual results to differ materially from those indicated in the forward looking statements include, among others, risks related to our strategic execution in a competitive market, our ability to innovate and introduce technologies that are sufficiently disruptive to allow us to maintain and grow our market share such as the effective adoption of artificial intelligence into our solutions, our leverage and debt service obligations related risks, risks specific to the terms of our credit facility, risks related to the financial and operating restrictions built into our credit agreement, risks related to the changes in client service demands and the level of effort and capacity forecasting, risks related to our cost containment efforts, risks specific to outsourcing trends and the prices that clients are willing to pay to outsource services that we provide, uncertainties tied to goodwill, assets and strategic investment impairments, risks inherent in M&amp;A activity, revenue risks specific to client concentration in our TTEC Engage business segment, risks specific to our technology partners in our TTEC Digital business segment and to the impact on our business due to TTEC Digital clients’ transition to public cloud and SaaS solutions, risks specific to our public sector business, risks specific to our clients seeking to transfer to us risks related to cybersecurity, data privacy and emerging technologies that we cannot control or mitigate, risks specific to our remote delivery model, risks specific to our ability to recruit and retail labor at the right price point to meet changing business demands, risks specific to our operational controls and employee misconduct, risks arising from our long sales cycles and lead time to revenue, risks tied to our ability to meet our clients’ geographic footprint expansions, operational risks that arise from events outside of our control, risks specific to cost and availability of labor, telecommunication services and energy that cannot be passed on to clients, risks tied to contracting terms typical in our industry that lead to revenue volatility and impact profitability, risks related to disruption to our information technology systems, cybersecurity events and unauthorized data access, reliance on communication and utility services provided by third parties, risks specific to use of AI technologies in our client offerings and in how we run our business, and our growing reliance on third parties for data, cloud and SaaS services, risks specific to uncertainties and inconsistencies in privacy, data protection and AI oversight laws, the high cost of compliance with such laws and business impacts if we fail to comply, high cost and reputational damage of wage and hour, ADA, and ERISA class action lawsuits, risks specific to the uncertainties in AI regulatory environments, risks specific to IP protection and infringement, risks inherent in the changes in income tax rates, ability to timely secure and maintain licenses needed to support certain regulated lines of business, and risks specific to the interpretations of transfer pricing arrangements, risks specific to our operations outside of the U.S., risks inherent in our geographic concentration in certain markets where weather and regulatory environment may represent significant challenges, risks inherent in our capital structure, our controlling shareholder risk, risks related to the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price and trading volumes of our common stock being affected by factors that we cannot fully impact or control, risks inherent in our dividend and stock repurchase policies, risks specific to being a Delaware company and provisions in our charter documents that may discourage, delay or prevent change in control events potentially depressing the price of our common stock, risks arising from the fact that we are asking our stockholders to approve redomestication of the Company from Delaware to Texas as disclosed in our proxy statement for our 2026 annual meeting of stockholders, filed with the United States Securities and Exchange Commission (“SEC”) on April 10, 2026, and the fact that our chairman and chief executive officer has control over matters requiring shareholder action potentially impacting our stock price and making it less attractive to investors.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forward-looking statements speak only as of the date that this report is filed with the SEC. We undertake no obligation to update them, except as may be required by applicable law. Although we believe that our forward-looking statements are reasonable, they depend on many factors outside of our control and we can provide no assurance that they will prove to be correct. You should, however, consult any subsequent disclosures we make in our filings with the SEC on Forms 10-Q or 8-K.</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Arial;Helvetica;sans-serif" w:hAnsi="Arial;Helvetica;sans-serif"/>
          <w:b/>
          <w:sz w:val="20"/>
        </w:rPr>
      </w:pPr>
      <w:bookmarkStart w:id="1197" w:name="ITEM2_MANAGEMENTSDISCUSSIONANDAN_112048"/>
      <w:bookmarkStart w:id="1198" w:name="_118a4a71_129d_48d6_b0ac_e30acaebd0ca"/>
      <w:bookmarkEnd w:id="1197"/>
      <w:bookmarkEnd w:id="1198"/>
      <w:r>
        <w:rPr>
          <w:rFonts w:ascii="Arial;Helvetica;sans-serif" w:hAnsi="Arial;Helvetica;sans-serif"/>
          <w:b/>
          <w:sz w:val="20"/>
        </w:rPr>
        <w:t>ITEM 2. MANAGEMENT’S DISCUSSION AND ANALYSIS OF FINANCIAL CONDITION AND</w:t>
      </w:r>
    </w:p>
    <w:p>
      <w:pPr>
        <w:pStyle w:val="TextBody"/>
        <w:bidi w:val="0"/>
        <w:spacing w:lineRule="auto" w:line="285" w:before="0" w:after="120"/>
        <w:ind w:left="0" w:right="0" w:hanging="0"/>
        <w:jc w:val="center"/>
        <w:rPr>
          <w:rFonts w:ascii="Arial;Helvetica;sans-serif" w:hAnsi="Arial;Helvetica;sans-serif"/>
          <w:b/>
          <w:sz w:val="20"/>
        </w:rPr>
      </w:pPr>
      <w:r>
        <w:rPr>
          <w:rFonts w:ascii="Arial;Helvetica;sans-serif" w:hAnsi="Arial;Helvetica;sans-serif"/>
          <w:b/>
          <w:sz w:val="20"/>
        </w:rPr>
        <w:t>RESULTS OF OPERATIONS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Executive Summary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Founded in 1982, TTEC is a global customer experience (“CX”) technology and services outsourcing partner for marquee and disruptive brands and public sector clients. The Company designs, builds, and operates AI-enabled customer experiences across live interaction channels and provides data-driven, AI-enabled digital solutions to help clients improve customer satisfaction and loyalty, increase customer revenue and profitability, and optimize overall cost to serve. As of March 31, 2026, TTEC served approximately 750</w:t>
      </w:r>
      <w:r>
        <w:rPr>
          <w:rFonts w:ascii="Arial;Helvetica;sans-serif" w:hAnsi="Arial;Helvetica;sans-serif"/>
          <w:color w:val="FF0000"/>
          <w:sz w:val="20"/>
        </w:rPr>
        <w:t xml:space="preserve"> </w:t>
      </w:r>
      <w:r>
        <w:rPr>
          <w:rFonts w:ascii="Arial;Helvetica;sans-serif" w:hAnsi="Arial;Helvetica;sans-serif"/>
          <w:sz w:val="20"/>
        </w:rPr>
        <w:t>clients across targeted industry verticals including financial services, healthcare, public sector, communications, technology, media, entertainment, travel and hospitality, automotive and retail.</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TTEC operates and reports its financial results of operations through two business segments: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Digital</w:t>
            </w:r>
            <w:r>
              <w:rPr>
                <w:caps w:val="false"/>
                <w:smallCaps w:val="false"/>
              </w:rPr>
              <w:t xml:space="preserve"> </w:t>
            </w:r>
            <w:r>
              <w:rPr>
                <w:rFonts w:ascii="Arial;Helvetica;sans-serif" w:hAnsi="Arial;Helvetica;sans-serif"/>
                <w:b w:val="false"/>
                <w:i w:val="false"/>
                <w:caps w:val="false"/>
                <w:smallCaps w:val="false"/>
                <w:sz w:val="20"/>
              </w:rPr>
              <w:t xml:space="preserve">is one of the largest CX technology and service providers and is focused on the intersection of Contact Center as a Service (“CCaaS”), Customer Relationship Management (“CRM”), and Artificial Intelligence (AI) and Analytics. A professional services organization comprised of software engineers, systems architects, data scientists and CX strategists, this segment creates and implements strategic CX transformation roadmaps; sells, operates, and provides managed services for cloud platforms and premise-based CX technologies including Amazon Web Services (“AWS”), Cisco, Genesys, Google, and Microsoft; and creates proprietary IP to support industry specific and custom client needs. TTEC Digital serves clients across enterprise and small and medium-sized business segments and has a dedicated unit with government technology certifications serving the public sector. </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TTEC Engage</w:t>
            </w:r>
            <w:r>
              <w:rPr>
                <w:caps w:val="false"/>
                <w:smallCaps w:val="false"/>
              </w:rPr>
              <w:t xml:space="preserve"> </w:t>
            </w:r>
            <w:r>
              <w:rPr>
                <w:rFonts w:ascii="Arial;Helvetica;sans-serif" w:hAnsi="Arial;Helvetica;sans-serif"/>
                <w:b w:val="false"/>
                <w:i w:val="false"/>
                <w:caps w:val="false"/>
                <w:smallCaps w:val="false"/>
                <w:sz w:val="20"/>
              </w:rPr>
              <w:t xml:space="preserve">provides the digital first, AI-enabled CX operational and managed services to support large, complex enterprise clients’ end-to-end customer interactions at scale across the world. Tailored to meet industry-specific business needs, this segment delivers data-driven omnichannel customer care, customer acquisition, growth, and retention services, tech support, fraud mitigation and back-office solutions. The segment’s digital first delivery model covers the entire solution lifecycle including associate recruitment, onboarding, training, delivery, workforce management and quality assurance. </w:t>
            </w:r>
          </w:p>
        </w:tc>
      </w:tr>
    </w:tbl>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pursues its CX market leadership through strategic collaboration across TTEC Digital and TTEC Engage. Together, TTEC’s ability to deliver comprehensive and transformational customer experience solutions to its clients is a marketplace differentiation, including integrated AI-enabled, CX technology and service solutions, go-to-market strategies, and innovative offerings.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2026, the TTEC global operating platform delivered onshore, nearshore, and offshore services in 21 countries on six continents -- the United States, Australia, Brazil, Bulgaria, Canada, Colombia, Costa Rica, Egypt, Germany, Greece, India, Ireland, Malaysia, Mexico, the Netherlands, New Zealand, the Philippines, Poland, South Africa, Thailand, and the United Kingdom, with contributions from approximately 47,200 customer care associates, consultants, technologists, and CX professionals.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Our revenue for first quarter 2026 was $496.2 million, of which approximately $101.9 million, or 20.5%, was generated from our TTEC Digital segment and $394.3 million, or 79.5%, was generated from our TTEC Engage segment.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To advance our competitive position in a rapidly changing market and to provide our clients with modernized CX technology and service solutions, we continue to invest in innovation and service offerings for both mainstream and high-growth disruptive businesses, diversifying and strengthening our core customer care services with technology-enabled, outcomes-focused services, data analytics, insights, and consulting. </w:t>
      </w:r>
    </w:p>
    <w:p>
      <w:pPr>
        <w:pStyle w:val="TextBody"/>
        <w:bidi w:val="0"/>
        <w:spacing w:lineRule="auto" w:line="285" w:before="0" w:after="120"/>
        <w:ind w:left="0" w:right="0" w:hanging="0"/>
        <w:jc w:val="both"/>
        <w:rPr>
          <w:rFonts w:ascii="Arial;Helvetica;sans-serif" w:hAnsi="Arial;Helvetica;sans-serif"/>
          <w:sz w:val="20"/>
        </w:rPr>
      </w:pPr>
      <w:bookmarkStart w:id="1199" w:name="_Hlk157849772"/>
      <w:bookmarkEnd w:id="1199"/>
      <w:r>
        <w:rPr>
          <w:rFonts w:ascii="Arial;Helvetica;sans-serif" w:hAnsi="Arial;Helvetica;sans-serif"/>
          <w:sz w:val="20"/>
        </w:rPr>
        <w:t>We also invest to broaden our CX product and service capabilities, increase our global client base and industry expertise, expand our geographic footprint to the needs of our global clientele, and further scale our integrated solutions within and between our TTEC Digital and TTEC Engage segments.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Financial Highlights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the first quarter of 2026, our revenue decreased $38.1 million, or 7.1%, to $496.2 million over the same period in 2025 including an increase of $7.8 million, or 1.6%, due to foreign currency fluctuations. The decrease in revenue was comprised of a $6.2 million, or 5.7%, decrease for TTEC Digital and a decrease of $31.9 million, or 7.5%, for TTEC Engage.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first quarter 2026 income (loss) from operations decreased $5.7 million to $18.5 million or 3.7% of revenue, compared to $24.2 million, or 4.5% of revenue in the first quarter of 2025. The TTEC Digital operating margin decreased 4.1% over the same period last year primarily due to lower margins in our recurring and professional services business. The TTEC Engage operating margin was flat over the same period last year.</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Income (loss) from operations in the first quarter of 2026 and 2025 included $2.0 million and $2.8 million, respectively, of restructuring charges and asset impairments.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offshore customer experience centers spanning 13 countries serve clients based in the U.S. and in other countries with 22,000 workstations, representing 83% of our global delivery capability. Revenue for our TTEC Engage segment provided in these offshore locations represented 40% of our revenue for the first quarter of 2026, as compared to 34% of our revenue for the corresponding period in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seat utilization is defined as the total number of utilized workstations compared to the total number of available production workstations. As of March 31, 2026, the total production workstations for our TTEC Engage segment was 26,850, a net decrease of 2,290 workstations over the same period last year, with an overall capacity utilization 72% versus 71% in the prior year period, The increase was due to targeted seat reductions in the United States and Philippines along with country exits in Honduras and Rwanda.</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plan to continue to selectively retain and grow capacity and expand into new offshore markets, while maintaining appropriate capacity onshore. As we grow our offshore delivery capabilities and our exposure to foreign currency fluctuation increases, we plan to continue to actively manage this risk via a multi-currency hedging program designed to minimize operating margin volatility.</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Recent Developments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b/>
          <w:sz w:val="20"/>
        </w:rPr>
        <w:t>Change in the Principal Place of Business.</w:t>
      </w:r>
      <w:r>
        <w:rPr>
          <w:rFonts w:ascii="Arial;Helvetica;sans-serif" w:hAnsi="Arial;Helvetica;sans-serif"/>
          <w:sz w:val="20"/>
        </w:rPr>
        <w:t> In February 2025, the Company moved its principal place of business and principal executive offices to Austin, Texas. TTEC made the decision to relocate its principal place of business from Colorado to Austin, Texas after careful consideration of how it can best support its strategic goals, serve its global clients, and position itself for future success. Texas has been an important part of TTEC’s operations for decades, and this move provides the Company with additional access to a business-friendly environment, a strong economy, a skilled workforce, and a dynamic technology and innovation hub.</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b/>
          <w:sz w:val="20"/>
        </w:rPr>
        <w:t xml:space="preserve">Redomestication to Texas. </w:t>
      </w:r>
      <w:r>
        <w:rPr>
          <w:rFonts w:ascii="Arial;Helvetica;sans-serif" w:hAnsi="Arial;Helvetica;sans-serif"/>
          <w:sz w:val="20"/>
        </w:rPr>
        <w:t>As part of its 2026 Annual Meeting, the Company is seeking approval from its stockholders to redomesticate to Texas from the Company’s current state of incorporation in Delaware. The TTEC Board’s determined that the redomestication to Texas is in the best interests of the Company and its stockholders. The Board’s decision to recommend that the Company’s stockholders vote to approve the redomestication was the result of extensive deliberations and consideration, including evaluation by the Company’s fully independent Nominating and Governance Committee and discussions with management and legal counsel. The Company and its Board believe that the redomestication is in the best interests of the Company and its stockholders because of the Company's strong operational nexus to the state of Texas and because the Company believes that the move would reduce the potential for opportunistic and frivolous litigation, reduce operational costs for the Company, while preserving and potentially even enhancing shareholder rights and providing operational flexibility.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If the shareholders vote to approve redomestication at the Annual Meeting on May 21, 2026, the Company plans to affect the redomestication via conversion from a corporation organized under the laws of the State of Delaware to a corporation under the laws of the State of Texas in the second quarter of 2026.</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Smaller Reporting Company Status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are a “smaller reporting company” as defined in Item 10(f)(1) of Regulation S-K. Although, as a smaller reporting company, we are eligible to provide scaled disclosures in our filings with the SEC, the Company elected not to avail itself of this relief in this Quarterly Report on Form 10-Q and will continue to provide the same level of disclosures as in its most recent fiscal periods. The Company may re-evaluate this decision at a later date.</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Recently Issued Accounting Pronouncements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Refer to Part I, Item I. Financial Statements, Note 1 to the Consolidated Financial Statements for a discussion of recently adopted and issued accounting pronouncements.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Critical Accounting Policies and Estimates</w:t>
      </w:r>
    </w:p>
    <w:p>
      <w:pPr>
        <w:pStyle w:val="TextBody"/>
        <w:bidi w:val="0"/>
        <w:spacing w:lineRule="auto" w:line="285" w:before="0" w:after="120"/>
        <w:ind w:left="0" w:right="0" w:hanging="0"/>
        <w:jc w:val="both"/>
        <w:rPr/>
      </w:pPr>
      <w:r>
        <w:rPr>
          <w:rFonts w:ascii="Arial;Helvetica;sans-serif" w:hAnsi="Arial;Helvetica;sans-serif"/>
          <w:sz w:val="20"/>
        </w:rPr>
        <w:t xml:space="preserve">Management’s Discussion and Analysis of our Financial Condition and Results of Operations is based upon our Consolidated Financial Statements, which have been prepared in accordance with accounting principles generally accepted in the U.S. (“GAAP”). The preparation of these financial statements requires us to make estimates and assumptions that affect the reported amounts of assets, liabilities, revenue and expenses as well as the disclosure of contingent assets and liabilities. We regularly review our estimates and assumptions. These estimates and assumptions, which are based upon historical experience and on various other factors believed to be reasonable under the circumstances, form the basis for making judgments about the carrying values of assets and liabilities that are not readily apparent from other sources. Reported amounts and disclosures may have been different had management used different estimates and assumptions or if different conditions had occurred in the periods presented. For further information, please refer to the discussion of all critical accounting policies in Note 1 of the Notes to the Consolidated Financial Statements in our Annual Report on </w:t>
      </w:r>
      <w:hyperlink r:id="rId4">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0" w:after="12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Three months ended March 31, 2026 compared to three months ended March 31, 2025</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tables included in the following sections are presented to facilitate an understanding of Management’s Discussion and Analysis of Financial Condition and Results of Operations and present certain information by segment for the three months ended March 31, 2026 and 2025 (amounts in thousands). All intercompany transactions between the reported segments for the periods presented have been eliminated.</w:t>
      </w:r>
    </w:p>
    <w:p>
      <w:pPr>
        <w:pStyle w:val="TextBody"/>
        <w:bidi w:val="0"/>
        <w:spacing w:lineRule="auto" w:line="285" w:before="0" w:after="0"/>
        <w:ind w:left="0" w:right="0" w:hanging="0"/>
        <w:jc w:val="both"/>
        <w:rPr>
          <w:rFonts w:ascii="Arial;Helvetica;sans-serif" w:hAnsi="Arial;Helvetica;sans-serif"/>
          <w:i/>
          <w:sz w:val="20"/>
        </w:rPr>
      </w:pPr>
      <w:r>
        <w:rPr>
          <w:rFonts w:ascii="Arial;Helvetica;sans-serif" w:hAnsi="Arial;Helvetica;sans-serif"/>
          <w:i/>
          <w:sz w:val="20"/>
        </w:rPr>
        <w:t>TTEC Digital</w:t>
      </w:r>
    </w:p>
    <w:tbl>
      <w:tblPr>
        <w:tblW w:w="7739" w:type="dxa"/>
        <w:jc w:val="left"/>
        <w:tblInd w:w="0" w:type="dxa"/>
        <w:tblLayout w:type="fixed"/>
        <w:tblCellMar>
          <w:top w:w="0" w:type="dxa"/>
          <w:left w:w="0" w:type="dxa"/>
          <w:bottom w:w="0" w:type="dxa"/>
          <w:right w:w="0" w:type="dxa"/>
        </w:tblCellMar>
      </w:tblPr>
      <w:tblGrid>
        <w:gridCol w:w="1576"/>
        <w:gridCol w:w="346"/>
        <w:gridCol w:w="251"/>
        <w:gridCol w:w="929"/>
        <w:gridCol w:w="429"/>
        <w:gridCol w:w="251"/>
        <w:gridCol w:w="929"/>
        <w:gridCol w:w="361"/>
        <w:gridCol w:w="229"/>
        <w:gridCol w:w="691"/>
        <w:gridCol w:w="346"/>
        <w:gridCol w:w="976"/>
        <w:gridCol w:w="271"/>
        <w:gridCol w:w="154"/>
      </w:tblGrid>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29" w:type="dxa"/>
            <w:tcBorders/>
            <w:vAlign w:val="center"/>
          </w:tcPr>
          <w:p>
            <w:pPr>
              <w:pStyle w:val="TableContents"/>
              <w:bidi w:val="0"/>
              <w:spacing w:lineRule="auto" w:line="285" w:before="0" w:after="0"/>
              <w:ind w:left="0" w:right="0" w:hanging="0"/>
              <w:jc w:val="left"/>
              <w:rPr/>
            </w:pPr>
            <w:r>
              <w:rPr/>
              <w:t>​</w:t>
            </w:r>
          </w:p>
        </w:tc>
        <w:tc>
          <w:tcPr>
            <w:tcW w:w="4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29"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361" w:type="dxa"/>
            <w:tcBorders/>
            <w:vAlign w:val="center"/>
          </w:tcPr>
          <w:p>
            <w:pPr>
              <w:pStyle w:val="TableContents"/>
              <w:bidi w:val="0"/>
              <w:spacing w:lineRule="auto" w:line="285" w:before="0" w:after="0"/>
              <w:ind w:left="0" w:right="0" w:hanging="0"/>
              <w:jc w:val="center"/>
              <w:rPr/>
            </w:pPr>
            <w:r>
              <w:rPr/>
              <w:t>​</w:t>
            </w:r>
          </w:p>
        </w:tc>
        <w:tc>
          <w:tcPr>
            <w:tcW w:w="229"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29" w:type="dxa"/>
            <w:tcBorders/>
            <w:vAlign w:val="center"/>
          </w:tcPr>
          <w:p>
            <w:pPr>
              <w:pStyle w:val="TableContents"/>
              <w:bidi w:val="0"/>
              <w:spacing w:lineRule="auto" w:line="285" w:before="0" w:after="0"/>
              <w:ind w:left="0" w:right="0" w:hanging="0"/>
              <w:jc w:val="center"/>
              <w:rPr/>
            </w:pPr>
            <w:r>
              <w:rPr/>
              <w:t>  ​ ​ ​</w:t>
            </w:r>
          </w:p>
        </w:tc>
        <w:tc>
          <w:tcPr>
            <w:tcW w:w="11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lineRule="auto" w:line="285" w:before="0" w:after="0"/>
              <w:ind w:left="0" w:right="0" w:hanging="0"/>
              <w:jc w:val="center"/>
              <w:rPr/>
            </w:pPr>
            <w:r>
              <w:rPr/>
              <w:t>  ​ ​ ​</w:t>
            </w:r>
          </w:p>
        </w:tc>
        <w:tc>
          <w:tcPr>
            <w:tcW w:w="9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101,865</w:t>
            </w:r>
          </w:p>
        </w:tc>
        <w:tc>
          <w:tcPr>
            <w:tcW w:w="4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108,040</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9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(6,175)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(5.7)</w:t>
            </w:r>
          </w:p>
        </w:tc>
        <w:tc>
          <w:tcPr>
            <w:tcW w:w="2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2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1,359</w:t>
            </w:r>
          </w:p>
        </w:tc>
        <w:tc>
          <w:tcPr>
            <w:tcW w:w="4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2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5,864</w:t>
            </w:r>
          </w:p>
        </w:tc>
        <w:tc>
          <w:tcPr>
            <w:tcW w:w="361"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right"/>
              <w:rPr/>
            </w:pPr>
            <w:r>
              <w:rPr/>
              <w:t> </w:t>
            </w:r>
          </w:p>
        </w:tc>
        <w:tc>
          <w:tcPr>
            <w:tcW w:w="69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(4,505)</w:t>
            </w:r>
          </w:p>
        </w:tc>
        <w:tc>
          <w:tcPr>
            <w:tcW w:w="346" w:type="dxa"/>
            <w:tcBorders/>
            <w:vAlign w:val="center"/>
          </w:tcPr>
          <w:p>
            <w:pPr>
              <w:pStyle w:val="TableContents"/>
              <w:bidi w:val="0"/>
              <w:spacing w:lineRule="auto" w:line="285" w:before="0" w:after="0"/>
              <w:ind w:left="0" w:right="0" w:hanging="0"/>
              <w:jc w:val="left"/>
              <w:rPr/>
            </w:pPr>
            <w:r>
              <w:rPr/>
              <w:t> </w:t>
            </w:r>
          </w:p>
        </w:tc>
        <w:tc>
          <w:tcPr>
            <w:tcW w:w="9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(76.8)</w:t>
            </w:r>
          </w:p>
        </w:tc>
        <w:tc>
          <w:tcPr>
            <w:tcW w:w="2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Margin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w:t>
            </w:r>
          </w:p>
        </w:tc>
        <w:tc>
          <w:tcPr>
            <w:tcW w:w="4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29"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decrease in revenue for the TTEC Digital segment was driven by lower recurring and professional services revenue.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operating income decrease was primarily related to lower margins in our recurring and professional services business. Operating income as a percentage of revenue decreased to 1.3% in the first quarter of 2026 as compared to 5.4% in the prior period. Included in operating income was amortization expense related to acquired intangibles of $3.7 million and $3.7 million for the quarters ended March 31, 2026 and 2025, respectively. </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TTEC Engage</w:t>
      </w:r>
    </w:p>
    <w:tbl>
      <w:tblPr>
        <w:tblW w:w="7826" w:type="dxa"/>
        <w:jc w:val="left"/>
        <w:tblInd w:w="0" w:type="dxa"/>
        <w:tblLayout w:type="fixed"/>
        <w:tblCellMar>
          <w:top w:w="0" w:type="dxa"/>
          <w:left w:w="0" w:type="dxa"/>
          <w:bottom w:w="0" w:type="dxa"/>
          <w:right w:w="0" w:type="dxa"/>
        </w:tblCellMar>
      </w:tblPr>
      <w:tblGrid>
        <w:gridCol w:w="1576"/>
        <w:gridCol w:w="346"/>
        <w:gridCol w:w="251"/>
        <w:gridCol w:w="929"/>
        <w:gridCol w:w="429"/>
        <w:gridCol w:w="251"/>
        <w:gridCol w:w="929"/>
        <w:gridCol w:w="361"/>
        <w:gridCol w:w="211"/>
        <w:gridCol w:w="796"/>
        <w:gridCol w:w="346"/>
        <w:gridCol w:w="976"/>
        <w:gridCol w:w="271"/>
        <w:gridCol w:w="154"/>
      </w:tblGrid>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29" w:type="dxa"/>
            <w:tcBorders/>
            <w:vAlign w:val="center"/>
          </w:tcPr>
          <w:p>
            <w:pPr>
              <w:pStyle w:val="TableContents"/>
              <w:bidi w:val="0"/>
              <w:spacing w:lineRule="auto" w:line="285" w:before="0" w:after="0"/>
              <w:ind w:left="0" w:right="0" w:hanging="0"/>
              <w:jc w:val="left"/>
              <w:rPr/>
            </w:pPr>
            <w:r>
              <w:rPr/>
              <w:t>​</w:t>
            </w:r>
          </w:p>
        </w:tc>
        <w:tc>
          <w:tcPr>
            <w:tcW w:w="4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29"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8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c>
          <w:tcPr>
            <w:tcW w:w="361"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w:t>
            </w:r>
          </w:p>
        </w:tc>
        <w:tc>
          <w:tcPr>
            <w:tcW w:w="7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76"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1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29" w:type="dxa"/>
            <w:tcBorders/>
            <w:vAlign w:val="center"/>
          </w:tcPr>
          <w:p>
            <w:pPr>
              <w:pStyle w:val="TableContents"/>
              <w:bidi w:val="0"/>
              <w:spacing w:lineRule="auto" w:line="285" w:before="0" w:after="0"/>
              <w:ind w:left="0" w:right="0" w:hanging="0"/>
              <w:jc w:val="center"/>
              <w:rPr/>
            </w:pPr>
            <w:r>
              <w:rPr/>
              <w:t>  ​ ​ ​</w:t>
            </w:r>
          </w:p>
        </w:tc>
        <w:tc>
          <w:tcPr>
            <w:tcW w:w="11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lineRule="auto" w:line="285"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346" w:type="dxa"/>
            <w:tcBorders/>
            <w:vAlign w:val="center"/>
          </w:tcPr>
          <w:p>
            <w:pPr>
              <w:pStyle w:val="TableContents"/>
              <w:bidi w:val="0"/>
              <w:spacing w:lineRule="auto" w:line="285" w:before="0" w:after="0"/>
              <w:ind w:left="0" w:right="0" w:hanging="0"/>
              <w:jc w:val="center"/>
              <w:rPr/>
            </w:pPr>
            <w:r>
              <w:rPr/>
              <w:t>  ​ ​ ​</w:t>
            </w:r>
          </w:p>
        </w:tc>
        <w:tc>
          <w:tcPr>
            <w:tcW w:w="9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71"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394,310</w:t>
            </w:r>
          </w:p>
        </w:tc>
        <w:tc>
          <w:tcPr>
            <w:tcW w:w="4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426,188</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(31,878)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7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(7.5)</w:t>
            </w:r>
          </w:p>
        </w:tc>
        <w:tc>
          <w:tcPr>
            <w:tcW w:w="27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Income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2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17,136</w:t>
            </w:r>
          </w:p>
        </w:tc>
        <w:tc>
          <w:tcPr>
            <w:tcW w:w="4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right"/>
              <w:rPr/>
            </w:pPr>
            <w:r>
              <w:rPr/>
              <w:t> </w:t>
            </w:r>
          </w:p>
        </w:tc>
        <w:tc>
          <w:tcPr>
            <w:tcW w:w="929"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18,325</w:t>
            </w:r>
          </w:p>
        </w:tc>
        <w:tc>
          <w:tcPr>
            <w:tcW w:w="36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9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(1,189)</w:t>
            </w:r>
          </w:p>
        </w:tc>
        <w:tc>
          <w:tcPr>
            <w:tcW w:w="346" w:type="dxa"/>
            <w:tcBorders/>
            <w:vAlign w:val="center"/>
          </w:tcPr>
          <w:p>
            <w:pPr>
              <w:pStyle w:val="TableContents"/>
              <w:bidi w:val="0"/>
              <w:spacing w:lineRule="auto" w:line="285" w:before="0" w:after="0"/>
              <w:ind w:left="0" w:right="0" w:hanging="0"/>
              <w:jc w:val="left"/>
              <w:rPr/>
            </w:pPr>
            <w:r>
              <w:rPr/>
              <w:t> </w:t>
            </w:r>
          </w:p>
        </w:tc>
        <w:tc>
          <w:tcPr>
            <w:tcW w:w="97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(6.5)</w:t>
            </w:r>
          </w:p>
        </w:tc>
        <w:tc>
          <w:tcPr>
            <w:tcW w:w="27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Operating Margin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w:t>
            </w:r>
          </w:p>
        </w:tc>
        <w:tc>
          <w:tcPr>
            <w:tcW w:w="42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51" w:type="dxa"/>
            <w:tcBorders/>
            <w:shd w:fill="CCEEFF" w:val="clear"/>
            <w:vAlign w:val="center"/>
          </w:tcPr>
          <w:p>
            <w:pPr>
              <w:pStyle w:val="TableContents"/>
              <w:bidi w:val="0"/>
              <w:spacing w:lineRule="auto" w:line="285" w:before="0" w:after="0"/>
              <w:ind w:left="0" w:right="0" w:hanging="0"/>
              <w:jc w:val="right"/>
              <w:rPr/>
            </w:pPr>
            <w:r>
              <w:rPr/>
              <w:t> </w:t>
            </w:r>
          </w:p>
        </w:tc>
        <w:tc>
          <w:tcPr>
            <w:tcW w:w="929"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4.3</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decrease in revenue for the TTEC Engage segment is primarily due to the completion of a prior year short-term contract and Management’s continuous evaluation of its remaining portfolio.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TTEC Engage’s operating income as a percentage of revenue was flat at 4.3% over the same period last year. Included in operating income was amortization expense related to acquired intangibles of $4.0 million and $4.1 million for the quarters ended March 31, 2026 and 2025, respectively.</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Interest Income (Expense)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three months ended March 31, 2026 interest income decreased to $0.5 million from $4.6 million in the same period in 2025 due to lower interest income on an aged VAT receivable. Interest expense decreased to $17.0 million during 2026 from $19.8 million during 2025 due to lower utilization and lower rates.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Other Income (Expense)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three months ended March 31, 2026 Other income (expense), net decreased to income of $0.7 million from income of $3.6 million during the prior year quarter.</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Included in the three months ended March 31, 2025 was a $3.9 million gain related to a recovery of an aged VAT receivable.</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Income Taxes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The effective tax rate for the three months ended March 31, 2026 was 297.6%. This compares to an effective tax rate of 74.2% for the comparable period of 2025. The effective tax rate for the three months ended March 31, 2026 is primarily driven by the distribution of income between the U.S. and international tax jurisdictions, earnings in international jurisdictions currently under an income tax holiday, foreign currency gains and losses, and the impact of valuation allowances in the United States and several other jurisdictions. </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principal sources of liquidity are our cash generated from operations, our cash and cash equivalents, and borrowings under our Credit Facility. During the three months ended March 31, 2026, we generated operating cash flows of $27.5 million. We believe that our cash generated from operations, existing cash and cash equivalents, and available credit will be sufficient to meet expected operating and capital expenditure requirements for the next 12 months. However, if our access to capital is restricted or our borrowing costs increase, our operations and financial condition could be adversely impacted.</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Company believes that the Tenth Amendment to the Credit Facility provides additional liquidity and flexibility to support ongoing operations in the short term. The increased pricing, reduced size of the Credit Facility, and more restrictive covenants may limit the Company’s ability to pursue certain strategic initiatives, including acquisitions. Management expects to continue to monitor the credit markets and, it is actively seeking alternative credit arrangements designed to provide the Company with greater flexibility. Pending any refinancing of the Credit Facility, management will continue to evaluate the impact of these changes on the Company’s financial position and results of operations.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manage a centralized global treasury function in the United States with a focus on safeguarding and optimizing the use of our global cash and cash equivalents. Our cash is held in the U.S. in U.S. dollars, and outside of the U.S. in U.S. dollars and foreign currencies. We expect to use our cash to fund working capital, global operations, dividends, acquisitions, and other strategic activities. While there are no assurances, we believe our global cash is well protected given our cash management practices, banking partners and utilization of diversified bank deposit accounts and other high-quality investments.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have global operations that expose us to foreign currency exchange rate fluctuations that may positively or negatively impact our liquidity. To mitigate these risks, we enter into foreign exchange forward and option contracts through our cash flow hedging program. Please refer to Part I, Item 3. Quantitative and Qualitative Disclosures About Market Risk, Foreign Currency Risk, for further discussion. We are also exposed to interest rate fluctuations associated with our variable rate debt.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following discussion highlights our cash flow activities during the three months ended March 31, 2026 and 2025.</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and Cash Equivalents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We consider all liquid investments purchased within three months of their original maturity to be cash equivalents. Our cash and cash equivalents totaled $88.7 million and $82.9 million as of March 31, 2026 and December 31, 2025, respectively.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reinvest our cash flows to grow our client base, expand our infrastructure, invest in research and development, make strategic acquisitions and to pay dividends.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Flows from Operating Activities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For the three months ended March 31, 2026 and 2025, net cash flows provided by operating activities was $27.5 million and $21.6 million, respectively. The increase is primarily due to a $18.3 million increase in net working capital offset by $12.4 million decrease in net cash income from operations. </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Flows from Investing Activities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three months ended March 31, 2026 and 2025, net cash flows used in investing activities was $4.9 million and $5.3 million, respectively. The decrease was due to a $1.3 million increase in asset sales offset by a $1.0 million increase in capital expenditures.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Flows from Financing Activities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For the three months ended March 31, 2026 and 2025, net cash flows used in financing activities was $18.4 million and $13.7 million, respectively. The change in net cash flows from 2025 to 2026 was primarily due to a $5.0 million net change in the line of credit.</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Free Cash Flow</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Free cash flow (see “Presentation of Non-GAAP Measurements” below for the definition of free cash flow) increased for the three months ended March 31, 2026 compared to the three months ended March 31, 2025 primarily due to an increase in net working capital and cash from operations. Free cash flow was $21.1 million and $16.2 million for the three months ended March 31, 2026 and 2025, respectively.</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Presentation of Non-GAAP Measurements</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Free Cash Flow</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Free cash flow is a non-GAAP liquidity measurement. We believe that free cash flow is useful to our investors because it measures, during a given period, the amount of cash generated that is available for debt obligations and investments other than purchases of property, plant and equipment. Free cash flow is not a measure determined by GAAP and should not be considered a substitute for “income from operations,” “net income,” “net cash provided by operating activities,” or any other measure determined in accordance with GAAP. We believe this non-GAAP liquidity measure is useful, in addition to the most directly comparable GAAP measure of “net cash provided by operating activities,” because free cash flow includes investments in operational assets. Free cash flow does not represent residual cash available for discretionary expenditures, since it includes cash required for debt service. Free cash flow also includes cash that may be necessary for acquisitions, investments and other needs that may arise.</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following table reconciles net cash provided by operating activities to free cash flow for our consolidated results (in thousands):</w:t>
      </w:r>
    </w:p>
    <w:tbl>
      <w:tblPr>
        <w:tblW w:w="7683" w:type="dxa"/>
        <w:jc w:val="left"/>
        <w:tblInd w:w="0" w:type="dxa"/>
        <w:tblLayout w:type="fixed"/>
        <w:tblCellMar>
          <w:top w:w="0" w:type="dxa"/>
          <w:left w:w="0" w:type="dxa"/>
          <w:bottom w:w="0" w:type="dxa"/>
          <w:right w:w="0" w:type="dxa"/>
        </w:tblCellMar>
      </w:tblPr>
      <w:tblGrid>
        <w:gridCol w:w="4156"/>
        <w:gridCol w:w="346"/>
        <w:gridCol w:w="346"/>
        <w:gridCol w:w="263"/>
        <w:gridCol w:w="843"/>
        <w:gridCol w:w="431"/>
        <w:gridCol w:w="263"/>
        <w:gridCol w:w="843"/>
        <w:gridCol w:w="192"/>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639060" cy="175260"/>
                      <wp:effectExtent l="0" t="0" r="0" b="0"/>
                      <wp:wrapNone/>
                      <wp:docPr id="282" name="Frame282"/>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7005" cy="175260"/>
                      <wp:effectExtent l="0" t="0" r="0" b="0"/>
                      <wp:wrapNone/>
                      <wp:docPr id="285" name="Frame28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5305" cy="175260"/>
                      <wp:effectExtent l="0" t="0" r="0" b="0"/>
                      <wp:wrapNone/>
                      <wp:docPr id="286" name="Frame286"/>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73685" cy="175260"/>
                      <wp:effectExtent l="0" t="0" r="0" b="0"/>
                      <wp:wrapNone/>
                      <wp:docPr id="287" name="Frame287"/>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7005" cy="175260"/>
                      <wp:effectExtent l="0" t="0" r="0" b="0"/>
                      <wp:wrapNone/>
                      <wp:docPr id="288" name="Frame28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5305" cy="175260"/>
                      <wp:effectExtent l="0" t="0" r="0" b="0"/>
                      <wp:wrapNone/>
                      <wp:docPr id="289" name="Frame289"/>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1920" cy="175260"/>
                      <wp:effectExtent l="0" t="0" r="0" b="0"/>
                      <wp:wrapNone/>
                      <wp:docPr id="290" name="Frame290"/>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835" w:type="dxa"/>
            <w:gridSpan w:val="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xml:space="preserve">Three Months Ended March 31, </w: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11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31" w:type="dxa"/>
            <w:tcBorders/>
            <w:vAlign w:val="center"/>
          </w:tcPr>
          <w:p>
            <w:pPr>
              <w:pStyle w:val="TableContents"/>
              <w:bidi w:val="0"/>
              <w:spacing w:lineRule="auto" w:line="285" w:before="0" w:after="0"/>
              <w:ind w:left="0" w:right="0" w:hanging="0"/>
              <w:jc w:val="center"/>
              <w:rPr/>
            </w:pPr>
            <w:r>
              <w:rPr/>
              <w:t>  ​ ​ ​</w:t>
            </w:r>
          </w:p>
        </w:tc>
        <w:tc>
          <w:tcPr>
            <w:tcW w:w="11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92" w:type="dxa"/>
            <w:tcBorders/>
            <w:vAlign w:val="center"/>
          </w:tcPr>
          <w:p>
            <w:pPr>
              <w:pStyle w:val="TableContents"/>
              <w:bidi w:val="0"/>
              <w:spacing w:lineRule="auto" w:line="285" w:before="0" w:after="0"/>
              <w:ind w:left="0" w:right="0" w:hanging="0"/>
              <w:jc w:val="center"/>
              <w:rPr/>
            </w:pPr>
            <w:r>
              <w:rPr/>
              <w:t>​</w:t>
            </w:r>
          </w:p>
        </w:tc>
      </w:tr>
      <w:tr>
        <w:trPr/>
        <w:tc>
          <w:tcPr>
            <w:tcW w:w="41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27,535</w:t>
            </w:r>
          </w:p>
        </w:tc>
        <w:tc>
          <w:tcPr>
            <w:tcW w:w="431"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3"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21,592</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r>
        <w:trPr/>
        <w:tc>
          <w:tcPr>
            <w:tcW w:w="415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Less: Purchases of property, plant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righ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6,400</w:t>
            </w:r>
          </w:p>
        </w:tc>
        <w:tc>
          <w:tcPr>
            <w:tcW w:w="431" w:type="dxa"/>
            <w:tcBorders/>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8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5,406</w:t>
            </w:r>
          </w:p>
        </w:tc>
        <w:tc>
          <w:tcPr>
            <w:tcW w:w="192" w:type="dxa"/>
            <w:tcBorders/>
            <w:vAlign w:val="center"/>
          </w:tcPr>
          <w:p>
            <w:pPr>
              <w:pStyle w:val="TableContents"/>
              <w:bidi w:val="0"/>
              <w:spacing w:lineRule="auto" w:line="285" w:before="0" w:after="0"/>
              <w:ind w:left="0" w:right="0" w:hanging="0"/>
              <w:jc w:val="left"/>
              <w:rPr/>
            </w:pPr>
            <w:r>
              <w:rPr/>
              <w:t>​</w:t>
            </w:r>
          </w:p>
        </w:tc>
      </w:tr>
      <w:tr>
        <w:trPr/>
        <w:tc>
          <w:tcPr>
            <w:tcW w:w="415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Free cash flow</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21,135</w:t>
            </w:r>
          </w:p>
        </w:tc>
        <w:tc>
          <w:tcPr>
            <w:tcW w:w="431" w:type="dxa"/>
            <w:tcBorders/>
            <w:shd w:fill="CCEEFF" w:val="clear"/>
            <w:vAlign w:val="center"/>
          </w:tcPr>
          <w:p>
            <w:pPr>
              <w:pStyle w:val="TableContents"/>
              <w:bidi w:val="0"/>
              <w:spacing w:lineRule="auto" w:line="285"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16,186</w:t>
            </w:r>
          </w:p>
        </w:tc>
        <w:tc>
          <w:tcPr>
            <w:tcW w:w="192"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Obligations and Future Capital Requirements</w:t>
      </w:r>
    </w:p>
    <w:p>
      <w:pPr>
        <w:pStyle w:val="TextBody"/>
        <w:bidi w:val="0"/>
        <w:spacing w:lineRule="auto" w:line="285" w:before="0" w:after="120"/>
        <w:ind w:left="0" w:right="0" w:hanging="0"/>
        <w:jc w:val="both"/>
        <w:rPr/>
      </w:pPr>
      <w:r>
        <w:rPr>
          <w:rFonts w:ascii="Arial;Helvetica;sans-serif" w:hAnsi="Arial;Helvetica;sans-serif"/>
          <w:sz w:val="20"/>
        </w:rPr>
        <w:t xml:space="preserve">There were no material changes to the Company’s contractual obligations and future capital requirements outside the normal course of business from the date of our 2025 </w:t>
      </w:r>
      <w:hyperlink r:id="rId5">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filing on February 26, 2026 through the filing of this report.</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Future Capital Requirements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expect total capital expenditures in 2026 to be between 1.8% and 2.0% of revenue. Approximately 60% of these expected capital expenditures are to support growth in our business and 40% relate to the maintenance for existing assets. The anticipated level of 2026 capital expenditures are primarily driven by facility refreshes and maintenance, site optimizations, IT network modernization and PC refreshes, digital product development and ongoing site expansions/new sites but not at the same level as the prior year.</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amount of capital required over the next 12 months will depend on our levels of investment in infrastructure necessary to maintain, upgrade or replace existing assets. Our working capital and capital expenditure requirements could also increase materially in the event of acquisitions or joint ventures, among other factors. These factors could require that we raise additional capital through future debt or equity financing. We can provide no assurance that we will be able to raise additional capital upon commercially reasonable terms acceptable to us.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Client Concentration</w:t>
      </w:r>
    </w:p>
    <w:p>
      <w:pPr>
        <w:pStyle w:val="TextBody"/>
        <w:bidi w:val="0"/>
        <w:spacing w:lineRule="auto" w:line="285" w:before="0" w:after="120"/>
        <w:ind w:left="0" w:right="0" w:hanging="0"/>
        <w:jc w:val="both"/>
        <w:rPr>
          <w:rFonts w:ascii="Arial;Helvetica;sans-serif" w:hAnsi="Arial;Helvetica;sans-serif"/>
          <w:sz w:val="20"/>
        </w:rPr>
      </w:pPr>
      <w:bookmarkStart w:id="1200" w:name="_Hlk519679118"/>
      <w:bookmarkEnd w:id="1200"/>
      <w:r>
        <w:rPr>
          <w:rFonts w:ascii="Arial;Helvetica;sans-serif" w:hAnsi="Arial;Helvetica;sans-serif"/>
          <w:sz w:val="20"/>
        </w:rPr>
        <w:t>During the three months ended March 31, 2026 and 2025, one of our clients represented more than 10% of our total revenue. Our five largest clients, collectively, accounted for 33.4% and 31.2% of our consolidated revenue for the three months ended March 31, 2026 and 2025, respectively. We have had long-term relationships with our top five TTEC Engage clients, ranging from 6 to 26 years, with all of these clients having completed multiple contract renewals with us. The relative contribution of any single client to consolidated earnings is not always proportional to the relative revenue contribution on a consolidated basis and varies greatly based upon specific contract terms. In addition, clients may adjust business volumes served by us based on their business requirements. We believe the risk of this concentration is mitigated, in part, by the long-term contracts we have with our largest clients. Although certain client contracts may be terminated for convenience by either party, we believe this risk is mitigated, in part, by the service level disruptions and transition/migration costs that would arise for our clients if they terminated our contract for convenience.</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Some of the contracts with our five largest clients expire between 2026 and 2029, but many of our largest clients have multiple contracts with us with different expiration dates for different lines of work. We have historically renewed most of our contracts with our largest clients, but there can be no assurance that future contracts will be renewed or, if renewed, will be on terms as favorable as the existing contracts.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Arial;Helvetica;sans-serif" w:hAnsi="Arial;Helvetica;sans-serif"/>
          <w:b/>
          <w:sz w:val="20"/>
        </w:rPr>
      </w:pPr>
      <w:bookmarkStart w:id="1201" w:name="ITEM3_QUANTITATIVEANDQUALITATIVE_034322"/>
      <w:bookmarkStart w:id="1202" w:name="_ec2bc1c9_ff76_410b_b019_5d1fbbdf4e64"/>
      <w:bookmarkEnd w:id="1201"/>
      <w:bookmarkEnd w:id="1202"/>
      <w:r>
        <w:rPr>
          <w:rFonts w:ascii="Arial;Helvetica;sans-serif" w:hAnsi="Arial;Helvetica;sans-serif"/>
          <w:b/>
          <w:sz w:val="20"/>
        </w:rPr>
        <w:t>ITEM 3. QUANTITATIVE AND QUALITATIVE DISCLOSURES ABOUT MARKET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Market risk represents the risk of loss that may impact our consolidated financial position, consolidated results of operations, or consolidated cash flows due to adverse changes in financial and commodity market prices and rates. Market risk also includes credit and non-performance risk by counterparties to our various financial instruments. We are exposed to market risk due to changes in interest rates and foreign currency exchange rates (as measured against the U.S. dollar), as well as credit risk associated with potential non-performance of our counterparty banks. These exposures are directly related to our normal operating and funding activities. We enter into derivative instruments to manage and reduce the impact of currency exchange rate changes, primarily between the U.S. dollar/Philippine peso, the U.S. dollar/Mexican peso, and the Australian dollar/Philippine peso. To mitigate against credit and non-performance risk, it is our policy to only enter into derivative contracts and other financial instruments with investment grade counterparty financial institutions and, correspondingly, our derivative valuations reflect the creditworthiness of our counterparties. As of the date of this report, we have not experienced, nor do we anticipate, any issues related to derivative counterparty defaults.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Interest Rate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The interest rate on our Credit Agreement is variable based upon the Prime Rate and SOFR (in each case as defined in the Credit Agreement) and, therefore, is affected by changes in market interest rates. As of March 31, 2026, we had $889.0 million of outstanding borrowings under the Credit Agreement. Based upon average outstanding borrowings during the three months ended March 31, 2026, interest accrued at a rate of approximately 6.9% per annum. If the Prime Rate or SOFR increased by 100 basis points, there would be an annualized $1.0 million of additional interest expense per $100.0 million of outstanding borrowing under the Credit Agreement.</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Foreign Currency Risk</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subsidiaries in the Philippines, Mexico, India, Bulgaria, Colombia, South Africa, Egypt and Poland use the local currency as their functional currency for paying labor and other operating costs. Conversely, revenue for these foreign subsidiaries is derived principally from client contracts that are invoiced and collected in U.S. dollars or other foreign currencies. As a result, we may experience foreign currency gains or losses, which may positively or negatively affect our results of operations attributed to these subsidiaries. For the three months ended March 31, 2026 and 2025, revenue associated with this foreign exchange risk was 27% and 23% of our consolidated revenue, respectively.</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In order to mitigate the risk of these non-functional foreign currencies weakening against the functional currencies of the servicing subsidiaries, which thereby decreases the economic benefit of performing work in these countries, we may hedge a portion, though not 100%, of the projected foreign currency exposure related to client programs served from these foreign countries through our cash flow hedging program. While our hedging strategy can protect us from adverse changes in foreign currency rates in the short term, an overall weakening of the non-functional foreign currencies would adversely impact margins in the segments of the servicing subsidiary over the long term.</w:t>
      </w:r>
    </w:p>
    <w:p>
      <w:pPr>
        <w:pStyle w:val="TextBody"/>
        <w:bidi w:val="0"/>
        <w:spacing w:lineRule="auto" w:line="285" w:before="0" w:after="120"/>
        <w:ind w:left="0" w:right="0" w:hanging="0"/>
        <w:jc w:val="both"/>
        <w:rPr>
          <w:rFonts w:ascii="Arial;Helvetica;sans-serif" w:hAnsi="Arial;Helvetica;sans-serif"/>
          <w:i/>
          <w:sz w:val="20"/>
        </w:rPr>
      </w:pPr>
      <w:r>
        <w:rPr>
          <w:rFonts w:ascii="Arial;Helvetica;sans-serif" w:hAnsi="Arial;Helvetica;sans-serif"/>
          <w:i/>
          <w:sz w:val="20"/>
        </w:rPr>
        <w:t>Cash Flow Hedging Program</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To reduce our exposure to foreign currency exchange rate fluctuations associated with forecasted revenue in non-functional currencies, we purchase forward and/or option contracts to acquire the functional currency of the foreign subsidiary at a fixed exchange rate at specific dates in the future. We have designated and accounted for these derivative instruments as cash flow hedges for forecasted revenue in non-functional currencies.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While we have implemented certain strategies to mitigate risks related to the impact of fluctuations in currency exchange rates, we cannot ensure that we will not recognize gains or losses from international transactions, as this is part of transacting business in an international environment. Not every exposure is or can be hedged and, where hedges are put in place based on expected foreign exchange exposure, they are based on forecasts for which actual results may differ from the original estimate. Failure to successfully hedge or anticipate currency risks properly could adversely affect our consolidated operating results.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Our cash flow hedging instruments as of March 31, 2026 and December 31, 2025 are summarized as follows (in thousands). All hedging instruments are forward contracts, except as noted.</w:t>
      </w:r>
    </w:p>
    <w:p>
      <w:pPr>
        <w:pStyle w:val="TextBody"/>
        <w:bidi w:val="0"/>
        <w:spacing w:lineRule="auto" w:line="285" w:before="0" w:after="0"/>
        <w:ind w:left="0" w:right="0" w:hanging="0"/>
        <w:jc w:val="left"/>
        <w:rPr/>
      </w:pPr>
      <w:r>
        <w:rPr/>
        <w:t>​</w:t>
      </w:r>
    </w:p>
    <w:tbl>
      <w:tblPr>
        <w:tblW w:w="8512" w:type="dxa"/>
        <w:jc w:val="left"/>
        <w:tblInd w:w="0" w:type="dxa"/>
        <w:tblLayout w:type="fixed"/>
        <w:tblCellMar>
          <w:top w:w="0" w:type="dxa"/>
          <w:left w:w="0" w:type="dxa"/>
          <w:bottom w:w="0" w:type="dxa"/>
          <w:right w:w="0" w:type="dxa"/>
        </w:tblCellMar>
      </w:tblPr>
      <w:tblGrid>
        <w:gridCol w:w="1921"/>
        <w:gridCol w:w="346"/>
        <w:gridCol w:w="931"/>
        <w:gridCol w:w="346"/>
        <w:gridCol w:w="239"/>
        <w:gridCol w:w="767"/>
        <w:gridCol w:w="346"/>
        <w:gridCol w:w="346"/>
        <w:gridCol w:w="1066"/>
        <w:gridCol w:w="361"/>
        <w:gridCol w:w="346"/>
        <w:gridCol w:w="1306"/>
        <w:gridCol w:w="191"/>
      </w:tblGrid>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76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1066" w:type="dxa"/>
            <w:tcBorders/>
            <w:vAlign w:val="center"/>
          </w:tcPr>
          <w:p>
            <w:pPr>
              <w:pStyle w:val="TableContents"/>
              <w:bidi w:val="0"/>
              <w:spacing w:lineRule="auto" w:line="285" w:before="0" w:after="0"/>
              <w:ind w:left="0" w:right="0" w:hanging="0"/>
              <w:jc w:val="center"/>
              <w:rPr/>
            </w:pPr>
            <w:r>
              <w:rPr/>
              <w:t>​</w:t>
            </w:r>
          </w:p>
        </w:tc>
        <w:tc>
          <w:tcPr>
            <w:tcW w:w="361" w:type="dxa"/>
            <w:tcBorders/>
            <w:vAlign w:val="center"/>
          </w:tcPr>
          <w:p>
            <w:pPr>
              <w:pStyle w:val="TableContents"/>
              <w:bidi w:val="0"/>
              <w:spacing w:lineRule="auto" w:line="285" w:before="0" w:after="0"/>
              <w:ind w:left="0" w:right="0" w:hanging="0"/>
              <w:jc w:val="left"/>
              <w:rPr/>
            </w:pPr>
            <w:r>
              <w:rPr/>
              <w:t>  ​ ​ ​</w:t>
            </w:r>
          </w:p>
        </w:tc>
        <w:tc>
          <w:tcPr>
            <w:tcW w:w="346" w:type="dxa"/>
            <w:tcBorders/>
            <w:vAlign w:val="center"/>
          </w:tcPr>
          <w:p>
            <w:pPr>
              <w:pStyle w:val="TableContents"/>
              <w:bidi w:val="0"/>
              <w:spacing w:lineRule="auto" w:line="285" w:before="0" w:after="0"/>
              <w:ind w:left="0" w:right="0" w:hanging="0"/>
              <w:jc w:val="center"/>
              <w:rPr/>
            </w:pPr>
            <w:r>
              <w:rPr/>
              <w:t>  ​ ​ ​</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March 31, 2026</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92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3,469,000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59,567</w:t>
            </w:r>
          </w:p>
        </w:tc>
        <w:tc>
          <w:tcPr>
            <w:tcW w:w="346" w:type="dxa"/>
            <w:tcBorders/>
            <w:shd w:fill="CCEEFF" w:val="clear"/>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(1)</w:t>
            </w:r>
            <w:r>
              <w:rPr>
                <w:rFonts w:ascii="Arial;Helvetica;sans-serif" w:hAnsi="Arial;Helvetica;sans-serif"/>
                <w:sz w:val="18"/>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March 2027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317,500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right"/>
              <w:rPr/>
            </w:pPr>
            <w:r>
              <w:rPr/>
              <w:t> </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16,369</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February 2027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92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5,000,000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30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August 2026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77,135</w:t>
            </w:r>
          </w:p>
        </w:tc>
        <w:tc>
          <w:tcPr>
            <w:tcW w:w="3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0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8880" w:type="dxa"/>
        <w:jc w:val="left"/>
        <w:tblInd w:w="0" w:type="dxa"/>
        <w:tblLayout w:type="fixed"/>
        <w:tblCellMar>
          <w:top w:w="0" w:type="dxa"/>
          <w:left w:w="0" w:type="dxa"/>
          <w:bottom w:w="0" w:type="dxa"/>
          <w:right w:w="0" w:type="dxa"/>
        </w:tblCellMar>
      </w:tblPr>
      <w:tblGrid>
        <w:gridCol w:w="2281"/>
        <w:gridCol w:w="346"/>
        <w:gridCol w:w="931"/>
        <w:gridCol w:w="346"/>
        <w:gridCol w:w="239"/>
        <w:gridCol w:w="767"/>
        <w:gridCol w:w="271"/>
        <w:gridCol w:w="346"/>
        <w:gridCol w:w="1066"/>
        <w:gridCol w:w="361"/>
        <w:gridCol w:w="346"/>
        <w:gridCol w:w="1426"/>
        <w:gridCol w:w="154"/>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448435" cy="175260"/>
                      <wp:effectExtent l="0" t="0" r="0" b="0"/>
                      <wp:wrapNone/>
                      <wp:docPr id="291" name="Frame291"/>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91185" cy="175260"/>
                      <wp:effectExtent l="0" t="0" r="0" b="0"/>
                      <wp:wrapNone/>
                      <wp:docPr id="293" name="Frame2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51765" cy="175260"/>
                      <wp:effectExtent l="0" t="0" r="0" b="0"/>
                      <wp:wrapNone/>
                      <wp:docPr id="295" name="Frame29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87045" cy="175260"/>
                      <wp:effectExtent l="0" t="0" r="0" b="0"/>
                      <wp:wrapNone/>
                      <wp:docPr id="296" name="Frame29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72085" cy="175260"/>
                      <wp:effectExtent l="0" t="0" r="0" b="0"/>
                      <wp:wrapNone/>
                      <wp:docPr id="297" name="Frame2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76910" cy="175260"/>
                      <wp:effectExtent l="0" t="0" r="0" b="0"/>
                      <wp:wrapNone/>
                      <wp:docPr id="299" name="Frame29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9235" cy="175260"/>
                      <wp:effectExtent l="0" t="0" r="0" b="0"/>
                      <wp:wrapNone/>
                      <wp:docPr id="300" name="Frame3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05510" cy="175260"/>
                      <wp:effectExtent l="0" t="0" r="0" b="0"/>
                      <wp:wrapNone/>
                      <wp:docPr id="302" name="Frame302"/>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97790" cy="175260"/>
                      <wp:effectExtent l="0" t="0" r="0" b="0"/>
                      <wp:wrapNone/>
                      <wp:docPr id="303" name="Frame3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Local</w:t>
            </w:r>
          </w:p>
        </w:tc>
        <w:tc>
          <w:tcPr>
            <w:tcW w:w="346" w:type="dxa"/>
            <w:tcBorders/>
            <w:vAlign w:val="center"/>
          </w:tcPr>
          <w:p>
            <w:pPr>
              <w:pStyle w:val="TableContents"/>
              <w:bidi w:val="0"/>
              <w:spacing w:lineRule="auto" w:line="285" w:before="0" w:after="0"/>
              <w:ind w:left="0" w:right="0" w:hanging="0"/>
              <w:jc w:val="center"/>
              <w:rPr/>
            </w:pPr>
            <w:r>
              <w:rPr/>
              <w:t>  ​ ​ ​</w:t>
            </w:r>
          </w:p>
        </w:tc>
        <w:tc>
          <w:tcPr>
            <w:tcW w:w="239" w:type="dxa"/>
            <w:tcBorders/>
            <w:vAlign w:val="center"/>
          </w:tcPr>
          <w:p>
            <w:pPr>
              <w:pStyle w:val="TableContents"/>
              <w:bidi w:val="0"/>
              <w:spacing w:lineRule="auto" w:line="285" w:before="0" w:after="0"/>
              <w:ind w:left="0" w:right="0" w:hanging="0"/>
              <w:jc w:val="center"/>
              <w:rPr/>
            </w:pPr>
            <w:r>
              <w:rPr/>
              <w:t>​</w:t>
            </w:r>
          </w:p>
        </w:tc>
        <w:tc>
          <w:tcPr>
            <w:tcW w:w="767"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  ​ ​ ​</w:t>
            </w:r>
          </w:p>
        </w:tc>
        <w:tc>
          <w:tcPr>
            <w:tcW w:w="10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4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Currency</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U.S. Dollar</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 Maturing</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Contracts</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Notional</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in the next</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8"/>
              </w:rPr>
            </w:pPr>
            <w:r>
              <w:rPr>
                <w:rFonts w:ascii="Arial;Helvetica;sans-serif" w:hAnsi="Arial;Helvetica;sans-serif"/>
                <w:b/>
                <w:sz w:val="18"/>
              </w:rPr>
              <w:t>As of December 31, 2025</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lineRule="auto" w:line="285"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271"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12 months</w:t>
            </w:r>
          </w:p>
        </w:tc>
        <w:tc>
          <w:tcPr>
            <w:tcW w:w="3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Through</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4,025,000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69,458</w:t>
            </w:r>
          </w:p>
        </w:tc>
        <w:tc>
          <w:tcPr>
            <w:tcW w:w="271" w:type="dxa"/>
            <w:tcBorders/>
            <w:vAlign w:val="center"/>
          </w:tcPr>
          <w:p>
            <w:pPr>
              <w:pStyle w:val="TableContents"/>
              <w:bidi w:val="0"/>
              <w:spacing w:lineRule="auto" w:line="240" w:before="0" w:after="0"/>
              <w:ind w:left="0" w:right="0" w:hanging="0"/>
              <w:jc w:val="left"/>
              <w:rPr>
                <w:rFonts w:ascii="Arial;Helvetica;sans-serif" w:hAnsi="Arial;Helvetica;sans-serif"/>
                <w:sz w:val="18"/>
              </w:rPr>
            </w:pPr>
            <w:r>
              <w:rPr>
                <w:rFonts w:ascii="Arial;Helvetica;sans-serif" w:hAnsi="Arial;Helvetica;sans-serif"/>
                <w:sz w:val="14"/>
              </w:rPr>
              <w:t>(1)</w:t>
            </w:r>
            <w:r>
              <w:rPr>
                <w:rFonts w:ascii="Arial;Helvetica;sans-serif" w:hAnsi="Arial;Helvetica;sans-serif"/>
                <w:sz w:val="18"/>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97.0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March 2027</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314,000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right"/>
              <w:rPr/>
            </w:pPr>
            <w:r>
              <w:rPr/>
              <w:t> </w:t>
            </w:r>
          </w:p>
        </w:tc>
        <w:tc>
          <w:tcPr>
            <w:tcW w:w="76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15,618</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December 2026</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8,000,000</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6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1,931</w:t>
            </w:r>
          </w:p>
        </w:tc>
        <w:tc>
          <w:tcPr>
            <w:tcW w:w="2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66"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361"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  </w:t>
            </w:r>
          </w:p>
        </w:tc>
        <w:tc>
          <w:tcPr>
            <w:tcW w:w="346" w:type="dxa"/>
            <w:tcBorders/>
            <w:vAlign w:val="center"/>
          </w:tcPr>
          <w:p>
            <w:pPr>
              <w:pStyle w:val="TableContents"/>
              <w:bidi w:val="0"/>
              <w:spacing w:lineRule="auto" w:line="285" w:before="0" w:after="0"/>
              <w:ind w:left="0" w:right="0" w:hanging="0"/>
              <w:jc w:val="left"/>
              <w:rPr/>
            </w:pPr>
            <w:r>
              <w:rPr/>
              <w:t>​</w:t>
            </w:r>
          </w:p>
        </w:tc>
        <w:tc>
          <w:tcPr>
            <w:tcW w:w="1426" w:type="dxa"/>
            <w:tcBorders/>
            <w:vAlign w:val="center"/>
          </w:tcPr>
          <w:p>
            <w:pPr>
              <w:pStyle w:val="TableContents"/>
              <w:bidi w:val="0"/>
              <w:spacing w:lineRule="auto" w:line="285" w:before="0" w:after="0"/>
              <w:ind w:left="0" w:right="0" w:hanging="0"/>
              <w:jc w:val="center"/>
              <w:rPr>
                <w:rFonts w:ascii="Arial;Helvetica;sans-serif" w:hAnsi="Arial;Helvetica;sans-serif"/>
                <w:sz w:val="18"/>
              </w:rPr>
            </w:pPr>
            <w:r>
              <w:rPr>
                <w:rFonts w:ascii="Arial;Helvetica;sans-serif" w:hAnsi="Arial;Helvetica;sans-serif"/>
                <w:sz w:val="18"/>
              </w:rPr>
              <w:t>August 2026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87,007</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66" w:type="dxa"/>
            <w:tcBorders/>
            <w:shd w:fill="CCEEFF" w:val="clear"/>
            <w:vAlign w:val="center"/>
          </w:tcPr>
          <w:p>
            <w:pPr>
              <w:pStyle w:val="TableContents"/>
              <w:bidi w:val="0"/>
              <w:spacing w:lineRule="auto" w:line="285" w:before="0" w:after="0"/>
              <w:ind w:left="0" w:right="0" w:hanging="0"/>
              <w:jc w:val="left"/>
              <w:rPr/>
            </w:pPr>
            <w:r>
              <w:rPr/>
              <w:t>​</w:t>
            </w:r>
          </w:p>
        </w:tc>
        <w:tc>
          <w:tcPr>
            <w:tcW w:w="36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26"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Arial;Helvetica;sans-serif" w:hAnsi="Arial;Helvetica;sans-serif"/>
                <w:sz w:val="12"/>
              </w:rPr>
            </w:pPr>
            <w:r>
              <w:rPr>
                <w:rFonts w:ascii="Arial;Helvetica;sans-serif" w:hAnsi="Arial;Helvetica;sans-serif"/>
                <w:sz w:val="12"/>
              </w:rPr>
              <w:t>(1)</w:t>
            </w:r>
          </w:p>
        </w:tc>
        <w:tc>
          <w:tcPr>
            <w:tcW w:w="9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Includes contracts to purchase Philippine pesos in exchange for New Zealand dollars and Australian dollars, which are translated into equivalent U.S. dollars on March 31, 2026 and December 31, 2025.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fair value of our cash flow hedges as of March 31, 2026 was assets/(liabilities) (in thousands):</w:t>
      </w:r>
    </w:p>
    <w:p>
      <w:pPr>
        <w:pStyle w:val="TextBody"/>
        <w:bidi w:val="0"/>
        <w:spacing w:lineRule="auto" w:line="285" w:before="0" w:after="0"/>
        <w:ind w:left="0" w:right="0" w:hanging="0"/>
        <w:jc w:val="left"/>
        <w:rPr/>
      </w:pPr>
      <w:r>
        <w:rPr/>
        <w:t>​</w:t>
      </w:r>
    </w:p>
    <w:tbl>
      <w:tblPr>
        <w:tblW w:w="5219" w:type="dxa"/>
        <w:jc w:val="left"/>
        <w:tblInd w:w="0" w:type="dxa"/>
        <w:tblLayout w:type="fixed"/>
        <w:tblCellMar>
          <w:top w:w="0" w:type="dxa"/>
          <w:left w:w="0" w:type="dxa"/>
          <w:bottom w:w="0" w:type="dxa"/>
          <w:right w:w="0" w:type="dxa"/>
        </w:tblCellMar>
      </w:tblPr>
      <w:tblGrid>
        <w:gridCol w:w="1486"/>
        <w:gridCol w:w="346"/>
        <w:gridCol w:w="353"/>
        <w:gridCol w:w="1057"/>
        <w:gridCol w:w="346"/>
        <w:gridCol w:w="359"/>
        <w:gridCol w:w="1081"/>
        <w:gridCol w:w="191"/>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943610" cy="175260"/>
                      <wp:effectExtent l="0" t="0" r="0" b="0"/>
                      <wp:wrapNone/>
                      <wp:docPr id="304" name="Frame30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24155" cy="175260"/>
                      <wp:effectExtent l="0" t="0" r="0" b="0"/>
                      <wp:wrapNone/>
                      <wp:docPr id="306" name="Frame30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71195" cy="175260"/>
                      <wp:effectExtent l="0" t="0" r="0" b="0"/>
                      <wp:wrapNone/>
                      <wp:docPr id="307" name="Frame307"/>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7965" cy="175260"/>
                      <wp:effectExtent l="0" t="0" r="0" b="0"/>
                      <wp:wrapNone/>
                      <wp:docPr id="309" name="Frame309"/>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86435" cy="175260"/>
                      <wp:effectExtent l="0" t="0" r="0" b="0"/>
                      <wp:wrapNone/>
                      <wp:docPr id="310" name="Frame31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1285" cy="175260"/>
                      <wp:effectExtent l="0" t="0" r="0" b="0"/>
                      <wp:wrapNone/>
                      <wp:docPr id="311" name="Frame3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105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40" w:type="dxa"/>
            <w:gridSpan w:val="2"/>
            <w:tcBorders/>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Maturing in the</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4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March 31, 2026</w:t>
            </w:r>
          </w:p>
        </w:tc>
        <w:tc>
          <w:tcPr>
            <w:tcW w:w="346" w:type="dxa"/>
            <w:tcBorders/>
            <w:vAlign w:val="center"/>
          </w:tcPr>
          <w:p>
            <w:pPr>
              <w:pStyle w:val="TableContents"/>
              <w:bidi w:val="0"/>
              <w:spacing w:lineRule="auto" w:line="285" w:before="0" w:after="0"/>
              <w:ind w:left="0" w:right="0" w:hanging="0"/>
              <w:jc w:val="center"/>
              <w:rPr/>
            </w:pPr>
            <w:r>
              <w:rPr/>
              <w:t>  ​ ​ ​</w:t>
            </w:r>
          </w:p>
        </w:tc>
        <w:tc>
          <w:tcPr>
            <w:tcW w:w="14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8"/>
              </w:rPr>
            </w:pPr>
            <w:r>
              <w:rPr>
                <w:rFonts w:ascii="Arial;Helvetica;sans-serif" w:hAnsi="Arial;Helvetica;sans-serif"/>
                <w:b/>
                <w:sz w:val="18"/>
              </w:rPr>
              <w:t>Next 12 Months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14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Philippine Peso</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right"/>
              <w:rPr/>
            </w:pPr>
            <w:r>
              <w:rPr/>
              <w:t>​</w:t>
            </w:r>
          </w:p>
        </w:tc>
        <w:tc>
          <w:tcPr>
            <w:tcW w:w="1057"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shd w:fill="CCEEFF" w:val="clear"/>
            <w:vAlign w:val="center"/>
          </w:tcPr>
          <w:p>
            <w:pPr>
              <w:pStyle w:val="TableContents"/>
              <w:bidi w:val="0"/>
              <w:spacing w:lineRule="auto" w:line="285" w:before="0" w:after="0"/>
              <w:ind w:left="0" w:right="0" w:hanging="0"/>
              <w:jc w:val="right"/>
              <w:rPr/>
            </w:pPr>
            <w:r>
              <w:rPr/>
              <w:t>​</w:t>
            </w:r>
          </w:p>
        </w:tc>
        <w:tc>
          <w:tcPr>
            <w:tcW w:w="1081" w:type="dxa"/>
            <w:tcBorders/>
            <w:shd w:fill="CCEEFF" w:val="cle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(2,654)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Mexican Peso</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right"/>
              <w:rPr/>
            </w:pPr>
            <w:r>
              <w:rPr/>
              <w:t> </w:t>
            </w:r>
          </w:p>
        </w:tc>
        <w:tc>
          <w:tcPr>
            <w:tcW w:w="1057"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1,104</w:t>
            </w:r>
          </w:p>
        </w:tc>
        <w:tc>
          <w:tcPr>
            <w:tcW w:w="346" w:type="dxa"/>
            <w:tcBorders/>
            <w:vAlign w:val="center"/>
          </w:tcPr>
          <w:p>
            <w:pPr>
              <w:pStyle w:val="TableContents"/>
              <w:bidi w:val="0"/>
              <w:spacing w:lineRule="auto" w:line="285" w:before="0" w:after="0"/>
              <w:ind w:left="0" w:right="0" w:hanging="0"/>
              <w:jc w:val="left"/>
              <w:rPr/>
            </w:pPr>
            <w:r>
              <w:rPr/>
              <w:t>​</w:t>
            </w:r>
          </w:p>
        </w:tc>
        <w:tc>
          <w:tcPr>
            <w:tcW w:w="359" w:type="dxa"/>
            <w:tcBorders/>
            <w:vAlign w:val="center"/>
          </w:tcPr>
          <w:p>
            <w:pPr>
              <w:pStyle w:val="TableContents"/>
              <w:bidi w:val="0"/>
              <w:spacing w:lineRule="auto" w:line="285" w:before="0" w:after="0"/>
              <w:ind w:left="0" w:right="0" w:hanging="0"/>
              <w:jc w:val="right"/>
              <w:rPr/>
            </w:pPr>
            <w:r>
              <w:rPr/>
              <w:t> </w:t>
            </w:r>
          </w:p>
        </w:tc>
        <w:tc>
          <w:tcPr>
            <w:tcW w:w="1081" w:type="dxa"/>
            <w:tcBorders/>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1,104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Colombian Peso</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0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(1,414)</w:t>
            </w:r>
          </w:p>
        </w:tc>
        <w:tc>
          <w:tcPr>
            <w:tcW w:w="346" w:type="dxa"/>
            <w:tcBorders/>
            <w:vAlign w:val="center"/>
          </w:tcPr>
          <w:p>
            <w:pPr>
              <w:pStyle w:val="TableContents"/>
              <w:bidi w:val="0"/>
              <w:spacing w:lineRule="auto" w:line="285" w:before="0" w:after="0"/>
              <w:ind w:left="0" w:right="0" w:hanging="0"/>
              <w:jc w:val="left"/>
              <w:rPr/>
            </w:pPr>
            <w:r>
              <w:rPr/>
              <w:t>​</w:t>
            </w:r>
          </w:p>
        </w:tc>
        <w:tc>
          <w:tcPr>
            <w:tcW w:w="35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Arial;Helvetica;sans-serif" w:hAnsi="Arial;Helvetica;sans-serif"/>
                <w:sz w:val="18"/>
              </w:rPr>
            </w:pPr>
            <w:r>
              <w:rPr>
                <w:rFonts w:ascii="Arial;Helvetica;sans-serif" w:hAnsi="Arial;Helvetica;sans-serif"/>
                <w:sz w:val="18"/>
              </w:rPr>
              <w:t>(1,414)</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cash flow hedges are valued using models based on market observable inputs, including both forward and spot foreign exchange rates, implied volatility, and counterparty credit risk. The decrease in fair value from December 31, 2025 reflects changes in the currency translation between the U.S. dollar and Mexican peso and U.S. dollar and Philippine pesos.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We recorded net gains/(losses) of $0.1 million and $(0.2) million for settled cash flow hedge contracts and the related premiums for the three months ended March 31, 2026 and 2025, respectively. These gains/(losses) were reflected in Revenue in the accompanying Consolidated Statements of Comprehensive Income (Loss). If the exchange rates between our various currency pairs were to increase or decrease by 10% from current period-end levels, we would incur a material gain or loss on the contracts. However, any gain or loss would be mitigated by corresponding increases or decreases in our underlying exposures.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Other than the transactions hedged as discussed above and in Part I, Item 1. Financial Statements, Note 5 to the Consolidated Financial Statements, the majority of the transactions of our U.S. and foreign operations are denominated in their respective local currency. However, transactions are denominated in other currencies from time-to-time. We do not currently engage in hedging activities related to these types of foreign currency risks because we believe them to be insignificant as we endeavor to settle these accounts on a timely basis. For the three months ended March 31, 2026 and 2025, approximately 18% and 15%, respectively, of revenue was derived from contracts denominated in currencies other than the U.S. dollar. Our results from operations and revenue could be adversely affected if the U.S. dollar strengthens significantly against foreign currencies.</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Fair Value of Debt and Equity Securities</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We did not have any investments in marketable debt or equity securities as of March 31, 2026 or December 31, 2025.</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center"/>
        <w:rPr>
          <w:rFonts w:ascii="Arial;Helvetica;sans-serif" w:hAnsi="Arial;Helvetica;sans-serif"/>
          <w:b/>
          <w:sz w:val="20"/>
        </w:rPr>
      </w:pPr>
      <w:bookmarkStart w:id="1203" w:name="ITEM4_CONTROLSANDPROCEDURES_121019"/>
      <w:bookmarkStart w:id="1204" w:name="_debbbb1a_18ef_4898_aeb1_fa3794c7bdae"/>
      <w:bookmarkEnd w:id="1203"/>
      <w:bookmarkEnd w:id="1204"/>
      <w:r>
        <w:rPr>
          <w:rFonts w:ascii="Arial;Helvetica;sans-serif" w:hAnsi="Arial;Helvetica;sans-serif"/>
          <w:b/>
          <w:sz w:val="20"/>
        </w:rPr>
        <w:t>ITEM 4. CONTROLS AND PROCEDURES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This report includes the certifications of our Chief Executive Officer (the “CEO”) and Chief Financial Officer (the “CFO”)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Disclosure Controls and Procedures</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our CEO and CFO, as appropriate, to allow timely decisions regarding required disclosure.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 xml:space="preserve">We carried out an evaluation under the supervision and with the participation of management, including the CEO and CFO, of the effectiveness of our disclosure controls and procedures, as of March 31, 2026, the end of the period covered by this Form 10-Q. Based on this evaluation, our CEO and CFO have concluded that the Company’s disclosure controls and procedures were effective at the reasonable assurance level. </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 xml:space="preserve">Inherent Limitations of Internal Controls </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Our management, including the CEO and CFO, believes that any disclosure controls and procedures or internal controls and procedures, no matter how well conceived and operated, can provide only reasonable, not absolute, assurance that the objectives of internal controls are met. Further, the design of internal controls must consider the benefits of controls relative to their costs. Inherent limitations within internal controls include the realities that judgments in decision-making can be faulty, and that breakdowns can occur because of simple errors or mistakes. Additionally, controls can be circumvented by the individual acts of some persons, by collusion of two or more people, or by unauthorized override of controls. Over time, controls may become inadequate because of changes in conditions or deterioration in the degree of compliance with associated policies or procedures. While the objective of the design of any system of controls is to provide reasonable assurance of the effectiveness of controls, such design is also based in part upon certain assumptions about the likelihood of future events, and such assumptions, while reasonable, may not take into account all potential future conditions. Thus, even effective internal control over financial reporting can only provide reasonable assurance of achieving their objectives. Therefore, because of the inherent limitations in cost effective internal controls, misstatements due to error or fraud may occur and may not be prevented or detected.</w:t>
      </w:r>
    </w:p>
    <w:p>
      <w:pPr>
        <w:pStyle w:val="TextBody"/>
        <w:bidi w:val="0"/>
        <w:spacing w:lineRule="auto" w:line="285" w:before="0" w:after="120"/>
        <w:ind w:left="0" w:right="0" w:hanging="0"/>
        <w:jc w:val="both"/>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There were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1205" w:name="PARTII_OTHERINFORMATION_121023"/>
      <w:bookmarkStart w:id="1206" w:name="_b829ab52_865d_42c0_be7e_88330fe3e96b"/>
      <w:bookmarkEnd w:id="1205"/>
      <w:bookmarkEnd w:id="1206"/>
      <w:r>
        <w:rPr>
          <w:rFonts w:ascii="Arial;Helvetica;sans-serif" w:hAnsi="Arial;Helvetica;sans-serif"/>
          <w:b/>
          <w:sz w:val="20"/>
        </w:rPr>
        <w:t>PART II. OTHER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1207" w:name="ITEM1_LEGALPROCEEDINGS_121025"/>
      <w:bookmarkEnd w:id="1207"/>
      <w:r>
        <w:rPr>
          <w:rFonts w:ascii="Arial;Helvetica;sans-serif" w:hAnsi="Arial;Helvetica;sans-serif"/>
          <w:b/>
          <w:sz w:val="20"/>
        </w:rPr>
        <w:t>ITEM 1. LEGAL PROCEEDINGS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information set forth under the caption “Legal Proceedings” in Part I, Item 1. Financial Statements, Note 9 to the Consolidated Financial Statements of this Form 10-Q is hereby incorporated by reference.</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center"/>
        <w:rPr>
          <w:rFonts w:ascii="Arial;Helvetica;sans-serif" w:hAnsi="Arial;Helvetica;sans-serif"/>
          <w:b/>
          <w:sz w:val="20"/>
        </w:rPr>
      </w:pPr>
      <w:bookmarkStart w:id="1208" w:name="ITEM1A_RISKFACTORS_121028"/>
      <w:bookmarkStart w:id="1209" w:name="_3ee8140e_d8c2_4a3f_b274_faa73db4c46f"/>
      <w:bookmarkEnd w:id="1208"/>
      <w:bookmarkEnd w:id="1209"/>
      <w:r>
        <w:rPr>
          <w:rFonts w:ascii="Arial;Helvetica;sans-serif" w:hAnsi="Arial;Helvetica;sans-serif"/>
          <w:b/>
          <w:sz w:val="20"/>
        </w:rPr>
        <w:t>ITEM 1A. RISK FACTORS</w:t>
      </w:r>
    </w:p>
    <w:p>
      <w:pPr>
        <w:pStyle w:val="TextBody"/>
        <w:bidi w:val="0"/>
        <w:spacing w:lineRule="auto" w:line="285" w:before="0" w:after="120"/>
        <w:ind w:left="0" w:right="0" w:hanging="0"/>
        <w:jc w:val="both"/>
        <w:rPr/>
      </w:pPr>
      <w:bookmarkStart w:id="1210" w:name="_Hlk506305936"/>
      <w:bookmarkEnd w:id="1210"/>
      <w:r>
        <w:rPr>
          <w:rFonts w:ascii="Arial;Helvetica;sans-serif" w:hAnsi="Arial;Helvetica;sans-serif"/>
          <w:sz w:val="20"/>
        </w:rPr>
        <w:t xml:space="preserve">There were no material changes to the Risk Factors described in Item 1A. Risk Factors included in our Annual Report on </w:t>
      </w:r>
      <w:hyperlink r:id="rId6">
        <w:r>
          <w:rPr>
            <w:rStyle w:val="InternetLink"/>
            <w:rFonts w:ascii="Arial;Helvetica;sans-serif" w:hAnsi="Arial;Helvetica;sans-serif"/>
            <w:b w:val="false"/>
            <w:i w:val="false"/>
            <w:caps w:val="false"/>
            <w:smallCaps w:val="false"/>
            <w:sz w:val="20"/>
          </w:rPr>
          <w:t>Form 10-K</w:t>
        </w:r>
      </w:hyperlink>
      <w:r>
        <w:rPr>
          <w:rFonts w:ascii="Arial;Helvetica;sans-serif" w:hAnsi="Arial;Helvetica;sans-serif"/>
          <w:sz w:val="20"/>
        </w:rPr>
        <w:t xml:space="preserve"> for the year ended December 31, 2025.</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bookmarkStart w:id="1211" w:name="ITEM5OTHERINFORMATION_469585"/>
      <w:bookmarkStart w:id="1212" w:name="_fd34cd6d_cd27_4460_8ea1_7da633f0faa7"/>
      <w:bookmarkEnd w:id="1211"/>
      <w:bookmarkEnd w:id="1212"/>
      <w:r>
        <w:rPr>
          <w:rFonts w:ascii="Arial;Helvetica;sans-serif" w:hAnsi="Arial;Helvetica;sans-serif"/>
          <w:b/>
          <w:sz w:val="20"/>
        </w:rPr>
        <w:t>ITEM 5. OTHER INFORMATION</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both"/>
        <w:rPr>
          <w:rFonts w:ascii="Arial;Helvetica;sans-serif" w:hAnsi="Arial;Helvetica;sans-serif"/>
          <w:sz w:val="20"/>
        </w:rPr>
      </w:pPr>
      <w:r>
        <w:rPr>
          <w:rFonts w:ascii="Arial;Helvetica;sans-serif" w:hAnsi="Arial;Helvetica;sans-serif"/>
          <w:sz w:val="20"/>
        </w:rPr>
        <w:t>During the three months ended March 31, 2026, none of the Company's directors or officers (as defined in Rule 16a-1(f) of the Exchange Act) adopted, terminated or modified a Rule 10b5-1 trading arrangement or non-Rule 10b5-1 trading arrangement, as such terms are defined in Item 408 of Regulation S-K.</w:t>
      </w:r>
    </w:p>
    <w:p>
      <w:pPr>
        <w:pStyle w:val="TextBody"/>
        <w:bidi w:val="0"/>
        <w:spacing w:lineRule="auto" w:line="285" w:before="0" w:after="0"/>
        <w:ind w:left="0" w:right="0" w:hanging="0"/>
        <w:jc w:val="center"/>
        <w:rPr>
          <w:rFonts w:ascii="Arial;Helvetica;sans-serif" w:hAnsi="Arial;Helvetica;sans-serif"/>
          <w:b/>
          <w:sz w:val="20"/>
        </w:rPr>
      </w:pPr>
      <w:bookmarkStart w:id="1213" w:name="ITEM6_EXHIBITS_121036"/>
      <w:bookmarkStart w:id="1214" w:name="_d761f0e9_5e60_46ad_9c35_80f2eceed486"/>
      <w:bookmarkEnd w:id="1213"/>
      <w:bookmarkEnd w:id="1214"/>
      <w:r>
        <w:rPr>
          <w:rFonts w:ascii="Arial;Helvetica;sans-serif" w:hAnsi="Arial;Helvetica;sans-serif"/>
          <w:b/>
          <w:sz w:val="20"/>
        </w:rPr>
        <w:t>ITEM 6. EXHIBITS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0"/>
        <w:gridCol w:w="346"/>
        <w:gridCol w:w="6794"/>
        <w:gridCol w:w="109"/>
        <w:gridCol w:w="561"/>
        <w:gridCol w:w="116"/>
        <w:gridCol w:w="705"/>
        <w:gridCol w:w="116"/>
        <w:gridCol w:w="718"/>
      </w:tblGrid>
      <w:tr>
        <w:trPr/>
        <w:tc>
          <w:tcPr>
            <w:tcW w:w="74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61" w:type="dxa"/>
            <w:tcBorders/>
            <w:vAlign w:val="center"/>
          </w:tcPr>
          <w:p>
            <w:pPr>
              <w:pStyle w:val="TableContents"/>
              <w:bidi w:val="0"/>
              <w:spacing w:lineRule="auto" w:line="285" w:before="0" w:after="0"/>
              <w:ind w:left="0" w:right="0" w:hanging="0"/>
              <w:jc w:val="left"/>
              <w:rPr/>
            </w:pPr>
            <w:r>
              <w:rPr/>
              <w:t>​</w:t>
            </w:r>
          </w:p>
        </w:tc>
        <w:tc>
          <w:tcPr>
            <w:tcW w:w="116" w:type="dxa"/>
            <w:tcBorders/>
            <w:vAlign w:val="center"/>
          </w:tcPr>
          <w:p>
            <w:pPr>
              <w:pStyle w:val="TableContents"/>
              <w:bidi w:val="0"/>
              <w:spacing w:lineRule="auto" w:line="285" w:before="0" w:after="0"/>
              <w:ind w:left="0" w:right="0" w:hanging="0"/>
              <w:jc w:val="left"/>
              <w:rPr/>
            </w:pPr>
            <w:r>
              <w:rPr/>
              <w:t>​</w:t>
            </w:r>
          </w:p>
        </w:tc>
        <w:tc>
          <w:tcPr>
            <w:tcW w:w="705" w:type="dxa"/>
            <w:tcBorders/>
            <w:vAlign w:val="center"/>
          </w:tcPr>
          <w:p>
            <w:pPr>
              <w:pStyle w:val="TableContents"/>
              <w:bidi w:val="0"/>
              <w:spacing w:lineRule="auto" w:line="285" w:before="0" w:after="0"/>
              <w:ind w:left="0" w:right="0" w:hanging="0"/>
              <w:jc w:val="left"/>
              <w:rPr/>
            </w:pPr>
            <w:r>
              <w:rPr/>
              <w:t>​</w:t>
            </w:r>
          </w:p>
        </w:tc>
        <w:tc>
          <w:tcPr>
            <w:tcW w:w="116" w:type="dxa"/>
            <w:tcBorders/>
            <w:vAlign w:val="center"/>
          </w:tcPr>
          <w:p>
            <w:pPr>
              <w:pStyle w:val="TableContents"/>
              <w:bidi w:val="0"/>
              <w:spacing w:lineRule="auto" w:line="285" w:before="0" w:after="0"/>
              <w:ind w:left="0" w:right="0" w:hanging="0"/>
              <w:jc w:val="left"/>
              <w:rPr/>
            </w:pPr>
            <w:r>
              <w:rPr/>
              <w:t>​</w:t>
            </w:r>
          </w:p>
        </w:tc>
        <w:tc>
          <w:tcPr>
            <w:tcW w:w="718" w:type="dxa"/>
            <w:tcBorders/>
            <w:vAlign w:val="center"/>
          </w:tcPr>
          <w:p>
            <w:pPr>
              <w:pStyle w:val="TableContents"/>
              <w:bidi w:val="0"/>
              <w:spacing w:lineRule="auto" w:line="285" w:before="0" w:after="0"/>
              <w:ind w:left="0" w:right="0" w:hanging="0"/>
              <w:jc w:val="left"/>
              <w:rPr/>
            </w:pPr>
            <w:r>
              <w:rPr/>
              <w:t>​</w:t>
            </w:r>
          </w:p>
        </w:tc>
      </w:tr>
      <w:tr>
        <w:trPr/>
        <w:tc>
          <w:tcPr>
            <w:tcW w:w="74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Exhibit </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center"/>
              <w:rPr/>
            </w:pPr>
            <w:r>
              <w:rPr/>
              <w:t>​</w:t>
            </w:r>
          </w:p>
        </w:tc>
        <w:tc>
          <w:tcPr>
            <w:tcW w:w="109" w:type="dxa"/>
            <w:tcBorders/>
            <w:shd w:fill="FFFFFF" w:val="clear"/>
            <w:vAlign w:val="center"/>
          </w:tcPr>
          <w:p>
            <w:pPr>
              <w:pStyle w:val="TableContents"/>
              <w:bidi w:val="0"/>
              <w:spacing w:lineRule="auto" w:line="285" w:before="0" w:after="0"/>
              <w:ind w:left="0" w:right="0" w:hanging="0"/>
              <w:jc w:val="center"/>
              <w:rPr/>
            </w:pPr>
            <w:r>
              <w:rPr/>
              <w:t>​</w:t>
            </w:r>
          </w:p>
        </w:tc>
        <w:tc>
          <w:tcPr>
            <w:tcW w:w="2216" w:type="dxa"/>
            <w:gridSpan w:val="5"/>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Incorporated Herein by Reference</w:t>
            </w:r>
          </w:p>
        </w:tc>
      </w:tr>
      <w:tr>
        <w:trPr/>
        <w:tc>
          <w:tcPr>
            <w:tcW w:w="74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No.</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pPr>
            <w:r>
              <w:rPr/>
              <w:t>  ​ ​ ​</w:t>
            </w:r>
          </w:p>
        </w:tc>
        <w:tc>
          <w:tcPr>
            <w:tcW w:w="6794"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Exhibit Description</w:t>
            </w:r>
          </w:p>
        </w:tc>
        <w:tc>
          <w:tcPr>
            <w:tcW w:w="109" w:type="dxa"/>
            <w:tcBorders/>
            <w:shd w:fill="FFFFFF" w:val="clear"/>
            <w:vAlign w:val="center"/>
          </w:tcPr>
          <w:p>
            <w:pPr>
              <w:pStyle w:val="TableContents"/>
              <w:bidi w:val="0"/>
              <w:spacing w:lineRule="auto" w:line="285" w:before="0" w:after="0"/>
              <w:ind w:left="0" w:right="0" w:hanging="0"/>
              <w:jc w:val="center"/>
              <w:rPr/>
            </w:pPr>
            <w:r>
              <w:rPr/>
              <w:t>​</w:t>
            </w:r>
          </w:p>
        </w:tc>
        <w:tc>
          <w:tcPr>
            <w:tcW w:w="56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Form</w:t>
            </w:r>
          </w:p>
        </w:tc>
        <w:tc>
          <w:tcPr>
            <w:tcW w:w="116" w:type="dxa"/>
            <w:tcBorders/>
            <w:shd w:fill="FFFFFF" w:val="clear"/>
            <w:vAlign w:val="center"/>
          </w:tcPr>
          <w:p>
            <w:pPr>
              <w:pStyle w:val="TableContents"/>
              <w:bidi w:val="0"/>
              <w:spacing w:lineRule="auto" w:line="285" w:before="0" w:after="0"/>
              <w:ind w:left="0" w:right="0" w:hanging="0"/>
              <w:jc w:val="center"/>
              <w:rPr/>
            </w:pPr>
            <w:r>
              <w:rPr/>
              <w:t>​</w:t>
            </w:r>
          </w:p>
        </w:tc>
        <w:tc>
          <w:tcPr>
            <w:tcW w:w="70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Exhibit</w:t>
            </w:r>
          </w:p>
        </w:tc>
        <w:tc>
          <w:tcPr>
            <w:tcW w:w="11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pPr>
            <w:r>
              <w:rPr/>
              <w:t>​</w:t>
            </w:r>
          </w:p>
        </w:tc>
        <w:tc>
          <w:tcPr>
            <w:tcW w:w="71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Filing Date</w:t>
            </w:r>
          </w:p>
        </w:tc>
      </w:tr>
      <w:tr>
        <w:trPr/>
        <w:tc>
          <w:tcPr>
            <w:tcW w:w="740" w:type="dxa"/>
            <w:tcBorders>
              <w:top w:val="single" w:sz="2" w:space="0" w:color="000000"/>
            </w:tcBorders>
            <w:tcMar>
              <w:top w:w="28" w:type="dxa"/>
            </w:tcMar>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561"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116" w:type="dxa"/>
            <w:tcBorders/>
            <w:vAlign w:val="center"/>
          </w:tcPr>
          <w:p>
            <w:pPr>
              <w:pStyle w:val="TableContents"/>
              <w:bidi w:val="0"/>
              <w:spacing w:lineRule="auto" w:line="285" w:before="0" w:after="0"/>
              <w:ind w:left="0" w:right="0" w:hanging="0"/>
              <w:jc w:val="left"/>
              <w:rPr/>
            </w:pPr>
            <w:r>
              <w:rPr/>
              <w:t>​</w:t>
            </w:r>
          </w:p>
        </w:tc>
        <w:tc>
          <w:tcPr>
            <w:tcW w:w="705"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116" w:type="dxa"/>
            <w:tcBorders/>
            <w:vAlign w:val="center"/>
          </w:tcPr>
          <w:p>
            <w:pPr>
              <w:pStyle w:val="TableContents"/>
              <w:bidi w:val="0"/>
              <w:spacing w:lineRule="auto" w:line="285" w:before="0" w:after="0"/>
              <w:ind w:left="0" w:right="0" w:hanging="0"/>
              <w:jc w:val="left"/>
              <w:rPr/>
            </w:pPr>
            <w:r>
              <w:rPr/>
              <w:t>​</w:t>
            </w:r>
          </w:p>
        </w:tc>
        <w:tc>
          <w:tcPr>
            <w:tcW w:w="718"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31.1*</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pPr>
            <w:hyperlink w:anchor="ttec-20260331xex31d1.htm">
              <w:r>
                <w:rPr>
                  <w:rStyle w:val="InternetLink"/>
                  <w:rFonts w:ascii="Arial;Helvetica;sans-serif" w:hAnsi="Arial;Helvetica;sans-serif"/>
                  <w:b w:val="false"/>
                  <w:i w:val="false"/>
                  <w:caps w:val="false"/>
                  <w:smallCaps w:val="false"/>
                  <w:sz w:val="20"/>
                </w:rPr>
                <w:t xml:space="preserve">Certification of Chief Executive Officer Pursuant to Rule 13a-14(a) or Rule 15d-14(a) under the Securities Exchange Act of 1934, as adopted pursuant to Section 302 of the Sarbanes-Oxley Act of 2002 </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31.2*</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pPr>
            <w:hyperlink w:anchor="ttec-20260331xex31d2.htm">
              <w:r>
                <w:rPr>
                  <w:rStyle w:val="InternetLink"/>
                  <w:rFonts w:ascii="Arial;Helvetica;sans-serif" w:hAnsi="Arial;Helvetica;sans-serif"/>
                  <w:b w:val="false"/>
                  <w:i w:val="false"/>
                  <w:caps w:val="false"/>
                  <w:smallCaps w:val="false"/>
                  <w:sz w:val="20"/>
                </w:rPr>
                <w:t>Certification of Chief Financial Officer Pursuant to Rule 13a-14(a) or Rule 15d-14(a) under the Securities Exchange Act of 1934, as adopted pursuant to Section 302 of the Sarbanes-Oxley Act of 2002)</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32.1*</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pPr>
            <w:hyperlink w:anchor="ttec-20260331xex32d1.htm">
              <w:r>
                <w:rPr>
                  <w:rStyle w:val="InternetLink"/>
                  <w:rFonts w:ascii="Arial;Helvetica;sans-serif" w:hAnsi="Arial;Helvetica;sans-serif"/>
                  <w:b w:val="false"/>
                  <w:i w:val="false"/>
                  <w:caps w:val="false"/>
                  <w:smallCaps w:val="false"/>
                  <w:sz w:val="20"/>
                </w:rPr>
                <w:t>Certification of Chief Executive Officer Pursuant to Section 906 of the Sarbanes-Oxley Act of 2002 (18 U.S.C. Section 1350)</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32.2*</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pPr>
            <w:hyperlink w:anchor="ttec-20260331xex32d2.htm">
              <w:r>
                <w:rPr>
                  <w:rStyle w:val="InternetLink"/>
                  <w:rFonts w:ascii="Arial;Helvetica;sans-serif" w:hAnsi="Arial;Helvetica;sans-serif"/>
                  <w:b w:val="false"/>
                  <w:i w:val="false"/>
                  <w:caps w:val="false"/>
                  <w:smallCaps w:val="false"/>
                  <w:sz w:val="20"/>
                </w:rPr>
                <w:t>Certification of Chief Financial Officer Pursuant to Section 906 of the Sarbanes-Oxley Act of 2002 (18 U.S.C. Section 1350)</w:t>
              </w:r>
            </w:hyperlink>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101.INS</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XBRL Instance Document (the instance document does not appear in the Interactive Data File because its XBRL tags are embedded within the Inline XBRL document)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101.SCH</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Schema</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101.CAL</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Calculation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101.DEF</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Definition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101.LAB</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Label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101.PRE</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Inline XBRL Taxonomy Extension Presentation Linkbase</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104</w:t>
            </w:r>
          </w:p>
        </w:tc>
        <w:tc>
          <w:tcPr>
            <w:tcW w:w="346" w:type="dxa"/>
            <w:tcBorders/>
            <w:shd w:fill="FFFFFF" w:val="cle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The cover page from TTEC Holdings, Inc’s Quarterly Report on Form 10-Q for the quarter ended March 31, 2026, formatted in Inline XBRL (included in Exhibit 101)</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left"/>
              <w:rPr/>
            </w:pPr>
            <w:r>
              <w:rPr/>
              <w:t>​</w: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pPr>
            <w:r>
              <w:rPr/>
              <w:t>​</w:t>
            </w:r>
          </w:p>
        </w:tc>
        <w:tc>
          <w:tcPr>
            <w:tcW w:w="346"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94" w:type="dxa"/>
            <w:tcBorders/>
            <w:shd w:fill="FFFFFF" w:val="clear"/>
            <w:vAlign w:val="center"/>
          </w:tcPr>
          <w:p>
            <w:pPr>
              <w:pStyle w:val="TableContents"/>
              <w:bidi w:val="0"/>
              <w:spacing w:lineRule="auto" w:line="285" w:before="0" w:after="0"/>
              <w:ind w:left="0" w:right="0" w:hanging="0"/>
              <w:jc w:val="both"/>
              <w:rPr/>
            </w:pPr>
            <w:r>
              <w:rPr/>
              <w:t>​</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r>
        <w:trPr/>
        <w:tc>
          <w:tcPr>
            <w:tcW w:w="740" w:type="dxa"/>
            <w:tcBorders/>
            <w:shd w:fill="FFFFFF" w:val="clear"/>
            <w:vAlign w:val="center"/>
          </w:tcPr>
          <w:p>
            <w:pPr>
              <w:pStyle w:val="TableContents"/>
              <w:bidi w:val="0"/>
              <w:spacing w:lineRule="auto" w:line="285" w:before="0" w:after="0"/>
              <w:ind w:left="0" w:right="0" w:hanging="0"/>
              <w:jc w:val="right"/>
              <w:rPr/>
            </w:pPr>
            <w:r>
              <w:rPr/>
              <w:t>​</w:t>
            </w:r>
          </w:p>
        </w:tc>
        <w:tc>
          <w:tcPr>
            <w:tcW w:w="346" w:type="dxa"/>
            <w:tcBorders/>
            <w:shd w:fill="FFFFFF" w:val="cle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794" w:type="dxa"/>
            <w:tcBorders/>
            <w:shd w:fill="FFFFFF" w:val="clear"/>
            <w:vAlign w:val="center"/>
          </w:tcPr>
          <w:p>
            <w:pPr>
              <w:pStyle w:val="TableContents"/>
              <w:bidi w:val="0"/>
              <w:spacing w:lineRule="auto" w:line="285" w:before="0" w:after="0"/>
              <w:ind w:left="0" w:right="0" w:hanging="0"/>
              <w:jc w:val="both"/>
              <w:rPr>
                <w:rFonts w:ascii="Arial;Helvetica;sans-serif" w:hAnsi="Arial;Helvetica;sans-serif"/>
                <w:sz w:val="16"/>
              </w:rPr>
            </w:pPr>
            <w:r>
              <w:rPr>
                <w:rFonts w:ascii="Arial;Helvetica;sans-serif" w:hAnsi="Arial;Helvetica;sans-serif"/>
                <w:sz w:val="16"/>
              </w:rPr>
              <w:t>Filed or furnished herewith.</w:t>
            </w:r>
          </w:p>
        </w:tc>
        <w:tc>
          <w:tcPr>
            <w:tcW w:w="109" w:type="dxa"/>
            <w:tcBorders/>
            <w:shd w:fill="FFFFFF" w:val="clear"/>
            <w:vAlign w:val="center"/>
          </w:tcPr>
          <w:p>
            <w:pPr>
              <w:pStyle w:val="TableContents"/>
              <w:bidi w:val="0"/>
              <w:spacing w:lineRule="auto" w:line="285" w:before="0" w:after="0"/>
              <w:ind w:left="0" w:right="0" w:hanging="0"/>
              <w:jc w:val="both"/>
              <w:rPr/>
            </w:pPr>
            <w:r>
              <w:rPr/>
              <w:t>​</w:t>
            </w:r>
          </w:p>
        </w:tc>
        <w:tc>
          <w:tcPr>
            <w:tcW w:w="561"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05" w:type="dxa"/>
            <w:tcBorders/>
            <w:shd w:fill="FFFFFF" w:val="clear"/>
            <w:vAlign w:val="center"/>
          </w:tcPr>
          <w:p>
            <w:pPr>
              <w:pStyle w:val="TableContents"/>
              <w:bidi w:val="0"/>
              <w:spacing w:lineRule="auto" w:line="285" w:before="0" w:after="0"/>
              <w:ind w:left="0" w:right="0" w:hanging="0"/>
              <w:jc w:val="both"/>
              <w:rPr/>
            </w:pPr>
            <w:r>
              <w:rPr/>
              <w:t>​</w:t>
            </w:r>
          </w:p>
        </w:tc>
        <w:tc>
          <w:tcPr>
            <w:tcW w:w="116" w:type="dxa"/>
            <w:tcBorders/>
            <w:shd w:fill="FFFFFF" w:val="clear"/>
            <w:vAlign w:val="center"/>
          </w:tcPr>
          <w:p>
            <w:pPr>
              <w:pStyle w:val="TableContents"/>
              <w:bidi w:val="0"/>
              <w:spacing w:lineRule="auto" w:line="285" w:before="0" w:after="0"/>
              <w:ind w:left="0" w:right="0" w:hanging="0"/>
              <w:jc w:val="both"/>
              <w:rPr/>
            </w:pPr>
            <w:r>
              <w:rPr/>
              <w:t>​</w:t>
            </w:r>
          </w:p>
        </w:tc>
        <w:tc>
          <w:tcPr>
            <w:tcW w:w="718" w:type="dxa"/>
            <w:tcBorders/>
            <w:shd w:fill="FFFFFF" w:val="clear"/>
            <w:vAlign w:val="center"/>
          </w:tcPr>
          <w:p>
            <w:pPr>
              <w:pStyle w:val="TableContents"/>
              <w:bidi w:val="0"/>
              <w:spacing w:lineRule="auto" w:line="285" w:before="0" w:after="0"/>
              <w:ind w:left="0" w:right="0" w:hanging="0"/>
              <w:jc w:val="both"/>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lineRule="auto" w:line="285"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285" w:before="0" w:after="0"/>
        <w:ind w:left="0" w:right="0" w:hanging="0"/>
        <w:jc w:val="center"/>
        <w:rPr>
          <w:rFonts w:ascii="Arial;Helvetica;sans-serif" w:hAnsi="Arial;Helvetica;sans-serif"/>
          <w:b/>
          <w:sz w:val="20"/>
        </w:rPr>
      </w:pPr>
      <w:bookmarkStart w:id="1215" w:name="SIGNATURES_121810"/>
      <w:bookmarkStart w:id="1216" w:name="_5e6e05cf_88cc_40b5_8fb8_696ed6d3ba27"/>
      <w:bookmarkEnd w:id="1215"/>
      <w:bookmarkEnd w:id="1216"/>
      <w:r>
        <w:rPr>
          <w:rFonts w:ascii="Arial;Helvetica;sans-serif" w:hAnsi="Arial;Helvetica;san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0"/>
        <w:ind w:left="0" w:right="0" w:hanging="0"/>
        <w:jc w:val="both"/>
        <w:rPr/>
      </w:pPr>
      <w:r>
        <w:rPr/>
        <w:t>​</w:t>
      </w:r>
    </w:p>
    <w:tbl>
      <w:tblPr>
        <w:tblW w:w="5567" w:type="dxa"/>
        <w:jc w:val="left"/>
        <w:tblInd w:w="0" w:type="dxa"/>
        <w:tblLayout w:type="fixed"/>
        <w:tblCellMar>
          <w:top w:w="0" w:type="dxa"/>
          <w:left w:w="0" w:type="dxa"/>
          <w:bottom w:w="0" w:type="dxa"/>
          <w:right w:w="0" w:type="dxa"/>
        </w:tblCellMar>
      </w:tblPr>
      <w:tblGrid>
        <w:gridCol w:w="1726"/>
        <w:gridCol w:w="406"/>
        <w:gridCol w:w="3227"/>
        <w:gridCol w:w="208"/>
      </w:tblGrid>
      <w:tr>
        <w:trPr/>
        <w:tc>
          <w:tcPr>
            <w:tcW w:w="17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pPr>
            <w:r>
              <w:rPr/>
              <w:t>​</w:t>
            </w:r>
          </w:p>
        </w:tc>
        <w:tc>
          <w:tcPr>
            <w:tcW w:w="3227"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TTEC HOLDINGS, INC.</w:t>
            </w:r>
          </w:p>
        </w:tc>
        <w:tc>
          <w:tcPr>
            <w:tcW w:w="208" w:type="dxa"/>
            <w:tcBorders/>
            <w:vAlign w:val="center"/>
          </w:tcPr>
          <w:p>
            <w:pPr>
              <w:pStyle w:val="TableContents"/>
              <w:bidi w:val="0"/>
              <w:spacing w:lineRule="auto" w:line="285" w:before="0" w:after="0"/>
              <w:ind w:left="0" w:right="0" w:hanging="0"/>
              <w:jc w:val="both"/>
              <w:rPr/>
            </w:pPr>
            <w:r>
              <w:rPr/>
              <w:t>​</w:t>
            </w:r>
          </w:p>
        </w:tc>
      </w:tr>
      <w:tr>
        <w:trPr/>
        <w:tc>
          <w:tcPr>
            <w:tcW w:w="1726"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pPr>
            <w:r>
              <w:rPr/>
              <w:t>​</w:t>
            </w:r>
          </w:p>
        </w:tc>
        <w:tc>
          <w:tcPr>
            <w:tcW w:w="3227"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(Registrant)</w:t>
            </w:r>
          </w:p>
        </w:tc>
        <w:tc>
          <w:tcPr>
            <w:tcW w:w="208" w:type="dxa"/>
            <w:tcBorders/>
            <w:vAlign w:val="center"/>
          </w:tcPr>
          <w:p>
            <w:pPr>
              <w:pStyle w:val="TableContents"/>
              <w:bidi w:val="0"/>
              <w:spacing w:lineRule="auto" w:line="285" w:before="0" w:after="0"/>
              <w:ind w:left="0" w:right="0" w:hanging="0"/>
              <w:jc w:val="both"/>
              <w:rPr/>
            </w:pPr>
            <w:r>
              <w:rPr/>
              <w:t>​</w:t>
            </w:r>
          </w:p>
        </w:tc>
      </w:tr>
      <w:tr>
        <w:trPr/>
        <w:tc>
          <w:tcPr>
            <w:tcW w:w="1726" w:type="dxa"/>
            <w:tcBorders/>
            <w:vAlign w:val="center"/>
          </w:tcPr>
          <w:p>
            <w:pPr>
              <w:pStyle w:val="TableContents"/>
              <w:bidi w:val="0"/>
              <w:spacing w:lineRule="auto" w:line="285" w:before="0" w:after="0"/>
              <w:ind w:left="0" w:right="0" w:hanging="0"/>
              <w:jc w:val="both"/>
              <w:rPr/>
            </w:pPr>
            <w:r>
              <w:rPr/>
              <w:t>​</w:t>
            </w:r>
          </w:p>
        </w:tc>
        <w:tc>
          <w:tcPr>
            <w:tcW w:w="406" w:type="dxa"/>
            <w:tcBorders/>
            <w:vAlign w:val="center"/>
          </w:tcPr>
          <w:p>
            <w:pPr>
              <w:pStyle w:val="TableContents"/>
              <w:bidi w:val="0"/>
              <w:spacing w:lineRule="auto" w:line="285" w:before="0" w:after="0"/>
              <w:ind w:left="0" w:right="0" w:hanging="0"/>
              <w:jc w:val="both"/>
              <w:rPr/>
            </w:pPr>
            <w:r>
              <w:rPr/>
              <w:t>​</w:t>
            </w:r>
          </w:p>
        </w:tc>
        <w:tc>
          <w:tcPr>
            <w:tcW w:w="3227" w:type="dxa"/>
            <w:tcBorders/>
            <w:vAlign w:val="center"/>
          </w:tcPr>
          <w:p>
            <w:pPr>
              <w:pStyle w:val="TableContents"/>
              <w:bidi w:val="0"/>
              <w:spacing w:lineRule="auto" w:line="285" w:before="0" w:after="0"/>
              <w:ind w:left="0" w:right="0" w:hanging="0"/>
              <w:jc w:val="both"/>
              <w:rPr/>
            </w:pPr>
            <w:r>
              <w:rPr/>
              <w:t>​</w:t>
            </w:r>
          </w:p>
        </w:tc>
        <w:tc>
          <w:tcPr>
            <w:tcW w:w="208" w:type="dxa"/>
            <w:tcBorders/>
            <w:vAlign w:val="center"/>
          </w:tcPr>
          <w:p>
            <w:pPr>
              <w:pStyle w:val="TableContents"/>
              <w:bidi w:val="0"/>
              <w:spacing w:lineRule="auto" w:line="285" w:before="0" w:after="0"/>
              <w:ind w:left="0" w:right="0" w:hanging="0"/>
              <w:jc w:val="both"/>
              <w:rPr/>
            </w:pPr>
            <w:r>
              <w:rPr/>
              <w:t>​</w:t>
            </w:r>
          </w:p>
        </w:tc>
      </w:tr>
      <w:tr>
        <w:trPr/>
        <w:tc>
          <w:tcPr>
            <w:tcW w:w="172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May 7,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D. Tuchman</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D. Tuchman</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5" w:type="dxa"/>
            <w:gridSpan w:val="2"/>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May 7, 2026</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22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R. Wagers, III</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R. Wagers, III</w:t>
            </w:r>
          </w:p>
        </w:tc>
        <w:tc>
          <w:tcPr>
            <w:tcW w:w="208"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27"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c>
          <w:tcPr>
            <w:tcW w:w="208"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lineRule="auto" w:line="285" w:before="0" w:after="0"/>
        <w:ind w:left="0" w:right="0" w:hanging="0"/>
        <w:jc w:val="right"/>
        <w:rPr>
          <w:rFonts w:ascii="Arial;Helvetica;sans-serif" w:hAnsi="Arial;Helvetica;sans-serif"/>
          <w:b/>
          <w:sz w:val="20"/>
        </w:rPr>
      </w:pPr>
      <w:bookmarkStart w:id="1217" w:name="ttec-20260331xex31d1.htm"/>
      <w:bookmarkStart w:id="1218" w:name="ksttec20260331xex31d1"/>
      <w:bookmarkEnd w:id="1217"/>
      <w:bookmarkEnd w:id="1218"/>
      <w:r>
        <w:rPr>
          <w:rFonts w:ascii="Arial;Helvetica;sans-serif" w:hAnsi="Arial;Helvetica;san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Kenneth D. Tuchman,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
        <w:gridCol w:w="227"/>
        <w:gridCol w:w="9736"/>
      </w:tblGrid>
      <w:tr>
        <w:trPr/>
        <w:tc>
          <w:tcPr>
            <w:tcW w:w="242"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9736" w:type="dxa"/>
            <w:tcBorders/>
            <w:vAlign w:val="center"/>
          </w:tcPr>
          <w:p>
            <w:pPr>
              <w:pStyle w:val="TableContents"/>
              <w:bidi w:val="0"/>
              <w:spacing w:lineRule="auto" w:line="285" w:before="0" w:after="0"/>
              <w:ind w:left="0" w:right="0" w:hanging="0"/>
              <w:jc w:val="left"/>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have reviewed this quarterly report on Form 10-Q of TTEC Holdings, Inc.;</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3.</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4.</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5.</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May 7, 2026</w:t>
      </w:r>
    </w:p>
    <w:tbl>
      <w:tblPr>
        <w:tblW w:w="3966" w:type="dxa"/>
        <w:jc w:val="left"/>
        <w:tblInd w:w="0" w:type="dxa"/>
        <w:tblLayout w:type="fixed"/>
        <w:tblCellMar>
          <w:top w:w="0" w:type="dxa"/>
          <w:left w:w="0" w:type="dxa"/>
          <w:bottom w:w="0" w:type="dxa"/>
          <w:right w:w="0" w:type="dxa"/>
        </w:tblCellMar>
      </w:tblPr>
      <w:tblGrid>
        <w:gridCol w:w="124"/>
        <w:gridCol w:w="40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3842" w:type="dxa"/>
            <w:gridSpan w:val="2"/>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219" w:name="ttec-20260331xex31d2.htm"/>
      <w:bookmarkStart w:id="1220" w:name="ksttec20260331xex31d2"/>
      <w:bookmarkEnd w:id="1219"/>
      <w:bookmarkEnd w:id="1220"/>
      <w:r>
        <w:rPr>
          <w:rFonts w:ascii="Arial;Helvetica;sans-serif" w:hAnsi="Arial;Helvetica;sans-serif"/>
          <w:b/>
          <w:sz w:val="20"/>
        </w:rPr>
        <w:t>Exhibit 31.2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Kenneth R. Wagers, III, certify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
        <w:gridCol w:w="227"/>
        <w:gridCol w:w="9736"/>
      </w:tblGrid>
      <w:tr>
        <w:trPr/>
        <w:tc>
          <w:tcPr>
            <w:tcW w:w="242" w:type="dxa"/>
            <w:tcBorders/>
            <w:vAlign w:val="center"/>
          </w:tcPr>
          <w:p>
            <w:pPr>
              <w:pStyle w:val="TableContents"/>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left"/>
              <w:rPr/>
            </w:pPr>
            <w:r>
              <w:rPr/>
              <w:t>​</w:t>
            </w:r>
          </w:p>
        </w:tc>
        <w:tc>
          <w:tcPr>
            <w:tcW w:w="9736" w:type="dxa"/>
            <w:tcBorders/>
            <w:vAlign w:val="center"/>
          </w:tcPr>
          <w:p>
            <w:pPr>
              <w:pStyle w:val="TableContents"/>
              <w:bidi w:val="0"/>
              <w:spacing w:lineRule="auto" w:line="285" w:before="0" w:after="0"/>
              <w:ind w:left="0" w:right="0" w:hanging="0"/>
              <w:jc w:val="left"/>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I have reviewed this quarterly report on Form 10-Q of TTEC Holdings, Inc.;</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2.</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3.</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4.</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9963" w:type="dxa"/>
            <w:gridSpan w:val="2"/>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c)</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5.</w:t>
            </w:r>
          </w:p>
        </w:tc>
        <w:tc>
          <w:tcPr>
            <w:tcW w:w="9963" w:type="dxa"/>
            <w:gridSpan w:val="2"/>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pPr>
            <w:r>
              <w:rPr/>
              <w:t>​</w:t>
            </w:r>
          </w:p>
        </w:tc>
        <w:tc>
          <w:tcPr>
            <w:tcW w:w="9736" w:type="dxa"/>
            <w:tcBorders/>
            <w:vAlign w:val="center"/>
          </w:tcPr>
          <w:p>
            <w:pPr>
              <w:pStyle w:val="TableContents"/>
              <w:bidi w:val="0"/>
              <w:spacing w:lineRule="auto" w:line="285" w:before="0" w:after="0"/>
              <w:ind w:left="0" w:right="0" w:hanging="0"/>
              <w:jc w:val="both"/>
              <w:rPr/>
            </w:pPr>
            <w:r>
              <w:rPr/>
              <w:t>​</w:t>
            </w:r>
          </w:p>
        </w:tc>
      </w:tr>
      <w:tr>
        <w:trPr/>
        <w:tc>
          <w:tcPr>
            <w:tcW w:w="242" w:type="dxa"/>
            <w:tcBorders/>
            <w:vAlign w:val="center"/>
          </w:tcPr>
          <w:p>
            <w:pPr>
              <w:pStyle w:val="TableContents"/>
              <w:pBdr/>
              <w:bidi w:val="0"/>
              <w:spacing w:lineRule="auto" w:line="285" w:before="0" w:after="0"/>
              <w:ind w:left="0" w:right="0" w:hanging="0"/>
              <w:jc w:val="left"/>
              <w:rPr/>
            </w:pPr>
            <w:r>
              <w:rPr/>
              <w:t>​</w:t>
            </w:r>
          </w:p>
        </w:tc>
        <w:tc>
          <w:tcPr>
            <w:tcW w:w="227"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b)</w:t>
            </w:r>
          </w:p>
        </w:tc>
        <w:tc>
          <w:tcPr>
            <w:tcW w:w="9736" w:type="dxa"/>
            <w:tcBorders/>
            <w:vAlign w:val="center"/>
          </w:tcPr>
          <w:p>
            <w:pPr>
              <w:pStyle w:val="TableContents"/>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288"/>
        <w:jc w:val="left"/>
        <w:rPr>
          <w:rFonts w:ascii="Arial;Helvetica;sans-serif" w:hAnsi="Arial;Helvetica;sans-serif"/>
          <w:sz w:val="20"/>
        </w:rPr>
      </w:pPr>
      <w:r>
        <w:rPr>
          <w:rFonts w:ascii="Arial;Helvetica;sans-serif" w:hAnsi="Arial;Helvetica;sans-serif"/>
          <w:sz w:val="20"/>
        </w:rPr>
        <w:t>Date: May 7,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4446" w:type="dxa"/>
        <w:jc w:val="left"/>
        <w:tblInd w:w="0" w:type="dxa"/>
        <w:tblLayout w:type="fixed"/>
        <w:tblCellMar>
          <w:top w:w="0" w:type="dxa"/>
          <w:left w:w="0" w:type="dxa"/>
          <w:bottom w:w="0" w:type="dxa"/>
          <w:right w:w="0" w:type="dxa"/>
        </w:tblCellMar>
      </w:tblPr>
      <w:tblGrid>
        <w:gridCol w:w="124"/>
        <w:gridCol w:w="406"/>
        <w:gridCol w:w="391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1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221" w:name="ttec-20260331xex32d1.htm"/>
      <w:bookmarkStart w:id="1222" w:name="ksttec20260331xex32d1"/>
      <w:bookmarkEnd w:id="1221"/>
      <w:bookmarkEnd w:id="1222"/>
      <w:r>
        <w:rPr>
          <w:rFonts w:ascii="Arial;Helvetica;sans-serif" w:hAnsi="Arial;Helvetica;sans-serif"/>
          <w:b/>
          <w:sz w:val="20"/>
        </w:rPr>
        <w:t>Exhibit 32.1</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PURSUANT TO SECTION 906 OF THE SARBANES-OXLEY ACT OF 2002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undersigned, the Chief Executive Officer of TTEC Holdings, Inc. (the “Company”), hereby certifies that, to his knowledge on the date hereof:</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997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Form 10-Q of the Company for the quarter ended March 31, 2026 filed on the date hereof with the Securities and Exchange Commission (the “Report”) fully complies with the requirements of Section 13(a) or 15(d) of the Securities and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995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3966" w:type="dxa"/>
        <w:jc w:val="left"/>
        <w:tblInd w:w="0" w:type="dxa"/>
        <w:tblLayout w:type="fixed"/>
        <w:tblCellMar>
          <w:top w:w="0" w:type="dxa"/>
          <w:left w:w="0" w:type="dxa"/>
          <w:bottom w:w="0" w:type="dxa"/>
          <w:right w:w="0" w:type="dxa"/>
        </w:tblCellMar>
      </w:tblPr>
      <w:tblGrid>
        <w:gridCol w:w="124"/>
        <w:gridCol w:w="40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D. Tuchman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Chairman and 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Date: May 7, 2026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223" w:name="ttec-20260331xex32d2.htm"/>
      <w:bookmarkStart w:id="1224" w:name="ksttec20260331xex32d2"/>
      <w:bookmarkEnd w:id="1223"/>
      <w:bookmarkEnd w:id="1224"/>
      <w:r>
        <w:rPr>
          <w:rFonts w:ascii="Arial;Helvetica;sans-serif" w:hAnsi="Arial;Helvetica;san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Arial;Helvetica;sans-serif" w:hAnsi="Arial;Helvetica;sans-serif"/>
          <w:b/>
          <w:sz w:val="20"/>
        </w:rPr>
        <w:t>PURSUANT TO SECTION 906 OF THE SARBANES</w:t>
      </w:r>
      <w:r>
        <w:rPr>
          <w:rFonts w:ascii="Arial;Helvetica;sans-serif" w:hAnsi="Arial;Helvetica;sans-serif"/>
          <w:sz w:val="20"/>
        </w:rPr>
        <w:t>-</w:t>
      </w:r>
      <w:r>
        <w:rPr>
          <w:rFonts w:ascii="Arial;Helvetica;sans-serif" w:hAnsi="Arial;Helvetica;sans-serif"/>
          <w:b/>
          <w:sz w:val="20"/>
        </w:rPr>
        <w:t>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The undersigned, the Chief Financial Officer of TTEC Holdings, Inc. (the “Company”), hereby certifies that, to his knowledge on the date hereof:</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(a)</w:t>
            </w:r>
          </w:p>
        </w:tc>
        <w:tc>
          <w:tcPr>
            <w:tcW w:w="9973"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Form 10-Q of the Company for the quarter ended March 31, 2026 filed on the date hereof with the Securities and Exchange Commission (the “Report”) fully complies with the requirements of Section 13(a) or 15(d) of the Securities and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(b)</w:t>
            </w:r>
          </w:p>
        </w:tc>
        <w:tc>
          <w:tcPr>
            <w:tcW w:w="9951"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tbl>
      <w:tblPr>
        <w:tblW w:w="3381" w:type="dxa"/>
        <w:jc w:val="left"/>
        <w:tblInd w:w="0" w:type="dxa"/>
        <w:tblLayout w:type="fixed"/>
        <w:tblCellMar>
          <w:top w:w="0" w:type="dxa"/>
          <w:left w:w="0" w:type="dxa"/>
          <w:bottom w:w="0" w:type="dxa"/>
          <w:right w:w="0" w:type="dxa"/>
        </w:tblCellMar>
      </w:tblPr>
      <w:tblGrid>
        <w:gridCol w:w="124"/>
        <w:gridCol w:w="406"/>
        <w:gridCol w:w="2851"/>
      </w:tblGrid>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85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28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/s/ 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85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Kenneth R. Wagers, III</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85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Arial;Helvetica;sans-serif" w:hAnsi="Arial;Helvetica;sans-serif"/>
          <w:sz w:val="20"/>
        </w:rPr>
      </w:pPr>
      <w:r>
        <w:rPr>
          <w:rFonts w:ascii="Arial;Helvetica;sans-serif" w:hAnsi="Arial;Helvetica;sans-serif"/>
          <w:sz w:val="20"/>
        </w:rPr>
        <w:t>Date: May 7,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13880/000110465926020532/ttec-20251231x10k.htm" TargetMode="External"/><Relationship Id="rId3" Type="http://schemas.openxmlformats.org/officeDocument/2006/relationships/hyperlink" Target="https://www.sec.gov/ix?doc=/Archives/edgar/data/1013880/000110465926020532/ttec-20251231x10k.htm" TargetMode="External"/><Relationship Id="rId4" Type="http://schemas.openxmlformats.org/officeDocument/2006/relationships/hyperlink" Target="https://www.sec.gov/ix?doc=/Archives/edgar/data/1013880/000110465926020532/ttec-20251231x10k.htm" TargetMode="External"/><Relationship Id="rId5" Type="http://schemas.openxmlformats.org/officeDocument/2006/relationships/hyperlink" Target="https://www.sec.gov/ix?doc=/Archives/edgar/data/1013880/000110465926020532/ttec-20251231x10k.htm" TargetMode="External"/><Relationship Id="rId6" Type="http://schemas.openxmlformats.org/officeDocument/2006/relationships/hyperlink" Target="https://www.sec.gov/ix?doc=/Archives/edgar/data/1013880/000110465926020532/ttec-20251231x10k.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18109</Words>
  <Characters>102565</Characters>
  <CharactersWithSpaces>123600</CharactersWithSpaces>
  <Paragraphs>6227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