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-228600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-570230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-616585</wp:posOffset>
            </wp:positionV>
            <wp:extent cx="57785" cy="6299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3949065</wp:posOffset>
            </wp:positionH>
            <wp:positionV relativeFrom="paragraph">
              <wp:posOffset>-616585</wp:posOffset>
            </wp:positionV>
            <wp:extent cx="57785" cy="629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730250</wp:posOffset>
            </wp:positionV>
            <wp:extent cx="6995795" cy="50050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5005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9"/>
                </w:rPr>
                <w:t>Conley Gregory A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TTEC Holdings,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TTEC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05/21/2026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100 CONGRESS AVENUE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SUITE 1425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AUSTIN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78701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1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05/21/2026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36,965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89,475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36,965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32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36,965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6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70,896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32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70,896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203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70,896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-2195830</wp:posOffset>
            </wp:positionV>
            <wp:extent cx="28575" cy="22009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20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 w:right="500"/>
        <w:spacing w:after="0" w:line="249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vesting of Restricted Stock Units ("RSUs") on May 21, 2026. The Reporting Person initially received 36,965 time-based RSUs on May 23, 2025. The RSUs vest in full on the earlier of: (i) the first anniversary of the date of the grant; (ii) the date of the succeeding year's annual meeting of stockholders; or (iii) any change-in-control event (as defined in the RSU Agreement).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/>
        <w:spacing w:after="0" w:line="249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70,896 time-based RSUs on May 21, 2026. The RSUs vest in full on the earlier of: (i) the first anniversary of the date of the grant; (ii) the date of the succeeding year's annual meeting of stockholders; or (iii) any change-in-control event (as defined in the RSU Agreement).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Margaret B. McLean,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-3175</wp:posOffset>
            </wp:positionV>
            <wp:extent cx="10306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Attorney-in-Fact for Gregory A. 05/26/2026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-10795</wp:posOffset>
            </wp:positionV>
            <wp:extent cx="18713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3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Conley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-10795</wp:posOffset>
            </wp:positionV>
            <wp:extent cx="3022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2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50550" TargetMode="External"/><Relationship Id="rId14" Type="http://schemas.openxmlformats.org/officeDocument/2006/relationships/hyperlink" Target="http://www.sec.gov/cgi-bin/browse-edgar?action=getcompany&amp;CIK=00010138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2026-05-26T16:42:21Z</dcterms:created>
  <dcterms:modified xsi:type="dcterms:W3CDTF">2026-05-26T16:42:21Z</dcterms:modified>
</cp:coreProperties>
</file>