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05262026_080518.xml.htm"/>
      <w:bookmarkStart w:id="1" w:name="ksform405262026_080518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Frerichs Robert 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 CONGRESS AVENUE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1425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AUSTIN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78701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TTEC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TTEC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05/21/2026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36,965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90,600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62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62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42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05/21/2026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36,965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36,965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05/21/2026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70,896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70,896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70,896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Reflects vesting of Restricted Stock Units ("RSUs") on May 21, 2026. The Reporting Person initially received 36,965 time-based RSUs on May 23, 2025. The RSUs vest in full on the earlier of: (i) the first anniversary of the date of the grant; (ii) the date of the succeeding year's annual meeting of stockholders; or (iii) any change-in-control event (as defined in the RSU Agreement).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Reporting Person received 70,896 time-based RSUs on May 21, 2026. The RSUs vest in full on the earlier of: (i) the first anniversary of the date of the grant; (ii) the date of the succeeding year's annual meeting of stockholders; or (iii) any change-in-control event (as defined in the RSU Agreement).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Margaret B. McLean, Attorney-in-Fact for Robert N. Frerichs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05/26/2026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302895" TargetMode="External"/><Relationship Id="rId5" Type="http://schemas.openxmlformats.org/officeDocument/2006/relationships/hyperlink" Target="http://www.sec.gov/cgi-bin/browse-edgar?action=getcompany&amp;CIK=000101388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711</Words>
  <Characters>3779</Characters>
  <CharactersWithSpaces>4416</CharactersWithSpaces>
  <Paragraphs>120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