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032026_100352.xml.htm"/>
      <w:bookmarkStart w:id="1" w:name="ksform403032026_10035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Wagers Kenneth R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CONGRESS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TTEC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TTEC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57,679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132,341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14,045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2.5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118,296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57,679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57,679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173,035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vesting of Restricted Stock Units ("RSUs") on March 1, 2026. The Reporting Person initially received 288,392 time-based RSUs on March 1, 2024. The RSUs vest in five installments of 20% per year beginning on March 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withholding of shares to satisfy tax obligations in connection with the vesting of RSUs. No shares were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Margaret B. McLean, Attorney-in-Fact for Kenneth R. Wagers, III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8294" TargetMode="External"/><Relationship Id="rId5" Type="http://schemas.openxmlformats.org/officeDocument/2006/relationships/hyperlink" Target="http://www.sec.gov/cgi-bin/browse-edgar?action=getcompany&amp;CIK=00010138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651</Words>
  <Characters>3501</Characters>
  <CharactersWithSpaces>4079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