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bookmarkStart w:id="0" w:name="tm2627186d1_8k.htm"/>
      <w:bookmarkStart w:id="1" w:name="kstm2627186d1_8k"/>
      <w:bookmarkEnd w:id="0"/>
      <w:bookmarkEnd w:id="1"/>
      <w:r>
        <w:rPr/>
        <w:t> </w:t>
      </w:r>
    </w:p>
    <w:p>
      <w:pPr>
        <w:pStyle w:val="TextBody"/>
        <w:bidi w:val="0"/>
        <w:ind w:left="0" w:right="0" w:hanging="0"/>
        <w:jc w:val="left"/>
        <w:rPr>
          <w:caps w:val="false"/>
          <w:smallCaps w:val="false"/>
          <w:bdr w:val="single" w:sz="16" w:space="1" w:color="000000"/>
        </w:rPr>
      </w:pPr>
      <w:r>
        <w:rPr>
          <w:caps w:val="false"/>
          <w:smallCaps w:val="false"/>
          <w:bdr w:val="single" w:sz="16"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UNITED STATES</w:t>
      </w:r>
    </w:p>
    <w:p>
      <w:pPr>
        <w:pStyle w:val="TextBody"/>
        <w:bidi w:val="0"/>
        <w:spacing w:before="0" w:after="0"/>
        <w:ind w:left="0" w:right="0"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SECURITIES AND EXCHANGE COMMISSION</w:t>
      </w:r>
    </w:p>
    <w:p>
      <w:pPr>
        <w:pStyle w:val="TextBody"/>
        <w:bidi w:val="0"/>
        <w:spacing w:before="0" w:after="0"/>
        <w:ind w:left="0" w:right="0" w:hanging="0"/>
        <w:jc w:val="center"/>
        <w:rPr>
          <w:rFonts w:ascii="Arial;Helvetica;Sans-Serif" w:hAnsi="Arial;Helvetica;Sans-Serif"/>
          <w:b w:val="false"/>
          <w:i w:val="false"/>
          <w:caps w:val="false"/>
          <w:smallCaps w:val="false"/>
          <w:sz w:val="28"/>
        </w:rPr>
      </w:pPr>
      <w:r>
        <w:rPr>
          <w:rFonts w:ascii="Arial;Helvetica;Sans-Serif" w:hAnsi="Arial;Helvetica;Sans-Serif"/>
          <w:b w:val="false"/>
          <w:i w:val="false"/>
          <w:caps w:val="false"/>
          <w:smallCaps w:val="false"/>
          <w:sz w:val="28"/>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8"/>
        </w:rPr>
      </w:pPr>
      <w:r>
        <w:rPr>
          <w:rFonts w:ascii="Arial;Helvetica;Sans-Serif" w:hAnsi="Arial;Helvetica;Sans-Serif"/>
          <w:b/>
          <w:i w:val="false"/>
          <w:caps w:val="false"/>
          <w:smallCaps w:val="false"/>
          <w:sz w:val="28"/>
        </w:rPr>
        <w:t xml:space="preserve">FORM </w:t>
      </w:r>
      <w:bookmarkStart w:id="2" w:name="xdx_90B_edei--DocumentType_c20261001__20"/>
      <w:bookmarkEnd w:id="2"/>
      <w:r>
        <w:rPr>
          <w:rFonts w:ascii="Arial;Helvetica;Sans-Serif" w:hAnsi="Arial;Helvetica;San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CURRENT REPORT</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Section 13 or 15(d) of the 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Date of Report (Date of earliest event reported): </w:t>
      </w:r>
      <w:bookmarkStart w:id="3" w:name="xdx_90C_edei--DocumentPeriodEndDate_c202"/>
      <w:bookmarkEnd w:id="3"/>
      <w:r>
        <w:rPr>
          <w:rFonts w:ascii="Arial;Helvetica;Sans-Serif" w:hAnsi="Arial;Helvetica;Sans-Serif"/>
          <w:b w:val="false"/>
          <w:i w:val="false"/>
          <w:caps w:val="false"/>
          <w:smallCaps w:val="false"/>
          <w:sz w:val="20"/>
        </w:rPr>
        <w:t>October 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i w:val="false"/>
          <w:caps w:val="false"/>
          <w:smallCaps w:val="false"/>
          <w:sz w:val="36"/>
        </w:rPr>
      </w:pPr>
      <w:bookmarkStart w:id="4" w:name="xdx_905_edei--EntityRegistrantName_c2026"/>
      <w:bookmarkEnd w:id="4"/>
      <w:r>
        <w:rPr>
          <w:rFonts w:ascii="Arial;Helvetica;Sans-Serif" w:hAnsi="Arial;Helvetica;Sans-Serif"/>
          <w:b/>
          <w:i w:val="false"/>
          <w:caps w:val="false"/>
          <w:smallCaps w:val="false"/>
          <w:sz w:val="36"/>
        </w:rPr>
        <w:t>TTEC HOLDINGS, INC.</w:t>
      </w:r>
    </w:p>
    <w:p>
      <w:pPr>
        <w:pStyle w:val="TextBody"/>
        <w:bidi w:val="0"/>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center"/>
        <w:rPr>
          <w:rFonts w:ascii="Arial;Helvetica;Sans-Serif" w:hAnsi="Arial;Helvetica;Sans-Serif"/>
        </w:rPr>
      </w:pPr>
      <w:bookmarkStart w:id="5" w:name="xdx_90C_edei--EntityIncorporationStateCo"/>
      <w:bookmarkEnd w:id="5"/>
      <w:r>
        <w:rPr>
          <w:rFonts w:ascii="Arial;Helvetica;Sans-Serif" w:hAnsi="Arial;Helvetica;Sans-Serif"/>
        </w:rPr>
        <w:t xml:space="preserve">Texas | </w:t>
      </w:r>
      <w:bookmarkStart w:id="6" w:name="xdx_907_edei--EntityFileNumber_c20261001"/>
      <w:bookmarkEnd w:id="6"/>
      <w:r>
        <w:rPr>
          <w:rFonts w:ascii="Arial;Helvetica;Sans-Serif" w:hAnsi="Arial;Helvetica;Sans-Serif"/>
        </w:rPr>
        <w:t xml:space="preserve">001-11919 | </w:t>
      </w:r>
      <w:bookmarkStart w:id="7" w:name="xdx_900_edei--EntityTaxIdentificationNum"/>
      <w:bookmarkEnd w:id="7"/>
      <w:r>
        <w:rPr>
          <w:rFonts w:ascii="Arial;Helvetica;Sans-Serif" w:hAnsi="Arial;Helvetica;Sans-Serif"/>
        </w:rPr>
        <w:t>84-1291044</w:t>
      </w:r>
    </w:p>
    <w:p>
      <w:pPr>
        <w:pStyle w:val="TextBody"/>
        <w:bidi w:val="0"/>
        <w:jc w:val="center"/>
        <w:rPr>
          <w:rFonts w:ascii="Arial;Helvetica;Sans-Serif" w:hAnsi="Arial;Helvetica;Sans-Serif"/>
        </w:rPr>
      </w:pPr>
      <w:r>
        <w:rPr>
          <w:rFonts w:ascii="Arial;Helvetica;Sans-Serif" w:hAnsi="Arial;Helvetica;Sans-Serif"/>
          <w:i/>
        </w:rPr>
        <w:t>(State or other jurisdiction of incorporation)</w:t>
      </w:r>
      <w:r>
        <w:rPr>
          <w:rFonts w:ascii="Arial;Helvetica;Sans-Serif" w:hAnsi="Arial;Helvetica;Sans-Serif"/>
        </w:rPr>
        <w:t xml:space="preserve"> | </w:t>
      </w:r>
      <w:r>
        <w:rPr>
          <w:rFonts w:ascii="Arial;Helvetica;Sans-Serif" w:hAnsi="Arial;Helvetica;Sans-Serif"/>
          <w:i/>
        </w:rPr>
        <w:t>(Commission File Number)</w:t>
      </w:r>
      <w:r>
        <w:rPr>
          <w:rFonts w:ascii="Arial;Helvetica;Sans-Serif" w:hAnsi="Arial;Helvetica;Sans-Serif"/>
        </w:rPr>
        <w:t xml:space="preserve"> | </w:t>
      </w:r>
      <w:r>
        <w:rPr>
          <w:rFonts w:ascii="Arial;Helvetica;Sans-Serif" w:hAnsi="Arial;Helvetica;Sans-Serif"/>
          <w:i/>
        </w:rPr>
        <w:t>(IRS Employer Identification No.)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bookmarkStart w:id="8" w:name="xdx_90E_edei--EntityAddressAddressLine1_"/>
      <w:bookmarkEnd w:id="8"/>
      <w:r>
        <w:rPr>
          <w:rFonts w:ascii="Arial;Helvetica;Sans-Serif" w:hAnsi="Arial;Helvetica;Sans-Serif"/>
          <w:b w:val="false"/>
          <w:i w:val="false"/>
          <w:caps w:val="false"/>
          <w:smallCaps w:val="false"/>
          <w:sz w:val="20"/>
        </w:rPr>
        <w:t xml:space="preserve">100 Congress Avenue, </w:t>
      </w:r>
      <w:bookmarkStart w:id="9" w:name="xdx_908_edei--EntityAddressAddressLine2_"/>
      <w:bookmarkEnd w:id="9"/>
      <w:r>
        <w:rPr>
          <w:rFonts w:ascii="Arial;Helvetica;Sans-Serif" w:hAnsi="Arial;Helvetica;Sans-Serif"/>
          <w:b w:val="false"/>
          <w:i w:val="false"/>
          <w:caps w:val="false"/>
          <w:smallCaps w:val="false"/>
          <w:sz w:val="20"/>
        </w:rPr>
        <w:t xml:space="preserve">Suite 1425,  </w:t>
      </w:r>
      <w:bookmarkStart w:id="10" w:name="xdx_90D_edei--EntityAddressCityOrTown_c2"/>
      <w:bookmarkEnd w:id="10"/>
      <w:r>
        <w:rPr>
          <w:rFonts w:ascii="Arial;Helvetica;Sans-Serif" w:hAnsi="Arial;Helvetica;Sans-Serif"/>
          <w:b w:val="false"/>
          <w:i w:val="false"/>
          <w:caps w:val="false"/>
          <w:smallCaps w:val="false"/>
          <w:sz w:val="20"/>
        </w:rPr>
        <w:t xml:space="preserve">Austin, </w:t>
      </w:r>
      <w:bookmarkStart w:id="11" w:name="xdx_90A_edei--EntityAddressStateOrProvin"/>
      <w:bookmarkEnd w:id="11"/>
      <w:r>
        <w:rPr>
          <w:rFonts w:ascii="Arial;Helvetica;Sans-Serif" w:hAnsi="Arial;Helvetica;Sans-Serif"/>
          <w:b w:val="false"/>
          <w:i w:val="false"/>
          <w:caps w:val="false"/>
          <w:smallCaps w:val="false"/>
          <w:sz w:val="20"/>
        </w:rPr>
        <w:t xml:space="preserve">Texas </w:t>
      </w:r>
      <w:bookmarkStart w:id="12" w:name="xdx_905_edei--EntityAddressPostalZipCode"/>
      <w:bookmarkEnd w:id="12"/>
      <w:r>
        <w:rPr>
          <w:rFonts w:ascii="Arial;Helvetica;Sans-Serif" w:hAnsi="Arial;Helvetica;Sans-Serif"/>
          <w:b w:val="false"/>
          <w:i w:val="false"/>
          <w:caps w:val="false"/>
          <w:smallCaps w:val="false"/>
          <w:sz w:val="20"/>
        </w:rPr>
        <w:t>78701</w:t>
      </w:r>
    </w:p>
    <w:p>
      <w:pPr>
        <w:pStyle w:val="TextBody"/>
        <w:bidi w:val="0"/>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 xml:space="preserve">(Address of principal executive offices, including zip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t>
      </w:r>
      <w:bookmarkStart w:id="13" w:name="xdx_902_edei--CityAreaCode_c20261001__20"/>
      <w:bookmarkEnd w:id="13"/>
      <w:r>
        <w:rPr>
          <w:rFonts w:ascii="Arial;Helvetica;Sans-Serif" w:hAnsi="Arial;Helvetica;Sans-Serif"/>
          <w:b w:val="false"/>
          <w:i w:val="false"/>
          <w:caps w:val="false"/>
          <w:smallCaps w:val="false"/>
          <w:sz w:val="20"/>
        </w:rPr>
        <w:t xml:space="preserve">303) </w:t>
      </w:r>
      <w:bookmarkStart w:id="14" w:name="xdx_905_edei--LocalPhoneNumber_c20261001"/>
      <w:bookmarkEnd w:id="14"/>
      <w:r>
        <w:rPr>
          <w:rFonts w:ascii="Arial;Helvetica;Sans-Serif" w:hAnsi="Arial;Helvetica;Sans-Serif"/>
          <w:b w:val="false"/>
          <w:i w:val="false"/>
          <w:caps w:val="false"/>
          <w:smallCaps w:val="false"/>
          <w:sz w:val="20"/>
        </w:rPr>
        <w:t>397-8100</w:t>
      </w:r>
    </w:p>
    <w:p>
      <w:pPr>
        <w:pStyle w:val="TextBody"/>
        <w:bidi w:val="0"/>
        <w:spacing w:before="0" w:after="0"/>
        <w:ind w:left="0" w:right="0" w:hanging="0"/>
        <w:jc w:val="center"/>
        <w:rPr>
          <w:rFonts w:ascii="Arial;Helvetica;Sans-Serif" w:hAnsi="Arial;Helvetica;Sans-Serif"/>
          <w:b w:val="false"/>
          <w:i/>
          <w:caps w:val="false"/>
          <w:smallCaps w:val="false"/>
          <w:sz w:val="20"/>
        </w:rPr>
      </w:pPr>
      <w:r>
        <w:rPr>
          <w:rFonts w:ascii="Arial;Helvetica;Sans-Serif" w:hAnsi="Arial;Helvetica;Sans-Serif"/>
          <w:b w:val="false"/>
          <w:i/>
          <w:caps w:val="false"/>
          <w:smallCaps w:val="false"/>
          <w:sz w:val="20"/>
        </w:rPr>
        <w:t>(Registrant’s telephone number, including area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Not Applicable </w:t>
        <w:br/>
      </w:r>
      <w:r>
        <w:rPr>
          <w:rFonts w:ascii="Arial;Helvetica;Sans-Serif" w:hAnsi="Arial;Helvetica;Sans-Serif"/>
          <w:b w:val="false"/>
          <w:i/>
          <w:caps w:val="false"/>
          <w:smallCaps w:val="false"/>
          <w:sz w:val="20"/>
        </w:rPr>
        <w:t>(Former name or former address, if changed since last report)</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Check the appropriate box below if the Form 8-K filing is intended to simultaneously satisfy the filing obligation of the registrant under any of the following provisions: </w:t>
      </w:r>
    </w:p>
    <w:p>
      <w:pPr>
        <w:pStyle w:val="TextBody"/>
        <w:bidi w:val="0"/>
        <w:spacing w:before="0" w:after="0"/>
        <w:ind w:left="0" w:right="0" w:hanging="0"/>
        <w:jc w:val="both"/>
        <w:rPr>
          <w:caps w:val="false"/>
          <w:smallCaps w:val="false"/>
        </w:rPr>
      </w:pPr>
      <w:r>
        <w:rPr>
          <w:caps w:val="false"/>
          <w:smallCaps w:val="false"/>
        </w:rPr>
        <w:t> </w:t>
      </w:r>
    </w:p>
    <w:tbl>
      <w:tblPr>
        <w:tblW w:w="9910" w:type="dxa"/>
        <w:jc w:val="left"/>
        <w:tblInd w:w="0" w:type="dxa"/>
        <w:tblLayout w:type="fixed"/>
        <w:tblCellMar>
          <w:top w:w="0" w:type="dxa"/>
          <w:left w:w="0" w:type="dxa"/>
          <w:bottom w:w="0" w:type="dxa"/>
          <w:right w:w="0" w:type="dxa"/>
        </w:tblCellMar>
      </w:tblPr>
      <w:tblGrid>
        <w:gridCol w:w="245"/>
        <w:gridCol w:w="9665"/>
      </w:tblGrid>
      <w:tr>
        <w:trPr/>
        <w:tc>
          <w:tcPr>
            <w:tcW w:w="245" w:type="dxa"/>
            <w:tcBorders/>
            <w:vAlign w:val="center"/>
          </w:tcPr>
          <w:p>
            <w:pPr>
              <w:pStyle w:val="TableContents"/>
              <w:bidi w:val="0"/>
              <w:spacing w:before="0" w:after="283"/>
              <w:jc w:val="left"/>
              <w:rPr/>
            </w:pPr>
            <w:bookmarkStart w:id="15" w:name="xdx_90A_edei--WrittenCommunications_c202"/>
            <w:bookmarkEnd w:id="15"/>
            <w:r>
              <w:rPr/>
              <w:t>☐</w:t>
            </w:r>
          </w:p>
        </w:tc>
        <w:tc>
          <w:tcPr>
            <w:tcW w:w="96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pPr>
            <w:bookmarkStart w:id="16" w:name="xdx_902_edei--SolicitingMaterial_c202610"/>
            <w:bookmarkEnd w:id="16"/>
            <w:r>
              <w:rPr/>
              <w:t>☐</w:t>
            </w:r>
          </w:p>
        </w:tc>
        <w:tc>
          <w:tcPr>
            <w:tcW w:w="96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pPr>
            <w:bookmarkStart w:id="17" w:name="xdx_90C_edei--PreCommencementTenderOffer"/>
            <w:bookmarkEnd w:id="17"/>
            <w:r>
              <w:rPr/>
              <w:t>☐</w:t>
            </w:r>
          </w:p>
        </w:tc>
        <w:tc>
          <w:tcPr>
            <w:tcW w:w="96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r>
              <w:rPr>
                <w:caps w:val="false"/>
                <w:smallCaps w:val="false"/>
              </w:rPr>
              <w:t> </w:t>
            </w:r>
          </w:p>
        </w:tc>
        <w:tc>
          <w:tcPr>
            <w:tcW w:w="966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245" w:type="dxa"/>
            <w:tcBorders/>
            <w:vAlign w:val="center"/>
          </w:tcPr>
          <w:p>
            <w:pPr>
              <w:pStyle w:val="TableContents"/>
              <w:bidi w:val="0"/>
              <w:spacing w:before="0" w:after="283"/>
              <w:jc w:val="left"/>
              <w:rPr/>
            </w:pPr>
            <w:bookmarkStart w:id="18" w:name="xdx_902_edei--PreCommencementIssuerTende"/>
            <w:bookmarkEnd w:id="18"/>
            <w:r>
              <w:rPr/>
              <w:t>☐</w:t>
            </w:r>
          </w:p>
        </w:tc>
        <w:tc>
          <w:tcPr>
            <w:tcW w:w="96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835" w:type="dxa"/>
        <w:jc w:val="left"/>
        <w:tblInd w:w="-10" w:type="dxa"/>
        <w:tblLayout w:type="fixed"/>
        <w:tblCellMar>
          <w:top w:w="28" w:type="dxa"/>
          <w:left w:w="108" w:type="dxa"/>
          <w:bottom w:w="44" w:type="dxa"/>
          <w:right w:w="108" w:type="dxa"/>
        </w:tblCellMar>
      </w:tblPr>
      <w:tblGrid>
        <w:gridCol w:w="5735"/>
        <w:gridCol w:w="680"/>
        <w:gridCol w:w="2420"/>
      </w:tblGrid>
      <w:tr>
        <w:trPr/>
        <w:tc>
          <w:tcPr>
            <w:tcW w:w="5735"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Title of each class</w:t>
            </w:r>
          </w:p>
        </w:tc>
        <w:tc>
          <w:tcPr>
            <w:tcW w:w="68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Trading</w:t>
              <w:br/>
              <w:t>Symbol</w:t>
            </w:r>
          </w:p>
        </w:tc>
        <w:tc>
          <w:tcPr>
            <w:tcW w:w="2420" w:type="dxa"/>
            <w:tcBorders>
              <w:top w:val="single" w:sz="8" w:space="0" w:color="000000"/>
              <w:bottom w:val="single" w:sz="8" w:space="0" w:color="000000"/>
              <w:right w:val="single" w:sz="8" w:space="0" w:color="000000"/>
            </w:tcBorders>
            <w:tcMar>
              <w:left w:w="0" w:type="dxa"/>
            </w:tcMar>
            <w:vAlign w:val="center"/>
          </w:tcPr>
          <w:p>
            <w:pPr>
              <w:pStyle w:val="TableContents"/>
              <w:bidi w:val="0"/>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Name of each exchange on</w:t>
            </w:r>
          </w:p>
          <w:p>
            <w:pPr>
              <w:pStyle w:val="TableContents"/>
              <w:bidi w:val="0"/>
              <w:spacing w:before="0" w:after="283"/>
              <w:jc w:val="center"/>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which registered</w:t>
            </w:r>
          </w:p>
        </w:tc>
      </w:tr>
      <w:tr>
        <w:trPr/>
        <w:tc>
          <w:tcPr>
            <w:tcW w:w="5735"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bookmarkStart w:id="19" w:name="xdx_907_edei--Security12bTitle_c20261001"/>
            <w:bookmarkEnd w:id="19"/>
            <w:r>
              <w:rPr>
                <w:rFonts w:ascii="Arial;Helvetica;Sans-Serif" w:hAnsi="Arial;Helvetica;Sans-Serif"/>
                <w:b w:val="false"/>
                <w:i w:val="false"/>
                <w:caps w:val="false"/>
                <w:smallCaps w:val="false"/>
                <w:sz w:val="20"/>
              </w:rPr>
              <w:t>Common stock of TTEC Holdings, Inc., $0.01 par value per share</w:t>
            </w:r>
          </w:p>
        </w:tc>
        <w:tc>
          <w:tcPr>
            <w:tcW w:w="68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bookmarkStart w:id="20" w:name="xdx_90A_edei--TradingSymbol_c20261001__2"/>
            <w:bookmarkEnd w:id="20"/>
            <w:r>
              <w:rPr>
                <w:rFonts w:ascii="Arial;Helvetica;Sans-Serif" w:hAnsi="Arial;Helvetica;Sans-Serif"/>
                <w:b w:val="false"/>
                <w:i w:val="false"/>
                <w:caps w:val="false"/>
                <w:smallCaps w:val="false"/>
                <w:sz w:val="20"/>
              </w:rPr>
              <w:t>TTEC</w:t>
            </w:r>
          </w:p>
        </w:tc>
        <w:tc>
          <w:tcPr>
            <w:tcW w:w="24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center"/>
              <w:rPr>
                <w:rFonts w:ascii="Arial;Helvetica;Sans-Serif" w:hAnsi="Arial;Helvetica;Sans-Serif"/>
                <w:b w:val="false"/>
                <w:i w:val="false"/>
                <w:caps w:val="false"/>
                <w:smallCaps w:val="false"/>
                <w:sz w:val="20"/>
              </w:rPr>
            </w:pPr>
            <w:bookmarkStart w:id="21" w:name="xdx_904_edei--SecurityExchangeName_c2026"/>
            <w:bookmarkEnd w:id="21"/>
            <w:r>
              <w:rPr>
                <w:rFonts w:ascii="Arial;Helvetica;Sans-Serif" w:hAnsi="Arial;Helvetica;Sans-Serif"/>
                <w:b w:val="false"/>
                <w:i w:val="false"/>
                <w:caps w:val="false"/>
                <w:smallCaps w:val="false"/>
                <w:sz w:val="20"/>
              </w:rPr>
              <w:t>NASDAQ</w:t>
            </w:r>
          </w:p>
        </w:tc>
      </w:tr>
    </w:tbl>
    <w:p>
      <w:pPr>
        <w:pStyle w:val="TextBody"/>
        <w:bidi w:val="0"/>
        <w:spacing w:before="0" w:after="0"/>
        <w:ind w:left="115"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 xml:space="preserve">Indicate by check mark whether the registrant is an emerging growth company as defined in Rule 405 of the Securities Act of 1933 (§230.405 of this chapter) or Rule 12b-2 of the Securities Exchange Act of 1934 (§240.12b-2 of this chapter). Emerging growth company </w:t>
      </w:r>
      <w:bookmarkStart w:id="22" w:name="xdx_90C_edei--EntityEmergingGrowthCompan"/>
      <w:bookmarkEnd w:id="22"/>
      <w:r>
        <w:rPr>
          <w:rFonts w:ascii="Arial;Helvetica;Sans-Serif" w:hAnsi="Arial;Helvetica;San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Item 1.01 Entry into a Material Definitive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On October 1, 2026, TTEC Holdings, Inc. (the “Company”), certain of its subsidiaries as guarantors, the lenders party thereto, and Wells Fargo Bank, National Association, as administrative agent, entered into the Twelfth Amendment (the “Amendment”) to the Amended and Restated Credit Agreement dated as of June 3, 2013 (as previously amended, the “Credit Agreement”). The Amendment became effective on October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The Amendment, among other matters: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 reduces the aggregate revolving credit commitments under the Credit Agreement by $15 million, to $960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 provides that aggregate outstanding revolving loans, swing loans and letters of credit may not exceed $950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(iii) extends through November 15, 2026 (from September 30, 2026) the period during which the applicable margin on revolving loans remains at 3.250% for SOFR loans and 2.250% for base rate loans, such that the increase in the applicable margin to 6.250% and 5.250%, respectively, will take effect on November 16, 2026 unless a subsequent amendment to the Credit Agreement provides otherwise;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(iv) eliminates the extension fee of 1.50% of the aggregate revolving credit commitments that would otherwise have been payable by the Company on October 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In connection with the Amendment, the Company paid the lenders an upfront fee of $2.4 million (0.25% of the revolving credit commitments after giving effect to the commitment reduction.)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jc w:val="center"/>
        <w:rPr>
          <w:rFonts w:ascii="Arial;Helvetica;Sans-Serif" w:hAnsi="Arial;Helvetica;Sans-Serif"/>
          <w:b/>
          <w:i w:val="false"/>
          <w:caps w:val="false"/>
          <w:smallCaps w:val="false"/>
          <w:sz w:val="20"/>
        </w:rPr>
      </w:pPr>
      <w:r>
        <w:rPr>
          <w:rFonts w:ascii="Arial;Helvetica;Sans-Serif" w:hAnsi="Arial;Helvetica;San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Arial;Helvetica;Sans-Serif" w:hAnsi="Arial;Helvetica;Sans-Serif"/>
          <w:b w:val="false"/>
          <w:i w:val="false"/>
          <w:caps w:val="false"/>
          <w:smallCaps w:val="false"/>
          <w:sz w:val="20"/>
        </w:rPr>
      </w:pPr>
      <w:r>
        <w:rPr>
          <w:rFonts w:ascii="Arial;Helvetica;Sans-Serif" w:hAnsi="Arial;Helvetica;San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040" w:type="dxa"/>
        <w:jc w:val="left"/>
        <w:tblInd w:w="0" w:type="dxa"/>
        <w:tblLayout w:type="fixed"/>
        <w:tblCellMar>
          <w:top w:w="0" w:type="dxa"/>
          <w:left w:w="0" w:type="dxa"/>
          <w:bottom w:w="0" w:type="dxa"/>
          <w:right w:w="0" w:type="dxa"/>
        </w:tblCellMar>
      </w:tblPr>
      <w:tblGrid>
        <w:gridCol w:w="665"/>
        <w:gridCol w:w="2300"/>
        <w:gridCol w:w="75"/>
      </w:tblGrid>
      <w:tr>
        <w:trPr/>
        <w:tc>
          <w:tcPr>
            <w:tcW w:w="2965" w:type="dxa"/>
            <w:gridSpan w:val="2"/>
            <w:tcBorders/>
            <w:vAlign w:val="center"/>
          </w:tcPr>
          <w:p>
            <w:pPr>
              <w:pStyle w:val="TableContents"/>
              <w:bidi w:val="0"/>
              <w:spacing w:before="0" w:after="283"/>
              <w:jc w:val="left"/>
              <w:rPr>
                <w:b/>
                <w:sz w:val="20"/>
              </w:rPr>
            </w:pPr>
            <w:r>
              <w:rPr>
                <w:b/>
                <w:sz w:val="20"/>
              </w:rPr>
              <w:t>TTEC HOLDINGS, INC.</w:t>
            </w:r>
          </w:p>
        </w:tc>
        <w:tc>
          <w:tcPr>
            <w:tcW w:w="75" w:type="dxa"/>
            <w:tcBorders/>
            <w:vAlign w:val="center"/>
          </w:tcPr>
          <w:p>
            <w:pPr>
              <w:pStyle w:val="TableContents"/>
              <w:bidi w:val="0"/>
              <w:spacing w:before="0" w:after="283"/>
              <w:jc w:val="left"/>
              <w:rPr/>
            </w:pPr>
            <w:r>
              <w:rPr/>
              <w:t> </w:t>
            </w:r>
          </w:p>
        </w:tc>
      </w:tr>
      <w:tr>
        <w:trPr/>
        <w:tc>
          <w:tcPr>
            <w:tcW w:w="2965"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2965" w:type="dxa"/>
            <w:gridSpan w:val="2"/>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 October 7, 2026</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By:</w:t>
            </w:r>
          </w:p>
        </w:tc>
        <w:tc>
          <w:tcPr>
            <w:tcW w:w="2300" w:type="dxa"/>
            <w:tcBorders>
              <w:bottom w:val="single" w:sz="8" w:space="0" w:color="000000"/>
            </w:tcBorders>
            <w:tcMar>
              <w:bottom w:w="28" w:type="dxa"/>
            </w:tcMar>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 Kenneth R. Wagers, III</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Name: </w:t>
            </w:r>
          </w:p>
        </w:tc>
        <w:tc>
          <w:tcPr>
            <w:tcW w:w="23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Kenneth R. Wagers, III</w:t>
            </w:r>
          </w:p>
        </w:tc>
        <w:tc>
          <w:tcPr>
            <w:tcW w:w="75"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Title: </w:t>
            </w:r>
          </w:p>
        </w:tc>
        <w:tc>
          <w:tcPr>
            <w:tcW w:w="230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Chief Financial Officer</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590</Words>
  <Characters>3225</Characters>
  <CharactersWithSpaces>3821</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