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622729d1_8k.htm"/>
      <w:bookmarkStart w:id="1" w:name="kstm2622729d1_8k"/>
      <w:bookmarkEnd w:id="0"/>
      <w:bookmarkEnd w:id="1"/>
      <w:r>
        <w:rPr/>
        <w:t> </w:t>
      </w:r>
    </w:p>
    <w:p>
      <w:pPr>
        <w:pStyle w:val="TextBody"/>
        <w:bidi w:val="0"/>
        <w:ind w:left="0" w:right="0" w:hanging="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UNITED STATES</w:t>
      </w:r>
    </w:p>
    <w:p>
      <w:pPr>
        <w:pStyle w:val="TextBody"/>
        <w:bidi w:val="0"/>
        <w:spacing w:before="0" w:after="0"/>
        <w:ind w:left="0" w:right="0" w:hanging="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SECURITIES AND EXCHANGE COMMISSION</w:t>
      </w:r>
    </w:p>
    <w:p>
      <w:pPr>
        <w:pStyle w:val="TextBody"/>
        <w:bidi w:val="0"/>
        <w:spacing w:before="0" w:after="0"/>
        <w:ind w:left="0" w:right="0" w:hanging="0"/>
        <w:jc w:val="center"/>
        <w:rPr>
          <w:rFonts w:ascii="Arial;Helvetica;Sans-Serif" w:hAnsi="Arial;Helvetica;Sans-Serif"/>
          <w:b w:val="false"/>
          <w:i w:val="false"/>
          <w:caps/>
          <w:sz w:val="28"/>
        </w:rPr>
      </w:pPr>
      <w:r>
        <w:rPr>
          <w:rFonts w:ascii="Arial;Helvetica;Sans-Serif" w:hAnsi="Arial;Helvetica;Sans-Serif"/>
          <w:b w:val="false"/>
          <w:i w:val="false"/>
          <w:caps/>
          <w:sz w:val="28"/>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 xml:space="preserve">FORM </w:t>
      </w:r>
      <w:bookmarkStart w:id="2" w:name="xdx_904_edei--DocumentType_c20260810__20"/>
      <w:bookmarkEnd w:id="2"/>
      <w:r>
        <w:rPr>
          <w:rFonts w:ascii="Arial;Helvetica;Sans-Serif" w:hAnsi="Arial;Helvetica;San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CURRENT REPORT</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Pursuant to Section 13 or 15(d) of the </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Date of Report (Date of earliest event reported): </w:t>
      </w:r>
      <w:bookmarkStart w:id="3" w:name="xdx_906_edei--DocumentPeriodEndDate_c202"/>
      <w:bookmarkEnd w:id="3"/>
      <w:r>
        <w:rPr>
          <w:rFonts w:ascii="Arial;Helvetica;Sans-Serif" w:hAnsi="Arial;Helvetica;Sans-Serif"/>
          <w:b w:val="false"/>
          <w:i w:val="false"/>
          <w:caps w:val="false"/>
          <w:smallCaps w:val="false"/>
          <w:sz w:val="20"/>
        </w:rPr>
        <w:t>August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36"/>
        </w:rPr>
      </w:pPr>
      <w:bookmarkStart w:id="4" w:name="xdx_902_edei--EntityRegistrantName_c2026"/>
      <w:bookmarkEnd w:id="4"/>
      <w:r>
        <w:rPr>
          <w:rFonts w:ascii="Arial;Helvetica;Sans-Serif" w:hAnsi="Arial;Helvetica;Sans-Serif"/>
          <w:b/>
          <w:i w:val="false"/>
          <w:caps w:val="false"/>
          <w:smallCaps w:val="false"/>
          <w:sz w:val="36"/>
        </w:rPr>
        <w:t>TTEC Holdings, Inc.</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990" w:type="dxa"/>
        <w:jc w:val="left"/>
        <w:tblInd w:w="0" w:type="dxa"/>
        <w:tblLayout w:type="fixed"/>
        <w:tblCellMar>
          <w:top w:w="0" w:type="dxa"/>
          <w:left w:w="0" w:type="dxa"/>
          <w:bottom w:w="0" w:type="dxa"/>
          <w:right w:w="0" w:type="dxa"/>
        </w:tblCellMar>
      </w:tblPr>
      <w:tblGrid>
        <w:gridCol w:w="2810"/>
        <w:gridCol w:w="1805"/>
        <w:gridCol w:w="2375"/>
      </w:tblGrid>
      <w:tr>
        <w:trPr/>
        <w:tc>
          <w:tcPr>
            <w:tcW w:w="2810" w:type="dxa"/>
            <w:tcBorders/>
            <w:vAlign w:val="center"/>
          </w:tcPr>
          <w:p>
            <w:pPr>
              <w:pStyle w:val="TableContents"/>
              <w:bidi w:val="0"/>
              <w:spacing w:before="0" w:after="283"/>
              <w:jc w:val="center"/>
              <w:rPr>
                <w:rFonts w:ascii="Arial;Helvetica;Sans-Serif" w:hAnsi="Arial;Helvetica;Sans-Serif"/>
                <w:b/>
              </w:rPr>
            </w:pPr>
            <w:bookmarkStart w:id="5" w:name="xdx_906_edei--EntityIncorporationStateCo"/>
            <w:bookmarkEnd w:id="5"/>
            <w:r>
              <w:rPr>
                <w:rFonts w:ascii="Arial;Helvetica;Sans-Serif" w:hAnsi="Arial;Helvetica;Sans-Serif"/>
                <w:b/>
              </w:rPr>
              <w:t>Texas</w:t>
            </w:r>
          </w:p>
        </w:tc>
        <w:tc>
          <w:tcPr>
            <w:tcW w:w="1805" w:type="dxa"/>
            <w:tcBorders/>
            <w:vAlign w:val="center"/>
          </w:tcPr>
          <w:p>
            <w:pPr>
              <w:pStyle w:val="TableContents"/>
              <w:bidi w:val="0"/>
              <w:spacing w:before="0" w:after="283"/>
              <w:jc w:val="center"/>
              <w:rPr>
                <w:rFonts w:ascii="Arial;Helvetica;Sans-Serif" w:hAnsi="Arial;Helvetica;Sans-Serif"/>
                <w:b/>
              </w:rPr>
            </w:pPr>
            <w:bookmarkStart w:id="6" w:name="xdx_90C_edei--EntityFileNumber_c20260810"/>
            <w:bookmarkEnd w:id="6"/>
            <w:r>
              <w:rPr>
                <w:rFonts w:ascii="Arial;Helvetica;Sans-Serif" w:hAnsi="Arial;Helvetica;Sans-Serif"/>
                <w:b/>
              </w:rPr>
              <w:t>001-11919</w:t>
            </w:r>
          </w:p>
        </w:tc>
        <w:tc>
          <w:tcPr>
            <w:tcW w:w="2375" w:type="dxa"/>
            <w:tcBorders/>
            <w:vAlign w:val="center"/>
          </w:tcPr>
          <w:p>
            <w:pPr>
              <w:pStyle w:val="TableContents"/>
              <w:bidi w:val="0"/>
              <w:spacing w:before="0" w:after="283"/>
              <w:jc w:val="center"/>
              <w:rPr>
                <w:rFonts w:ascii="Arial;Helvetica;Sans-Serif" w:hAnsi="Arial;Helvetica;Sans-Serif"/>
                <w:b/>
              </w:rPr>
            </w:pPr>
            <w:bookmarkStart w:id="7" w:name="xdx_90F_edei--EntityTaxIdentificationNum"/>
            <w:bookmarkEnd w:id="7"/>
            <w:r>
              <w:rPr>
                <w:rFonts w:ascii="Arial;Helvetica;Sans-Serif" w:hAnsi="Arial;Helvetica;Sans-Serif"/>
                <w:b/>
              </w:rPr>
              <w:t>84-1291044</w:t>
            </w:r>
          </w:p>
        </w:tc>
      </w:tr>
      <w:tr>
        <w:trPr/>
        <w:tc>
          <w:tcPr>
            <w:tcW w:w="2810" w:type="dxa"/>
            <w:tcBorders/>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 xml:space="preserve">(State or other jurisdiction </w:t>
            </w:r>
          </w:p>
        </w:tc>
        <w:tc>
          <w:tcPr>
            <w:tcW w:w="1805" w:type="dxa"/>
            <w:tcBorders/>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(Commission file</w:t>
            </w:r>
          </w:p>
        </w:tc>
        <w:tc>
          <w:tcPr>
            <w:tcW w:w="2375" w:type="dxa"/>
            <w:tcBorders/>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(IRS Employer</w:t>
            </w:r>
          </w:p>
        </w:tc>
      </w:tr>
      <w:tr>
        <w:trPr/>
        <w:tc>
          <w:tcPr>
            <w:tcW w:w="2810" w:type="dxa"/>
            <w:tcBorders/>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of incorporation)</w:t>
            </w:r>
          </w:p>
        </w:tc>
        <w:tc>
          <w:tcPr>
            <w:tcW w:w="1805" w:type="dxa"/>
            <w:tcBorders/>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number)</w:t>
            </w:r>
          </w:p>
        </w:tc>
        <w:tc>
          <w:tcPr>
            <w:tcW w:w="2375" w:type="dxa"/>
            <w:tcBorders/>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bookmarkStart w:id="8" w:name="xdx_904_edei--EntityAddressAddressLine1_"/>
      <w:bookmarkEnd w:id="8"/>
      <w:r>
        <w:rPr>
          <w:rFonts w:ascii="Arial;Helvetica;Sans-Serif" w:hAnsi="Arial;Helvetica;Sans-Serif"/>
          <w:b/>
          <w:i w:val="false"/>
          <w:caps w:val="false"/>
          <w:smallCaps w:val="false"/>
          <w:sz w:val="20"/>
        </w:rPr>
        <w:t>100 Congress Avenue,</w:t>
      </w:r>
      <w:r>
        <w:rPr>
          <w:rFonts w:ascii="Arial;Helvetica;Sans-Serif" w:hAnsi="Arial;Helvetica;Sans-Serif"/>
          <w:b w:val="false"/>
          <w:i w:val="false"/>
          <w:caps w:val="false"/>
          <w:smallCaps w:val="false"/>
          <w:sz w:val="20"/>
        </w:rPr>
        <w:t xml:space="preserve"> </w:t>
      </w:r>
      <w:bookmarkStart w:id="9" w:name="xdx_903_edei--EntityAddressAddressLine2_"/>
      <w:bookmarkEnd w:id="9"/>
      <w:r>
        <w:rPr>
          <w:rFonts w:ascii="Arial;Helvetica;Sans-Serif" w:hAnsi="Arial;Helvetica;Sans-Serif"/>
          <w:b/>
          <w:i w:val="false"/>
          <w:caps w:val="false"/>
          <w:smallCaps w:val="false"/>
          <w:sz w:val="20"/>
        </w:rPr>
        <w:t>Suite 1425, </w:t>
      </w:r>
      <w:r>
        <w:rPr>
          <w:rFonts w:ascii="Arial;Helvetica;Sans-Serif" w:hAnsi="Arial;Helvetica;Sans-Serif"/>
          <w:b w:val="false"/>
          <w:i w:val="false"/>
          <w:caps w:val="false"/>
          <w:smallCaps w:val="false"/>
          <w:sz w:val="20"/>
        </w:rPr>
        <w:t xml:space="preserve"> </w:t>
      </w:r>
      <w:bookmarkStart w:id="10" w:name="xdx_90C_edei--EntityAddressCityOrTown_c2"/>
      <w:bookmarkEnd w:id="10"/>
      <w:r>
        <w:rPr>
          <w:rFonts w:ascii="Arial;Helvetica;Sans-Serif" w:hAnsi="Arial;Helvetica;Sans-Serif"/>
          <w:b/>
          <w:i w:val="false"/>
          <w:caps w:val="false"/>
          <w:smallCaps w:val="false"/>
          <w:sz w:val="20"/>
        </w:rPr>
        <w:t xml:space="preserve">Austin, </w:t>
      </w:r>
      <w:bookmarkStart w:id="11" w:name="xdx_90C_edei--EntityAddressStateOrProvin"/>
      <w:bookmarkEnd w:id="11"/>
      <w:r>
        <w:rPr>
          <w:rFonts w:ascii="Arial;Helvetica;Sans-Serif" w:hAnsi="Arial;Helvetica;Sans-Serif"/>
          <w:b/>
          <w:i w:val="false"/>
          <w:caps w:val="false"/>
          <w:smallCaps w:val="false"/>
          <w:sz w:val="20"/>
        </w:rPr>
        <w:t xml:space="preserve">TX </w:t>
      </w:r>
      <w:bookmarkStart w:id="12" w:name="xdx_90D_edei--EntityAddressPostalZipCode"/>
      <w:bookmarkEnd w:id="12"/>
      <w:r>
        <w:rPr>
          <w:rFonts w:ascii="Arial;Helvetica;Sans-Serif" w:hAnsi="Arial;Helvetica;Sans-Serif"/>
          <w:b/>
          <w:i w:val="false"/>
          <w:caps w:val="false"/>
          <w:smallCaps w:val="false"/>
          <w:sz w:val="20"/>
        </w:rPr>
        <w:t>78701</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Registrant’s telephone number, including area code: </w:t>
      </w:r>
      <w:bookmarkStart w:id="13" w:name="xdx_90C_edei--CityAreaCode_c20260810__20"/>
      <w:bookmarkEnd w:id="13"/>
      <w:r>
        <w:rPr>
          <w:rFonts w:ascii="Arial;Helvetica;Sans-Serif" w:hAnsi="Arial;Helvetica;Sans-Serif"/>
          <w:b w:val="false"/>
          <w:i w:val="false"/>
          <w:caps w:val="false"/>
          <w:smallCaps w:val="false"/>
          <w:sz w:val="20"/>
        </w:rPr>
        <w:t>303-</w:t>
      </w:r>
      <w:bookmarkStart w:id="14" w:name="xdx_905_edei--LocalPhoneNumber_c20260810"/>
      <w:bookmarkEnd w:id="14"/>
      <w:r>
        <w:rPr>
          <w:rFonts w:ascii="Arial;Helvetica;Sans-Serif" w:hAnsi="Arial;Helvetica;Sans-Serif"/>
          <w:b w:val="false"/>
          <w:i w:val="false"/>
          <w:caps w:val="false"/>
          <w:smallCaps w:val="false"/>
          <w:sz w:val="20"/>
        </w:rPr>
        <w:t>397-8100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Not Applicable</w:t>
      </w:r>
      <w:r>
        <w:rPr>
          <w:rFonts w:ascii="Arial;Helvetica;Sans-Serif" w:hAnsi="Arial;Helvetica;Sans-Serif"/>
          <w:b w:val="false"/>
          <w:i w:val="false"/>
          <w:caps w:val="false"/>
          <w:smallCaps w:val="false"/>
          <w:sz w:val="20"/>
        </w:rPr>
        <w:t xml:space="preserve"> </w:t>
        <w:b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bookmarkStart w:id="15" w:name="xdx_903_edei--WrittenCommunications_c202"/>
            <w:bookmarkEnd w:id="15"/>
            <w:r>
              <w:rPr/>
              <w:t>☐</w:t>
            </w:r>
          </w:p>
        </w:tc>
        <w:tc>
          <w:tcPr>
            <w:tcW w:w="966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6" w:name="xdx_908_edei--SolicitingMaterial_c202608"/>
            <w:bookmarkEnd w:id="16"/>
            <w:r>
              <w:rPr/>
              <w:t>☐</w:t>
            </w:r>
          </w:p>
        </w:tc>
        <w:tc>
          <w:tcPr>
            <w:tcW w:w="966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7" w:name="xdx_904_edei--PreCommencementTenderOffer"/>
            <w:bookmarkEnd w:id="17"/>
            <w:r>
              <w:rPr/>
              <w:t>☐</w:t>
            </w:r>
          </w:p>
        </w:tc>
        <w:tc>
          <w:tcPr>
            <w:tcW w:w="966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8" w:name="xdx_901_edei--PreCommencementIssuerTende"/>
            <w:bookmarkEnd w:id="18"/>
            <w:r>
              <w:rPr/>
              <w:t>☐</w:t>
            </w:r>
          </w:p>
        </w:tc>
        <w:tc>
          <w:tcPr>
            <w:tcW w:w="966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Securities registered pursuant to Section 12(b) of the Act:</w:t>
      </w:r>
    </w:p>
    <w:tbl>
      <w:tblPr>
        <w:tblW w:w="9060" w:type="dxa"/>
        <w:jc w:val="left"/>
        <w:tblInd w:w="-10" w:type="dxa"/>
        <w:tblLayout w:type="fixed"/>
        <w:tblCellMar>
          <w:top w:w="28" w:type="dxa"/>
          <w:left w:w="108" w:type="dxa"/>
          <w:bottom w:w="44" w:type="dxa"/>
          <w:right w:w="108" w:type="dxa"/>
        </w:tblCellMar>
      </w:tblPr>
      <w:tblGrid>
        <w:gridCol w:w="5735"/>
        <w:gridCol w:w="905"/>
        <w:gridCol w:w="2420"/>
      </w:tblGrid>
      <w:tr>
        <w:trPr/>
        <w:tc>
          <w:tcPr>
            <w:tcW w:w="573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Title of each class</w:t>
            </w:r>
          </w:p>
        </w:tc>
        <w:tc>
          <w:tcPr>
            <w:tcW w:w="9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Trading</w:t>
              <w:br/>
              <w:t>Symbol(s)</w:t>
            </w:r>
          </w:p>
        </w:tc>
        <w:tc>
          <w:tcPr>
            <w:tcW w:w="2420" w:type="dxa"/>
            <w:tcBorders>
              <w:top w:val="single" w:sz="8" w:space="0" w:color="000000"/>
              <w:bottom w:val="single" w:sz="8" w:space="0" w:color="000000"/>
              <w:right w:val="single" w:sz="8" w:space="0" w:color="000000"/>
            </w:tcBorders>
            <w:tcMar>
              <w:left w:w="0" w:type="dxa"/>
            </w:tcMar>
            <w:vAlign w:val="center"/>
          </w:tcPr>
          <w:p>
            <w:pPr>
              <w:pStyle w:val="TableContents"/>
              <w:bidi w:val="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 of each exchange on</w:t>
            </w:r>
          </w:p>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which registered</w:t>
            </w:r>
          </w:p>
        </w:tc>
      </w:tr>
      <w:tr>
        <w:trPr/>
        <w:tc>
          <w:tcPr>
            <w:tcW w:w="57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bookmarkStart w:id="19" w:name="xdx_908_edei--Security12bTitle_c20260810"/>
            <w:bookmarkEnd w:id="19"/>
            <w:r>
              <w:rPr>
                <w:rFonts w:ascii="Arial;Helvetica;Sans-Serif" w:hAnsi="Arial;Helvetica;Sans-Serif"/>
                <w:b w:val="false"/>
                <w:i w:val="false"/>
                <w:caps w:val="false"/>
                <w:smallCaps w:val="false"/>
                <w:sz w:val="20"/>
              </w:rPr>
              <w:t>Common stock of TTEC Holdings, Inc., $0.01 par value per share</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bookmarkStart w:id="20" w:name="xdx_90A_edei--TradingSymbol_c20260810__2"/>
            <w:bookmarkEnd w:id="20"/>
            <w:r>
              <w:rPr>
                <w:rFonts w:ascii="Arial;Helvetica;Sans-Serif" w:hAnsi="Arial;Helvetica;Sans-Serif"/>
                <w:b w:val="false"/>
                <w:i w:val="false"/>
                <w:caps w:val="false"/>
                <w:smallCaps w:val="false"/>
                <w:sz w:val="20"/>
              </w:rPr>
              <w:t>TTEC</w:t>
            </w:r>
          </w:p>
        </w:tc>
        <w:tc>
          <w:tcPr>
            <w:tcW w:w="24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bookmarkStart w:id="21" w:name="xdx_903_edei--SecurityExchangeName_c2026"/>
            <w:bookmarkEnd w:id="21"/>
            <w:r>
              <w:rPr>
                <w:rFonts w:ascii="Arial;Helvetica;Sans-Serif" w:hAnsi="Arial;Helvetica;Sans-Serif"/>
                <w:b w:val="false"/>
                <w:i w:val="false"/>
                <w:caps w:val="false"/>
                <w:smallCaps w:val="false"/>
                <w:sz w:val="20"/>
              </w:rPr>
              <w:t>NASDAQ</w:t>
            </w:r>
          </w:p>
        </w:tc>
      </w:tr>
    </w:tbl>
    <w:p>
      <w:pPr>
        <w:pStyle w:val="TextBody"/>
        <w:bidi w:val="0"/>
        <w:spacing w:before="0" w:after="0"/>
        <w:ind w:left="115"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Emerging growth company </w:t>
      </w:r>
      <w:bookmarkStart w:id="22" w:name="xdx_909_edei--EntityEmergingGrowthCompan"/>
      <w:bookmarkEnd w:id="22"/>
      <w:r>
        <w:rPr>
          <w:rFonts w:ascii="Arial;Helvetica;Sans-Serif" w:hAnsi="Arial;Helvetica;San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August 10, 2026 TTEC Holdings, Inc. (“TTEC”) issued a press release announcing financial results for its second quarter 2026, the reporting period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copy of the August 10, 2026 press release is attached hereto as Exhibit 99.1 to this current report on Form 8-K and incorporated into this Item 2.02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information in this Item 2.02 of Form 8-K and Exhibit 99.1 hereto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any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8830" w:type="dxa"/>
        <w:jc w:val="left"/>
        <w:tblInd w:w="0" w:type="dxa"/>
        <w:tblLayout w:type="fixed"/>
        <w:tblCellMar>
          <w:top w:w="0" w:type="dxa"/>
          <w:left w:w="0" w:type="dxa"/>
          <w:bottom w:w="28" w:type="dxa"/>
          <w:right w:w="0" w:type="dxa"/>
        </w:tblCellMar>
      </w:tblPr>
      <w:tblGrid>
        <w:gridCol w:w="1070"/>
        <w:gridCol w:w="60"/>
        <w:gridCol w:w="7700"/>
      </w:tblGrid>
      <w:tr>
        <w:trPr/>
        <w:tc>
          <w:tcPr>
            <w:tcW w:w="1070" w:type="dxa"/>
            <w:tcBorders>
              <w:bottom w:val="single" w:sz="8" w:space="0" w:color="000000"/>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7700" w:type="dxa"/>
            <w:tcBorders>
              <w:bottom w:val="single" w:sz="8" w:space="0" w:color="000000"/>
            </w:tcBorders>
            <w:vAlign w:val="center"/>
          </w:tcPr>
          <w:p>
            <w:pPr>
              <w:pStyle w:val="TableContents"/>
              <w:bidi w:val="0"/>
              <w:spacing w:before="0" w:after="283"/>
              <w:jc w:val="center"/>
              <w:rPr>
                <w:rFonts w:ascii="Arial;Helvetica;Sans-Serif" w:hAnsi="Arial;Helvetica;Sans-Serif"/>
                <w:b/>
                <w:sz w:val="20"/>
              </w:rPr>
            </w:pPr>
            <w:r>
              <w:rPr>
                <w:rFonts w:ascii="Arial;Helvetica;Sans-Serif" w:hAnsi="Arial;Helvetica;Sans-Serif"/>
                <w:b/>
                <w:sz w:val="20"/>
              </w:rPr>
              <w:t>Description</w:t>
            </w:r>
          </w:p>
        </w:tc>
      </w:tr>
      <w:tr>
        <w:trPr/>
        <w:tc>
          <w:tcPr>
            <w:tcW w:w="1070" w:type="dxa"/>
            <w:tcBorders/>
            <w:tcMar>
              <w:bottom w:w="0" w:type="dxa"/>
            </w:tcMar>
            <w:vAlign w:val="center"/>
          </w:tcPr>
          <w:p>
            <w:pPr>
              <w:pStyle w:val="TableContents"/>
              <w:bidi w:val="0"/>
              <w:spacing w:before="0" w:after="283"/>
              <w:jc w:val="left"/>
              <w:rPr/>
            </w:pPr>
            <w:hyperlink w:anchor="tm2622729d1_ex99-1.htm">
              <w:r>
                <w:rPr>
                  <w:rStyle w:val="InternetLink"/>
                  <w:rFonts w:ascii="Arial;Helvetica;Sans-Serif" w:hAnsi="Arial;Helvetica;San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7700" w:type="dxa"/>
            <w:tcBorders/>
            <w:tcMar>
              <w:bottom w:w="0" w:type="dxa"/>
            </w:tcMar>
            <w:vAlign w:val="center"/>
          </w:tcPr>
          <w:p>
            <w:pPr>
              <w:pStyle w:val="TableContents"/>
              <w:bidi w:val="0"/>
              <w:spacing w:before="0" w:after="283"/>
              <w:jc w:val="left"/>
              <w:rPr/>
            </w:pPr>
            <w:hyperlink w:anchor="tm2622729d1_ex99-1.htm">
              <w:r>
                <w:rPr>
                  <w:rStyle w:val="InternetLink"/>
                  <w:rFonts w:ascii="Arial;Helvetica;Sans-Serif" w:hAnsi="Arial;Helvetica;Sans-Serif"/>
                  <w:sz w:val="20"/>
                </w:rPr>
                <w:t>Press release announcing financial results for second quarter ended June 30, 2026</w:t>
              </w:r>
            </w:hyperlink>
          </w:p>
        </w:tc>
      </w:tr>
      <w:tr>
        <w:trPr/>
        <w:tc>
          <w:tcPr>
            <w:tcW w:w="1070" w:type="dxa"/>
            <w:tcBorders/>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104</w:t>
            </w:r>
          </w:p>
        </w:tc>
        <w:tc>
          <w:tcPr>
            <w:tcW w:w="60" w:type="dxa"/>
            <w:tcBorders/>
            <w:tcMar>
              <w:bottom w:w="0" w:type="dxa"/>
            </w:tcMar>
            <w:vAlign w:val="center"/>
          </w:tcPr>
          <w:p>
            <w:pPr>
              <w:pStyle w:val="TableContents"/>
              <w:bidi w:val="0"/>
              <w:spacing w:before="0" w:after="283"/>
              <w:jc w:val="left"/>
              <w:rPr/>
            </w:pPr>
            <w:r>
              <w:rPr/>
              <w:t> </w:t>
            </w:r>
          </w:p>
        </w:tc>
        <w:tc>
          <w:tcPr>
            <w:tcW w:w="7700" w:type="dxa"/>
            <w:tcBorders/>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Cover Page Interactive Data File (formatted in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Pursuant to the requirements of the Securities and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620" w:type="dxa"/>
        <w:jc w:val="left"/>
        <w:tblInd w:w="0" w:type="dxa"/>
        <w:tblLayout w:type="fixed"/>
        <w:tblCellMar>
          <w:top w:w="0" w:type="dxa"/>
          <w:left w:w="0" w:type="dxa"/>
          <w:bottom w:w="0" w:type="dxa"/>
          <w:right w:w="0" w:type="dxa"/>
        </w:tblCellMar>
      </w:tblPr>
      <w:tblGrid>
        <w:gridCol w:w="1985"/>
        <w:gridCol w:w="320"/>
        <w:gridCol w:w="2315"/>
      </w:tblGrid>
      <w:tr>
        <w:trPr/>
        <w:tc>
          <w:tcPr>
            <w:tcW w:w="1985" w:type="dxa"/>
            <w:tcBorders/>
            <w:vAlign w:val="center"/>
          </w:tcPr>
          <w:p>
            <w:pPr>
              <w:pStyle w:val="TableContents"/>
              <w:bidi w:val="0"/>
              <w:spacing w:before="0" w:after="283"/>
              <w:jc w:val="left"/>
              <w:rPr/>
            </w:pPr>
            <w:r>
              <w:rPr/>
              <w:t> </w:t>
            </w:r>
          </w:p>
        </w:tc>
        <w:tc>
          <w:tcPr>
            <w:tcW w:w="2635" w:type="dxa"/>
            <w:gridSpan w:val="2"/>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TTEC Holdings, Inc.</w:t>
            </w:r>
          </w:p>
        </w:tc>
      </w:tr>
      <w:tr>
        <w:trPr/>
        <w:tc>
          <w:tcPr>
            <w:tcW w:w="1985" w:type="dxa"/>
            <w:tcBorders/>
            <w:vAlign w:val="center"/>
          </w:tcPr>
          <w:p>
            <w:pPr>
              <w:pStyle w:val="TableContents"/>
              <w:bidi w:val="0"/>
              <w:spacing w:before="0" w:after="283"/>
              <w:jc w:val="left"/>
              <w:rPr/>
            </w:pPr>
            <w:r>
              <w:rPr/>
              <w:t> </w:t>
            </w:r>
          </w:p>
        </w:tc>
        <w:tc>
          <w:tcPr>
            <w:tcW w:w="2635" w:type="dxa"/>
            <w:gridSpan w:val="2"/>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(Registrant)</w:t>
            </w:r>
          </w:p>
        </w:tc>
      </w:tr>
      <w:tr>
        <w:trPr/>
        <w:tc>
          <w:tcPr>
            <w:tcW w:w="1985" w:type="dxa"/>
            <w:tcBorders/>
            <w:vAlign w:val="center"/>
          </w:tcPr>
          <w:p>
            <w:pPr>
              <w:pStyle w:val="TableContents"/>
              <w:bidi w:val="0"/>
              <w:spacing w:before="0" w:after="283"/>
              <w:jc w:val="left"/>
              <w:rPr/>
            </w:pPr>
            <w:r>
              <w:rPr/>
              <w:t> </w:t>
            </w:r>
          </w:p>
        </w:tc>
        <w:tc>
          <w:tcPr>
            <w:tcW w:w="2635" w:type="dxa"/>
            <w:gridSpan w:val="2"/>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 August 10, 2026</w:t>
            </w:r>
          </w:p>
        </w:tc>
        <w:tc>
          <w:tcPr>
            <w:tcW w:w="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By:</w:t>
            </w:r>
          </w:p>
        </w:tc>
        <w:tc>
          <w:tcPr>
            <w:tcW w:w="2315"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 Kenneth R. Wagers, III</w:t>
            </w:r>
          </w:p>
        </w:tc>
      </w:tr>
      <w:tr>
        <w:trPr/>
        <w:tc>
          <w:tcPr>
            <w:tcW w:w="198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xml:space="preserve">Kenneth R. Wagers, III </w:t>
              <w:b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bookmarkStart w:id="23" w:name="tm2622729d1_ex99-1.htm"/>
      <w:bookmarkStart w:id="24" w:name="kstm2622729d1_ex991"/>
      <w:bookmarkEnd w:id="23"/>
      <w:bookmarkEnd w:id="24"/>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2286000" cy="5441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544195"/>
                    </a:xfrm>
                    <a:prstGeom prst="rect">
                      <a:avLst/>
                    </a:prstGeom>
                  </pic:spPr>
                </pic:pic>
              </a:graphicData>
            </a:graphic>
          </wp:inline>
        </w:drawing>
      </w: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TTEC Announces Second Quarter 2026 Financial Results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Updates Outlook for Full Year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Reviewing Strategic Alternatives Related to its TTEC Digital Business Segment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AUSTIN, Texas, August 10, 2026 – TTEC Holdings, Inc. (NASDAQ:TTEC</w:t>
      </w:r>
      <w:r>
        <w:rPr>
          <w:rFonts w:ascii="Times New Roman;Times;Serif" w:hAnsi="Times New Roman;Times;Serif"/>
          <w:b w:val="false"/>
          <w:i w:val="false"/>
          <w:caps w:val="false"/>
          <w:smallCaps w:val="false"/>
          <w:sz w:val="20"/>
        </w:rPr>
        <w:t xml:space="preserve">), a leading global technology, consulting and managed services company focused on delivering solutions at the intersection of data, AI and customer experience, announced today financial results for the second quarter ended June 30, 2026.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Second quarter 2026 was a challenging quarter with performance that fell short of our plan. While we are disappointed in our results, we remain confident in our path forward. Across both TTEC Engage and TTEC Digital, our priorities remain clear: continue to sharpen our go-to-market approach and return to our historic levels of growth and profitability,” commented Ken Tuchman, TTEC chairman and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Tuchman continued, “In TTEC Engage, we are strengthening sales execution and securing strategic enterprise wins across key verticals, including automotive, healthcare, retail, and travel. At the same time, we are working with clients to optimize or transition low-margin programs, deploying practical front-line AI and automation to boost productivity, and simplifying our overall cost structure through targeted operational efficiencies and best shore delivery models.”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TTEC Digital, we are gaining market traction as we successfully expand our CX technology and services to solutions in high demand – data, AI, observability and security. This increasing momentum paired with our disciplined execution and robust pipeline, reinforces our full-year outlook and keeps TTEC Digital on track to hit its revenue and profitability target,” commented Tuchman.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TTEC Exploring Strategic Alternatives for TTEC Digital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TTEC announced today that its Board of Directors authorized management to evaluate potential strategic alternatives for its TTEC Digital business to best position it to realize its full growth potential and maximize shareholder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Board is prepared to consider a range of alternatives, it will prioritize transactions that sustain and enhance the continued commercial collaboration and innovation between TTEC Engage and TTEC Digital.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PJT Partners is serving as an independent financial advisor to TTEC in connection with the review of strategic and capital markets alternatives. The Board has not set a deadline or definitive timeline for the completion of this review, and the Company does not intend to disclose developments unless or until a definitive agreement is executed or the Board determines that further disclosure is appropriate or required. There can be no assurance that this process will result in any particular transaction or outcome.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4657725" cy="628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657725" cy="6286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2286000" cy="5441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286000" cy="54419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HIGHLIGHTS</w:t>
        <w:tab/>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Second quarter 2026 GAAP revenue was $455.5 million, an 11.3 percent decrease compared to $513.6 million in the prior year.</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Foreign exchange had a $0.3 million negative impact on revenue in the second quarter of 2026.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from Operations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Second quarter 2026 GAAP income from operations was $11.0 million, or 2.4 percent of revenue, compared to $18.9 million, or 3.7 percent of revenue in the prior year. </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Non-GAAP income from operations, excluding restructuring and impairment charges, equity-based compensation expenses, amortization of purchased intangibles, and other items, was $25.7 million, or 5.7 percent of revenue, compared to $36.8 million, or 7.2 percent of revenue in the prior year. </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Foreign exchange had a $0.8 million positive impact on Non-GAAP income from operations in the second quarter of 2026.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Second quarter 2026 Non-GAAP Adjusted EBITDA was $39.5 million, or 8.7 percent of revenue, compared to $51.8 million, or 10.1 percent of revenue in the prior year.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Per Share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Second quarter 2026 GAAP fully diluted net loss per share was $0.27 compared to net loss per share of $0.14 in the prior year. </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Non-GAAP fully diluted earnings per share was $0.03 compared to $0.22 in the prior year.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4657725" cy="6286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657725" cy="628650"/>
                    </a:xfrm>
                    <a:prstGeom prst="rect">
                      <a:avLst/>
                    </a:prstGeom>
                  </pic:spPr>
                </pic:pic>
              </a:graphicData>
            </a:graphic>
          </wp:inline>
        </w:drawing>
      </w: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286000" cy="54419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286000" cy="544195"/>
                    </a:xfrm>
                    <a:prstGeom prst="rect">
                      <a:avLst/>
                    </a:prstGeom>
                  </pic:spPr>
                </pic:pic>
              </a:graphicData>
            </a:graphic>
          </wp:inline>
        </w:drawing>
      </w: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 AND BALANCE SHEET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Cash flow from operations in the second quarter of 2026 was $51.3 million compared to $92.7 million for the second quarter of 2025.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Free cash flow in the second quarter of 2026 was $38.7 million compared to $85.5 million for the second quarter of 2025.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Capital expenditures in the second quarter of 2026 were $12.6 million compared to $7.2 million for the second quarter of 2025.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As of June 30, 2026, TTEC had cash and cash equivalents of $93.8 million and debt of $860.7 million, resulting in a net debt position of $766.9 million. This compares to a net debt position of $803.7 million for the same period in 2025.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the third quarter of 2026, TTEC obtained financial covenant flexibility for the second quarter 2026 and future quarters under its Credit Facility. For further Credit Facility details and terms, refer to the disclosures in TTEC’s second quarter 2026 quarterly report on Form 10-Q. </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TTEC is in discussions with its lenders to further amend the Credit Facility to extend its maturity beyond 2027.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REPORTING &amp; COMMENTARY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TTEC reports financial results for TTEC Digital and TTEC Engage business segments. Financial highlights for the two business segments are provided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TTEC Digital – Design, build and operate tech-enabled, insight-driven CX solutions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Symbol" w:hAnsi="Symbol"/>
              </w:rPr>
            </w:pPr>
            <w:r>
              <w:rPr>
                <w:rFonts w:ascii="Symbol" w:hAnsi="Symbol"/>
              </w:rPr>
              <w:t>·</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Second quarter 2026 GAAP revenue for TTEC Digital was $104.0 million, a decrease of 8.5 percent compared to $113.7 million for the year ago period. </w:t>
            </w:r>
          </w:p>
        </w:tc>
      </w:tr>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rFonts w:ascii="Symbol" w:hAnsi="Symbol"/>
              </w:rPr>
              <w:t>·</w:t>
            </w:r>
            <w:r>
              <w:rPr/>
              <w:t> </w:t>
            </w:r>
          </w:p>
        </w:tc>
        <w:tc>
          <w:tcPr>
            <w:tcW w:w="9983" w:type="dxa"/>
            <w:tcBorders/>
            <w:vAlign w:val="center"/>
          </w:tcPr>
          <w:p>
            <w:pPr>
              <w:pStyle w:val="TableContents"/>
              <w:bidi w:val="0"/>
              <w:spacing w:before="0" w:after="283"/>
              <w:jc w:val="left"/>
              <w:rPr/>
            </w:pPr>
            <w:r>
              <w:rPr/>
              <w:t>Income from operations was $6.7 million or 6.4 percent of revenue compared to $11.4 million or 10.0 percent of revenue in the prior year.</w:t>
            </w:r>
          </w:p>
        </w:tc>
      </w:tr>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rFonts w:ascii="Symbol" w:hAnsi="Symbol"/>
              </w:rPr>
              <w:t>·</w:t>
            </w:r>
            <w:r>
              <w:rPr/>
              <w:t> </w:t>
            </w:r>
          </w:p>
        </w:tc>
        <w:tc>
          <w:tcPr>
            <w:tcW w:w="9983" w:type="dxa"/>
            <w:tcBorders/>
            <w:vAlign w:val="center"/>
          </w:tcPr>
          <w:p>
            <w:pPr>
              <w:pStyle w:val="TableContents"/>
              <w:bidi w:val="0"/>
              <w:spacing w:before="0" w:after="283"/>
              <w:jc w:val="left"/>
              <w:rPr/>
            </w:pPr>
            <w:r>
              <w:rPr/>
              <w:t>Non-GAAP income from operations was $12.2 million, or 11.7 percent of revenue compared to operating income of $18.4 million or 16.1 percent of revenue in the prior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TTEC Engage – Technology-enabled customer care, acquisition, and fraud mitigation services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rFonts w:ascii="Symbol" w:hAnsi="Symbol"/>
              </w:rPr>
              <w:t>·</w:t>
            </w:r>
            <w:r>
              <w:rPr/>
              <w:t> </w:t>
            </w:r>
          </w:p>
        </w:tc>
        <w:tc>
          <w:tcPr>
            <w:tcW w:w="9982" w:type="dxa"/>
            <w:tcBorders/>
            <w:vAlign w:val="center"/>
          </w:tcPr>
          <w:p>
            <w:pPr>
              <w:pStyle w:val="TableContents"/>
              <w:bidi w:val="0"/>
              <w:spacing w:before="0" w:after="283"/>
              <w:jc w:val="left"/>
              <w:rPr/>
            </w:pPr>
            <w:r>
              <w:rPr/>
              <w:t>Second quarter 2026 GAAP revenue for TTEC Engage was $351.5 million, a 12.1 percent decrease from $399.8 million for the year ago period.</w:t>
            </w:r>
          </w:p>
        </w:tc>
      </w:tr>
    </w:tbl>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rFonts w:ascii="Symbol" w:hAnsi="Symbol"/>
              </w:rPr>
              <w:t>·</w:t>
            </w:r>
            <w:r>
              <w:rPr/>
              <w:t> </w:t>
            </w:r>
          </w:p>
        </w:tc>
        <w:tc>
          <w:tcPr>
            <w:tcW w:w="9982" w:type="dxa"/>
            <w:tcBorders/>
            <w:vAlign w:val="center"/>
          </w:tcPr>
          <w:p>
            <w:pPr>
              <w:pStyle w:val="TableContents"/>
              <w:bidi w:val="0"/>
              <w:spacing w:before="0" w:after="283"/>
              <w:jc w:val="left"/>
              <w:rPr/>
            </w:pPr>
            <w:r>
              <w:rPr/>
              <w:t>Income from operations was $4.3 million or 1.2 percent of revenue compared to $7.5 million or 1.9 percent of revenue in the prior year.</w:t>
            </w:r>
          </w:p>
        </w:tc>
      </w:tr>
    </w:tbl>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rFonts w:ascii="Symbol" w:hAnsi="Symbol"/>
              </w:rPr>
              <w:t>·</w:t>
            </w:r>
            <w:r>
              <w:rPr/>
              <w:t> </w:t>
            </w:r>
          </w:p>
        </w:tc>
        <w:tc>
          <w:tcPr>
            <w:tcW w:w="9982" w:type="dxa"/>
            <w:tcBorders/>
            <w:vAlign w:val="center"/>
          </w:tcPr>
          <w:p>
            <w:pPr>
              <w:pStyle w:val="TableContents"/>
              <w:bidi w:val="0"/>
              <w:spacing w:before="0" w:after="283"/>
              <w:jc w:val="left"/>
              <w:rPr/>
            </w:pPr>
            <w:r>
              <w:rPr/>
              <w:t>Non-GAAP income from operations was $13.5 million, or 3.8 percent of revenue, compared to operating income of $18.4 million, or 4.6 percent of revenue in the prior year.</w:t>
            </w:r>
          </w:p>
        </w:tc>
      </w:tr>
    </w:tbl>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rFonts w:ascii="Symbol" w:hAnsi="Symbol"/>
              </w:rPr>
              <w:t>·</w:t>
            </w:r>
            <w:r>
              <w:rPr/>
              <w:t> </w:t>
            </w:r>
          </w:p>
        </w:tc>
        <w:tc>
          <w:tcPr>
            <w:tcW w:w="9982" w:type="dxa"/>
            <w:tcBorders/>
            <w:vAlign w:val="center"/>
          </w:tcPr>
          <w:p>
            <w:pPr>
              <w:pStyle w:val="TableContents"/>
              <w:bidi w:val="0"/>
              <w:spacing w:before="0" w:after="283"/>
              <w:jc w:val="left"/>
              <w:rPr/>
            </w:pPr>
            <w:r>
              <w:rPr/>
              <w:t>Foreign exchange had a $0.4 million negative impact on revenue and a $0.6 million positive impact on income from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4657725" cy="6286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657725" cy="6286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2286000" cy="54419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286000" cy="54419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BUSINESS OUTLOOK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second quarter financial results were below expectations in part due to underperformance across a small number of our Engage clients. This combined with a delay in closing new business is resulting in a revised full year 2026 outlook for our Engage segment. Our Digital segment is performing in line with expectations, and we are pleased with the progress to date. As a result, we remain confident in executing against our original 2026 full year Digital guidance. It is also a reason why our Board of Directors felt the time was right to explore strategic alternatives for our Digital business,” commented Kenny Wagers, chief financial officer of TTEC.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Wagers continued, “We remain confident in our ongoing objectives to deliver profitable growth, improved cash flow and debt reduction. With end-to-end capabilities spanning the full customer experience ecosystem, TTEC is uniquely positioned to help clients transform how they engage with customers and achieve the outcomes that matter most: increased revenue, improved profitability, and deeper customer loyalty. As we help clients navigate their own CX transformation, we remain focused on strengthening TTEC through operational excellence, talent, and disciplined execution. Our Engage and Digital segments are well positioned to deliver second half profitable growth over the prior year both in relative and absolute terms.”</w:t>
      </w:r>
    </w:p>
    <w:p>
      <w:pPr>
        <w:pStyle w:val="TextBody"/>
        <w:bidi w:val="0"/>
        <w:spacing w:before="0" w:after="0"/>
        <w:ind w:left="0" w:right="0" w:hanging="0"/>
        <w:jc w:val="both"/>
        <w:rPr>
          <w:caps w:val="false"/>
          <w:smallCaps w:val="false"/>
          <w:color w:val="FF0000"/>
        </w:rPr>
      </w:pPr>
      <w:r>
        <w:rPr>
          <w:caps w:val="false"/>
          <w:smallCaps w:val="false"/>
          <w:color w:val="FF0000"/>
        </w:rPr>
        <w:t> </w:t>
      </w:r>
    </w:p>
    <w:tbl>
      <w:tblPr>
        <w:tblW w:w="6360" w:type="dxa"/>
        <w:jc w:val="left"/>
        <w:tblInd w:w="0" w:type="dxa"/>
        <w:tblLayout w:type="fixed"/>
        <w:tblCellMar>
          <w:top w:w="0" w:type="dxa"/>
          <w:left w:w="0" w:type="dxa"/>
          <w:bottom w:w="0" w:type="dxa"/>
          <w:right w:w="0" w:type="dxa"/>
        </w:tblCellMar>
      </w:tblPr>
      <w:tblGrid>
        <w:gridCol w:w="3125"/>
        <w:gridCol w:w="60"/>
        <w:gridCol w:w="1805"/>
        <w:gridCol w:w="60"/>
        <w:gridCol w:w="1310"/>
      </w:tblGrid>
      <w:tr>
        <w:trPr/>
        <w:tc>
          <w:tcPr>
            <w:tcW w:w="3125" w:type="dxa"/>
            <w:tcBorders/>
            <w:vAlign w:val="center"/>
          </w:tcPr>
          <w:p>
            <w:pPr>
              <w:pStyle w:val="TableContents"/>
              <w:bidi w:val="0"/>
              <w:spacing w:before="0" w:after="283"/>
              <w:jc w:val="left"/>
              <w:rPr>
                <w:b/>
                <w:sz w:val="20"/>
              </w:rPr>
            </w:pPr>
            <w:r>
              <w:rPr>
                <w:b/>
                <w:sz w:val="20"/>
              </w:rPr>
              <w:t>TTEC Full Year 2026 Outlook</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Full Year 2026</w:t>
              <w:br/>
              <w:t>Guidance</w:t>
            </w:r>
          </w:p>
        </w:tc>
        <w:tc>
          <w:tcPr>
            <w:tcW w:w="60" w:type="dxa"/>
            <w:tcBorders/>
            <w:vAlign w:val="center"/>
          </w:tcPr>
          <w:p>
            <w:pPr>
              <w:pStyle w:val="TableContents"/>
              <w:bidi w:val="0"/>
              <w:spacing w:before="0" w:after="283"/>
              <w:jc w:val="left"/>
              <w:rPr/>
            </w:pPr>
            <w:r>
              <w:rPr/>
              <w:t> </w:t>
            </w:r>
          </w:p>
        </w:tc>
        <w:tc>
          <w:tcPr>
            <w:tcW w:w="131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Full Year 2026</w:t>
              <w:br/>
              <w:t>Mid-Point</w:t>
            </w:r>
          </w:p>
        </w:tc>
      </w:tr>
      <w:tr>
        <w:trPr/>
        <w:tc>
          <w:tcPr>
            <w:tcW w:w="3125" w:type="dxa"/>
            <w:tcBorders/>
            <w:shd w:fill="CCEEFF" w:val="clear"/>
            <w:vAlign w:val="center"/>
          </w:tcPr>
          <w:p>
            <w:pPr>
              <w:pStyle w:val="TableContents"/>
              <w:bidi w:val="0"/>
              <w:spacing w:before="0" w:after="283"/>
              <w:jc w:val="left"/>
              <w:rPr>
                <w:sz w:val="20"/>
              </w:rPr>
            </w:pPr>
            <w:r>
              <w:rPr>
                <w:sz w:val="20"/>
              </w:rPr>
              <w:t>Revenue</w:t>
            </w:r>
          </w:p>
        </w:tc>
        <w:tc>
          <w:tcPr>
            <w:tcW w:w="60" w:type="dxa"/>
            <w:tcBorders/>
            <w:shd w:fill="CCEEFF" w:val="clear"/>
            <w:vAlign w:val="center"/>
          </w:tcPr>
          <w:p>
            <w:pPr>
              <w:pStyle w:val="TableContents"/>
              <w:bidi w:val="0"/>
              <w:spacing w:before="0" w:after="283"/>
              <w:jc w:val="left"/>
              <w:rPr/>
            </w:pPr>
            <w:r>
              <w:rPr/>
              <w:t> </w:t>
            </w:r>
          </w:p>
        </w:tc>
        <w:tc>
          <w:tcPr>
            <w:tcW w:w="1805" w:type="dxa"/>
            <w:tcBorders/>
            <w:shd w:fill="CCEEFF" w:val="clear"/>
            <w:vAlign w:val="center"/>
          </w:tcPr>
          <w:p>
            <w:pPr>
              <w:pStyle w:val="TableContents"/>
              <w:bidi w:val="0"/>
              <w:spacing w:before="0" w:after="283"/>
              <w:jc w:val="center"/>
              <w:rPr>
                <w:sz w:val="20"/>
              </w:rPr>
            </w:pPr>
            <w:r>
              <w:rPr>
                <w:sz w:val="20"/>
              </w:rPr>
              <w:t>$1,940M — $1,990M</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sz w:val="20"/>
              </w:rPr>
            </w:pPr>
            <w:r>
              <w:rPr>
                <w:sz w:val="20"/>
              </w:rPr>
              <w:t>$1,965M</w:t>
            </w:r>
          </w:p>
        </w:tc>
      </w:tr>
      <w:tr>
        <w:trPr/>
        <w:tc>
          <w:tcPr>
            <w:tcW w:w="3125" w:type="dxa"/>
            <w:tcBorders/>
            <w:shd w:fill="FFFFFF" w:val="clear"/>
            <w:vAlign w:val="center"/>
          </w:tcPr>
          <w:p>
            <w:pPr>
              <w:pStyle w:val="TableContents"/>
              <w:bidi w:val="0"/>
              <w:spacing w:before="0" w:after="283"/>
              <w:jc w:val="left"/>
              <w:rPr>
                <w:sz w:val="20"/>
              </w:rPr>
            </w:pPr>
            <w:r>
              <w:rPr>
                <w:sz w:val="20"/>
              </w:rPr>
              <w:t>Non-GAAP adjusted EBITDA</w:t>
            </w:r>
          </w:p>
        </w:tc>
        <w:tc>
          <w:tcPr>
            <w:tcW w:w="60" w:type="dxa"/>
            <w:tcBorders/>
            <w:shd w:fill="FFFFFF" w:val="clear"/>
            <w:vAlign w:val="center"/>
          </w:tcPr>
          <w:p>
            <w:pPr>
              <w:pStyle w:val="TableContents"/>
              <w:bidi w:val="0"/>
              <w:spacing w:before="0" w:after="283"/>
              <w:jc w:val="left"/>
              <w:rPr/>
            </w:pPr>
            <w:r>
              <w:rPr/>
              <w:t> </w:t>
            </w:r>
          </w:p>
        </w:tc>
        <w:tc>
          <w:tcPr>
            <w:tcW w:w="1805" w:type="dxa"/>
            <w:tcBorders/>
            <w:shd w:fill="FFFFFF" w:val="clear"/>
            <w:vAlign w:val="center"/>
          </w:tcPr>
          <w:p>
            <w:pPr>
              <w:pStyle w:val="TableContents"/>
              <w:bidi w:val="0"/>
              <w:spacing w:before="0" w:after="283"/>
              <w:jc w:val="center"/>
              <w:rPr>
                <w:sz w:val="20"/>
              </w:rPr>
            </w:pPr>
            <w:r>
              <w:rPr>
                <w:sz w:val="20"/>
              </w:rPr>
              <w:t>$205M — $225M</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center"/>
              <w:rPr>
                <w:sz w:val="20"/>
              </w:rPr>
            </w:pPr>
            <w:r>
              <w:rPr>
                <w:sz w:val="20"/>
              </w:rPr>
              <w:t>$215M</w:t>
            </w:r>
          </w:p>
        </w:tc>
      </w:tr>
      <w:tr>
        <w:trPr/>
        <w:tc>
          <w:tcPr>
            <w:tcW w:w="3125" w:type="dxa"/>
            <w:tcBorders/>
            <w:shd w:fill="CCEEFF" w:val="clear"/>
            <w:vAlign w:val="center"/>
          </w:tcPr>
          <w:p>
            <w:pPr>
              <w:pStyle w:val="TableContents"/>
              <w:bidi w:val="0"/>
              <w:spacing w:before="0" w:after="283"/>
              <w:jc w:val="left"/>
              <w:rPr>
                <w:sz w:val="20"/>
              </w:rPr>
            </w:pPr>
            <w:r>
              <w:rPr>
                <w:sz w:val="20"/>
              </w:rPr>
              <w:t>Non-GAAP adjusted EBITDA margins</w:t>
            </w:r>
          </w:p>
        </w:tc>
        <w:tc>
          <w:tcPr>
            <w:tcW w:w="60" w:type="dxa"/>
            <w:tcBorders/>
            <w:shd w:fill="CCEEFF" w:val="clear"/>
            <w:vAlign w:val="center"/>
          </w:tcPr>
          <w:p>
            <w:pPr>
              <w:pStyle w:val="TableContents"/>
              <w:bidi w:val="0"/>
              <w:spacing w:before="0" w:after="283"/>
              <w:jc w:val="left"/>
              <w:rPr/>
            </w:pPr>
            <w:r>
              <w:rPr/>
              <w:t> </w:t>
            </w:r>
          </w:p>
        </w:tc>
        <w:tc>
          <w:tcPr>
            <w:tcW w:w="1805" w:type="dxa"/>
            <w:tcBorders/>
            <w:shd w:fill="CCEEFF" w:val="clear"/>
            <w:vAlign w:val="center"/>
          </w:tcPr>
          <w:p>
            <w:pPr>
              <w:pStyle w:val="TableContents"/>
              <w:bidi w:val="0"/>
              <w:spacing w:before="0" w:after="283"/>
              <w:jc w:val="center"/>
              <w:rPr>
                <w:sz w:val="20"/>
              </w:rPr>
            </w:pPr>
            <w:r>
              <w:rPr>
                <w:sz w:val="20"/>
              </w:rPr>
              <w:t>10.6% — 11.3%</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sz w:val="20"/>
              </w:rPr>
            </w:pPr>
            <w:r>
              <w:rPr>
                <w:sz w:val="20"/>
              </w:rPr>
              <w:t>10.9%</w:t>
            </w:r>
          </w:p>
        </w:tc>
      </w:tr>
      <w:tr>
        <w:trPr/>
        <w:tc>
          <w:tcPr>
            <w:tcW w:w="3125" w:type="dxa"/>
            <w:tcBorders/>
            <w:shd w:fill="FFFFFF" w:val="clear"/>
            <w:vAlign w:val="center"/>
          </w:tcPr>
          <w:p>
            <w:pPr>
              <w:pStyle w:val="TableContents"/>
              <w:bidi w:val="0"/>
              <w:spacing w:before="0" w:after="283"/>
              <w:jc w:val="left"/>
              <w:rPr>
                <w:sz w:val="20"/>
              </w:rPr>
            </w:pPr>
            <w:r>
              <w:rPr>
                <w:sz w:val="20"/>
              </w:rPr>
              <w:t>Non-GAAP operating income</w:t>
            </w:r>
          </w:p>
        </w:tc>
        <w:tc>
          <w:tcPr>
            <w:tcW w:w="60" w:type="dxa"/>
            <w:tcBorders/>
            <w:shd w:fill="FFFFFF" w:val="clear"/>
            <w:vAlign w:val="center"/>
          </w:tcPr>
          <w:p>
            <w:pPr>
              <w:pStyle w:val="TableContents"/>
              <w:bidi w:val="0"/>
              <w:spacing w:before="0" w:after="283"/>
              <w:jc w:val="left"/>
              <w:rPr/>
            </w:pPr>
            <w:r>
              <w:rPr/>
              <w:t> </w:t>
            </w:r>
          </w:p>
        </w:tc>
        <w:tc>
          <w:tcPr>
            <w:tcW w:w="1805" w:type="dxa"/>
            <w:tcBorders/>
            <w:shd w:fill="FFFFFF" w:val="clear"/>
            <w:vAlign w:val="center"/>
          </w:tcPr>
          <w:p>
            <w:pPr>
              <w:pStyle w:val="TableContents"/>
              <w:bidi w:val="0"/>
              <w:spacing w:before="0" w:after="283"/>
              <w:jc w:val="center"/>
              <w:rPr>
                <w:sz w:val="20"/>
              </w:rPr>
            </w:pPr>
            <w:r>
              <w:rPr>
                <w:sz w:val="20"/>
              </w:rPr>
              <w:t>$145M — $165M</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center"/>
              <w:rPr>
                <w:sz w:val="20"/>
              </w:rPr>
            </w:pPr>
            <w:r>
              <w:rPr>
                <w:sz w:val="20"/>
              </w:rPr>
              <w:t>$155M</w:t>
            </w:r>
          </w:p>
        </w:tc>
      </w:tr>
      <w:tr>
        <w:trPr/>
        <w:tc>
          <w:tcPr>
            <w:tcW w:w="3125" w:type="dxa"/>
            <w:tcBorders/>
            <w:shd w:fill="CCEEFF" w:val="clear"/>
            <w:vAlign w:val="center"/>
          </w:tcPr>
          <w:p>
            <w:pPr>
              <w:pStyle w:val="TableContents"/>
              <w:bidi w:val="0"/>
              <w:spacing w:before="0" w:after="283"/>
              <w:jc w:val="left"/>
              <w:rPr>
                <w:sz w:val="20"/>
              </w:rPr>
            </w:pPr>
            <w:r>
              <w:rPr>
                <w:sz w:val="20"/>
              </w:rPr>
              <w:t>Non-GAAP operating income margins</w:t>
            </w:r>
          </w:p>
        </w:tc>
        <w:tc>
          <w:tcPr>
            <w:tcW w:w="60" w:type="dxa"/>
            <w:tcBorders/>
            <w:shd w:fill="CCEEFF" w:val="clear"/>
            <w:vAlign w:val="center"/>
          </w:tcPr>
          <w:p>
            <w:pPr>
              <w:pStyle w:val="TableContents"/>
              <w:bidi w:val="0"/>
              <w:spacing w:before="0" w:after="283"/>
              <w:jc w:val="left"/>
              <w:rPr/>
            </w:pPr>
            <w:r>
              <w:rPr/>
              <w:t> </w:t>
            </w:r>
          </w:p>
        </w:tc>
        <w:tc>
          <w:tcPr>
            <w:tcW w:w="1805" w:type="dxa"/>
            <w:tcBorders/>
            <w:shd w:fill="CCEEFF" w:val="clear"/>
            <w:vAlign w:val="center"/>
          </w:tcPr>
          <w:p>
            <w:pPr>
              <w:pStyle w:val="TableContents"/>
              <w:bidi w:val="0"/>
              <w:spacing w:before="0" w:after="283"/>
              <w:jc w:val="center"/>
              <w:rPr>
                <w:sz w:val="20"/>
              </w:rPr>
            </w:pPr>
            <w:r>
              <w:rPr>
                <w:sz w:val="20"/>
              </w:rPr>
              <w:t>7.5% — 8.3%</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sz w:val="20"/>
              </w:rPr>
            </w:pPr>
            <w:r>
              <w:rPr>
                <w:sz w:val="20"/>
              </w:rPr>
              <w:t>7.9%</w:t>
            </w:r>
          </w:p>
        </w:tc>
      </w:tr>
      <w:tr>
        <w:trPr/>
        <w:tc>
          <w:tcPr>
            <w:tcW w:w="3125" w:type="dxa"/>
            <w:tcBorders/>
            <w:shd w:fill="FFFFFF" w:val="clear"/>
            <w:vAlign w:val="center"/>
          </w:tcPr>
          <w:p>
            <w:pPr>
              <w:pStyle w:val="TableContents"/>
              <w:bidi w:val="0"/>
              <w:spacing w:before="0" w:after="283"/>
              <w:jc w:val="left"/>
              <w:rPr>
                <w:sz w:val="20"/>
              </w:rPr>
            </w:pPr>
            <w:r>
              <w:rPr>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1805" w:type="dxa"/>
            <w:tcBorders/>
            <w:shd w:fill="FFFFFF" w:val="clear"/>
            <w:vAlign w:val="center"/>
          </w:tcPr>
          <w:p>
            <w:pPr>
              <w:pStyle w:val="TableContents"/>
              <w:bidi w:val="0"/>
              <w:spacing w:before="0" w:after="283"/>
              <w:jc w:val="center"/>
              <w:rPr>
                <w:sz w:val="20"/>
              </w:rPr>
            </w:pPr>
            <w:r>
              <w:rPr>
                <w:sz w:val="20"/>
              </w:rPr>
              <w:t>($70M) — ($72M)</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center"/>
              <w:rPr>
                <w:sz w:val="20"/>
              </w:rPr>
            </w:pPr>
            <w:r>
              <w:rPr>
                <w:sz w:val="20"/>
              </w:rPr>
              <w:t>($71M)</w:t>
            </w:r>
          </w:p>
        </w:tc>
      </w:tr>
      <w:tr>
        <w:trPr/>
        <w:tc>
          <w:tcPr>
            <w:tcW w:w="3125" w:type="dxa"/>
            <w:tcBorders/>
            <w:shd w:fill="CCEEFF" w:val="clear"/>
            <w:vAlign w:val="center"/>
          </w:tcPr>
          <w:p>
            <w:pPr>
              <w:pStyle w:val="TableContents"/>
              <w:bidi w:val="0"/>
              <w:spacing w:before="0" w:after="283"/>
              <w:jc w:val="left"/>
              <w:rPr>
                <w:sz w:val="20"/>
              </w:rPr>
            </w:pPr>
            <w:r>
              <w:rPr>
                <w:sz w:val="20"/>
              </w:rPr>
              <w:t>Non-GAAP adjusted tax rate</w:t>
            </w:r>
          </w:p>
        </w:tc>
        <w:tc>
          <w:tcPr>
            <w:tcW w:w="60" w:type="dxa"/>
            <w:tcBorders/>
            <w:shd w:fill="CCEEFF" w:val="clear"/>
            <w:vAlign w:val="center"/>
          </w:tcPr>
          <w:p>
            <w:pPr>
              <w:pStyle w:val="TableContents"/>
              <w:bidi w:val="0"/>
              <w:spacing w:before="0" w:after="283"/>
              <w:jc w:val="left"/>
              <w:rPr/>
            </w:pPr>
            <w:r>
              <w:rPr/>
              <w:t> </w:t>
            </w:r>
          </w:p>
        </w:tc>
        <w:tc>
          <w:tcPr>
            <w:tcW w:w="1805" w:type="dxa"/>
            <w:tcBorders/>
            <w:shd w:fill="CCEEFF" w:val="clear"/>
            <w:vAlign w:val="center"/>
          </w:tcPr>
          <w:p>
            <w:pPr>
              <w:pStyle w:val="TableContents"/>
              <w:bidi w:val="0"/>
              <w:spacing w:before="0" w:after="283"/>
              <w:jc w:val="center"/>
              <w:rPr>
                <w:sz w:val="20"/>
              </w:rPr>
            </w:pPr>
            <w:r>
              <w:rPr>
                <w:sz w:val="20"/>
              </w:rPr>
              <w:t>48% — 50%</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sz w:val="20"/>
              </w:rPr>
            </w:pPr>
            <w:r>
              <w:rPr>
                <w:sz w:val="20"/>
              </w:rPr>
              <w:t>49%</w:t>
            </w:r>
          </w:p>
        </w:tc>
      </w:tr>
      <w:tr>
        <w:trPr/>
        <w:tc>
          <w:tcPr>
            <w:tcW w:w="3125" w:type="dxa"/>
            <w:tcBorders/>
            <w:shd w:fill="FFFFFF" w:val="clear"/>
            <w:vAlign w:val="center"/>
          </w:tcPr>
          <w:p>
            <w:pPr>
              <w:pStyle w:val="TableContents"/>
              <w:bidi w:val="0"/>
              <w:spacing w:before="0" w:after="283"/>
              <w:jc w:val="left"/>
              <w:rPr>
                <w:sz w:val="20"/>
              </w:rPr>
            </w:pPr>
            <w:r>
              <w:rPr>
                <w:sz w:val="20"/>
              </w:rPr>
              <w:t>Diluted share count</w:t>
            </w:r>
          </w:p>
        </w:tc>
        <w:tc>
          <w:tcPr>
            <w:tcW w:w="60" w:type="dxa"/>
            <w:tcBorders/>
            <w:shd w:fill="FFFFFF" w:val="clear"/>
            <w:vAlign w:val="center"/>
          </w:tcPr>
          <w:p>
            <w:pPr>
              <w:pStyle w:val="TableContents"/>
              <w:bidi w:val="0"/>
              <w:spacing w:before="0" w:after="283"/>
              <w:jc w:val="left"/>
              <w:rPr/>
            </w:pPr>
            <w:r>
              <w:rPr/>
              <w:t> </w:t>
            </w:r>
          </w:p>
        </w:tc>
        <w:tc>
          <w:tcPr>
            <w:tcW w:w="1805" w:type="dxa"/>
            <w:tcBorders/>
            <w:shd w:fill="FFFFFF" w:val="clear"/>
            <w:vAlign w:val="center"/>
          </w:tcPr>
          <w:p>
            <w:pPr>
              <w:pStyle w:val="TableContents"/>
              <w:bidi w:val="0"/>
              <w:spacing w:before="0" w:after="283"/>
              <w:jc w:val="center"/>
              <w:rPr>
                <w:sz w:val="20"/>
              </w:rPr>
            </w:pPr>
            <w:r>
              <w:rPr>
                <w:sz w:val="20"/>
              </w:rPr>
              <w:t>48.7M — 48.9M</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center"/>
              <w:rPr>
                <w:sz w:val="20"/>
              </w:rPr>
            </w:pPr>
            <w:r>
              <w:rPr>
                <w:sz w:val="20"/>
              </w:rPr>
              <w:t>48.8M</w:t>
            </w:r>
          </w:p>
        </w:tc>
      </w:tr>
      <w:tr>
        <w:trPr/>
        <w:tc>
          <w:tcPr>
            <w:tcW w:w="3125" w:type="dxa"/>
            <w:tcBorders/>
            <w:shd w:fill="CCEEFF" w:val="clear"/>
            <w:vAlign w:val="center"/>
          </w:tcPr>
          <w:p>
            <w:pPr>
              <w:pStyle w:val="TableContents"/>
              <w:bidi w:val="0"/>
              <w:spacing w:before="0" w:after="283"/>
              <w:jc w:val="left"/>
              <w:rPr>
                <w:sz w:val="20"/>
              </w:rPr>
            </w:pPr>
            <w:r>
              <w:rPr>
                <w:sz w:val="20"/>
              </w:rPr>
              <w:t>Non-GAAP earnings per a share</w:t>
            </w:r>
          </w:p>
        </w:tc>
        <w:tc>
          <w:tcPr>
            <w:tcW w:w="60" w:type="dxa"/>
            <w:tcBorders/>
            <w:shd w:fill="CCEEFF" w:val="clear"/>
            <w:vAlign w:val="center"/>
          </w:tcPr>
          <w:p>
            <w:pPr>
              <w:pStyle w:val="TableContents"/>
              <w:bidi w:val="0"/>
              <w:spacing w:before="0" w:after="283"/>
              <w:jc w:val="left"/>
              <w:rPr/>
            </w:pPr>
            <w:r>
              <w:rPr/>
              <w:t> </w:t>
            </w:r>
          </w:p>
        </w:tc>
        <w:tc>
          <w:tcPr>
            <w:tcW w:w="1805" w:type="dxa"/>
            <w:tcBorders/>
            <w:shd w:fill="CCEEFF" w:val="clear"/>
            <w:vAlign w:val="center"/>
          </w:tcPr>
          <w:p>
            <w:pPr>
              <w:pStyle w:val="TableContents"/>
              <w:bidi w:val="0"/>
              <w:spacing w:before="0" w:after="283"/>
              <w:jc w:val="center"/>
              <w:rPr>
                <w:sz w:val="20"/>
              </w:rPr>
            </w:pPr>
            <w:r>
              <w:rPr>
                <w:sz w:val="20"/>
              </w:rPr>
              <w:t>$0.79 — $0.99</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sz w:val="20"/>
              </w:rPr>
            </w:pPr>
            <w:r>
              <w:rPr>
                <w:sz w:val="20"/>
              </w:rPr>
              <w:t>$0.89</w:t>
            </w:r>
          </w:p>
        </w:tc>
      </w:tr>
    </w:tbl>
    <w:p>
      <w:pPr>
        <w:pStyle w:val="TextBody"/>
        <w:bidi w:val="0"/>
        <w:spacing w:before="0" w:after="0"/>
        <w:ind w:left="0" w:right="0" w:hanging="0"/>
        <w:jc w:val="both"/>
        <w:rPr>
          <w:caps w:val="false"/>
          <w:smallCaps w:val="false"/>
          <w:color w:val="FF0000"/>
        </w:rPr>
      </w:pPr>
      <w:r>
        <w:rPr>
          <w:caps w:val="false"/>
          <w:smallCaps w:val="false"/>
          <w:color w:val="FF0000"/>
        </w:rPr>
        <w:t> </w:t>
      </w:r>
    </w:p>
    <w:tbl>
      <w:tblPr>
        <w:tblW w:w="6360" w:type="dxa"/>
        <w:jc w:val="left"/>
        <w:tblInd w:w="0" w:type="dxa"/>
        <w:tblLayout w:type="fixed"/>
        <w:tblCellMar>
          <w:top w:w="0" w:type="dxa"/>
          <w:left w:w="0" w:type="dxa"/>
          <w:bottom w:w="0" w:type="dxa"/>
          <w:right w:w="0" w:type="dxa"/>
        </w:tblCellMar>
      </w:tblPr>
      <w:tblGrid>
        <w:gridCol w:w="3125"/>
        <w:gridCol w:w="60"/>
        <w:gridCol w:w="1805"/>
        <w:gridCol w:w="60"/>
        <w:gridCol w:w="1310"/>
      </w:tblGrid>
      <w:tr>
        <w:trPr/>
        <w:tc>
          <w:tcPr>
            <w:tcW w:w="3125" w:type="dxa"/>
            <w:tcBorders/>
            <w:vAlign w:val="center"/>
          </w:tcPr>
          <w:p>
            <w:pPr>
              <w:pStyle w:val="TableContents"/>
              <w:bidi w:val="0"/>
              <w:spacing w:before="0" w:after="283"/>
              <w:jc w:val="left"/>
              <w:rPr>
                <w:b/>
                <w:sz w:val="20"/>
              </w:rPr>
            </w:pPr>
            <w:r>
              <w:rPr>
                <w:b/>
                <w:sz w:val="20"/>
              </w:rPr>
              <w:t>Engage Full Year 2026 Outlook</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Full Year 2026</w:t>
              <w:br/>
              <w:t>Guidance</w:t>
            </w:r>
          </w:p>
        </w:tc>
        <w:tc>
          <w:tcPr>
            <w:tcW w:w="60" w:type="dxa"/>
            <w:tcBorders/>
            <w:vAlign w:val="center"/>
          </w:tcPr>
          <w:p>
            <w:pPr>
              <w:pStyle w:val="TableContents"/>
              <w:bidi w:val="0"/>
              <w:spacing w:before="0" w:after="283"/>
              <w:jc w:val="left"/>
              <w:rPr/>
            </w:pPr>
            <w:r>
              <w:rPr/>
              <w:t> </w:t>
            </w:r>
          </w:p>
        </w:tc>
        <w:tc>
          <w:tcPr>
            <w:tcW w:w="131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Full Year 2026</w:t>
              <w:br/>
              <w:t>Mid-Point</w:t>
            </w:r>
          </w:p>
        </w:tc>
      </w:tr>
      <w:tr>
        <w:trPr/>
        <w:tc>
          <w:tcPr>
            <w:tcW w:w="3125" w:type="dxa"/>
            <w:tcBorders/>
            <w:shd w:fill="CCEEFF" w:val="clear"/>
            <w:vAlign w:val="center"/>
          </w:tcPr>
          <w:p>
            <w:pPr>
              <w:pStyle w:val="TableContents"/>
              <w:bidi w:val="0"/>
              <w:spacing w:before="0" w:after="283"/>
              <w:jc w:val="left"/>
              <w:rPr>
                <w:sz w:val="20"/>
              </w:rPr>
            </w:pPr>
            <w:r>
              <w:rPr>
                <w:sz w:val="20"/>
              </w:rPr>
              <w:t>Revenue</w:t>
            </w:r>
          </w:p>
        </w:tc>
        <w:tc>
          <w:tcPr>
            <w:tcW w:w="60" w:type="dxa"/>
            <w:tcBorders/>
            <w:shd w:fill="CCEEFF" w:val="clear"/>
            <w:vAlign w:val="center"/>
          </w:tcPr>
          <w:p>
            <w:pPr>
              <w:pStyle w:val="TableContents"/>
              <w:bidi w:val="0"/>
              <w:spacing w:before="0" w:after="283"/>
              <w:jc w:val="left"/>
              <w:rPr/>
            </w:pPr>
            <w:r>
              <w:rPr/>
              <w:t> </w:t>
            </w:r>
          </w:p>
        </w:tc>
        <w:tc>
          <w:tcPr>
            <w:tcW w:w="1805" w:type="dxa"/>
            <w:tcBorders/>
            <w:shd w:fill="CCEEFF" w:val="clear"/>
            <w:vAlign w:val="center"/>
          </w:tcPr>
          <w:p>
            <w:pPr>
              <w:pStyle w:val="TableContents"/>
              <w:bidi w:val="0"/>
              <w:spacing w:before="0" w:after="283"/>
              <w:jc w:val="center"/>
              <w:rPr>
                <w:sz w:val="20"/>
              </w:rPr>
            </w:pPr>
            <w:r>
              <w:rPr>
                <w:sz w:val="20"/>
              </w:rPr>
              <w:t>$1,520M — $1,550M</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sz w:val="20"/>
              </w:rPr>
            </w:pPr>
            <w:r>
              <w:rPr>
                <w:sz w:val="20"/>
              </w:rPr>
              <w:t>$1,535M</w:t>
            </w:r>
          </w:p>
        </w:tc>
      </w:tr>
      <w:tr>
        <w:trPr/>
        <w:tc>
          <w:tcPr>
            <w:tcW w:w="3125" w:type="dxa"/>
            <w:tcBorders/>
            <w:shd w:fill="FFFFFF" w:val="clear"/>
            <w:vAlign w:val="center"/>
          </w:tcPr>
          <w:p>
            <w:pPr>
              <w:pStyle w:val="TableContents"/>
              <w:bidi w:val="0"/>
              <w:spacing w:before="0" w:after="283"/>
              <w:jc w:val="left"/>
              <w:rPr>
                <w:sz w:val="20"/>
              </w:rPr>
            </w:pPr>
            <w:r>
              <w:rPr>
                <w:sz w:val="20"/>
              </w:rPr>
              <w:t>Non-GAAP adjusted EBITDA</w:t>
            </w:r>
          </w:p>
        </w:tc>
        <w:tc>
          <w:tcPr>
            <w:tcW w:w="60" w:type="dxa"/>
            <w:tcBorders/>
            <w:shd w:fill="FFFFFF" w:val="clear"/>
            <w:vAlign w:val="center"/>
          </w:tcPr>
          <w:p>
            <w:pPr>
              <w:pStyle w:val="TableContents"/>
              <w:bidi w:val="0"/>
              <w:spacing w:before="0" w:after="283"/>
              <w:jc w:val="left"/>
              <w:rPr/>
            </w:pPr>
            <w:r>
              <w:rPr/>
              <w:t> </w:t>
            </w:r>
          </w:p>
        </w:tc>
        <w:tc>
          <w:tcPr>
            <w:tcW w:w="1805" w:type="dxa"/>
            <w:tcBorders/>
            <w:shd w:fill="FFFFFF" w:val="clear"/>
            <w:vAlign w:val="center"/>
          </w:tcPr>
          <w:p>
            <w:pPr>
              <w:pStyle w:val="TableContents"/>
              <w:bidi w:val="0"/>
              <w:spacing w:before="0" w:after="283"/>
              <w:jc w:val="center"/>
              <w:rPr>
                <w:sz w:val="20"/>
              </w:rPr>
            </w:pPr>
            <w:r>
              <w:rPr>
                <w:sz w:val="20"/>
              </w:rPr>
              <w:t>$149M — $161M</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center"/>
              <w:rPr>
                <w:sz w:val="20"/>
              </w:rPr>
            </w:pPr>
            <w:r>
              <w:rPr>
                <w:sz w:val="20"/>
              </w:rPr>
              <w:t>$155M</w:t>
            </w:r>
          </w:p>
        </w:tc>
      </w:tr>
      <w:tr>
        <w:trPr/>
        <w:tc>
          <w:tcPr>
            <w:tcW w:w="3125" w:type="dxa"/>
            <w:tcBorders/>
            <w:shd w:fill="CCEEFF" w:val="clear"/>
            <w:vAlign w:val="center"/>
          </w:tcPr>
          <w:p>
            <w:pPr>
              <w:pStyle w:val="TableContents"/>
              <w:bidi w:val="0"/>
              <w:spacing w:before="0" w:after="283"/>
              <w:jc w:val="left"/>
              <w:rPr>
                <w:sz w:val="20"/>
              </w:rPr>
            </w:pPr>
            <w:r>
              <w:rPr>
                <w:sz w:val="20"/>
              </w:rPr>
              <w:t>Non-GAAP adjusted EBITDA margins</w:t>
            </w:r>
          </w:p>
        </w:tc>
        <w:tc>
          <w:tcPr>
            <w:tcW w:w="60" w:type="dxa"/>
            <w:tcBorders/>
            <w:shd w:fill="CCEEFF" w:val="clear"/>
            <w:vAlign w:val="center"/>
          </w:tcPr>
          <w:p>
            <w:pPr>
              <w:pStyle w:val="TableContents"/>
              <w:bidi w:val="0"/>
              <w:spacing w:before="0" w:after="283"/>
              <w:jc w:val="left"/>
              <w:rPr/>
            </w:pPr>
            <w:r>
              <w:rPr/>
              <w:t> </w:t>
            </w:r>
          </w:p>
        </w:tc>
        <w:tc>
          <w:tcPr>
            <w:tcW w:w="1805" w:type="dxa"/>
            <w:tcBorders/>
            <w:shd w:fill="CCEEFF" w:val="clear"/>
            <w:vAlign w:val="center"/>
          </w:tcPr>
          <w:p>
            <w:pPr>
              <w:pStyle w:val="TableContents"/>
              <w:bidi w:val="0"/>
              <w:spacing w:before="0" w:after="283"/>
              <w:jc w:val="center"/>
              <w:rPr>
                <w:sz w:val="20"/>
              </w:rPr>
            </w:pPr>
            <w:r>
              <w:rPr>
                <w:sz w:val="20"/>
              </w:rPr>
              <w:t>9.8% — 10.4%</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sz w:val="20"/>
              </w:rPr>
            </w:pPr>
            <w:r>
              <w:rPr>
                <w:sz w:val="20"/>
              </w:rPr>
              <w:t>10.1%</w:t>
            </w:r>
          </w:p>
        </w:tc>
      </w:tr>
      <w:tr>
        <w:trPr/>
        <w:tc>
          <w:tcPr>
            <w:tcW w:w="3125" w:type="dxa"/>
            <w:tcBorders/>
            <w:shd w:fill="FFFFFF" w:val="clear"/>
            <w:vAlign w:val="center"/>
          </w:tcPr>
          <w:p>
            <w:pPr>
              <w:pStyle w:val="TableContents"/>
              <w:bidi w:val="0"/>
              <w:spacing w:before="0" w:after="283"/>
              <w:jc w:val="left"/>
              <w:rPr>
                <w:sz w:val="20"/>
              </w:rPr>
            </w:pPr>
            <w:r>
              <w:rPr>
                <w:sz w:val="20"/>
              </w:rPr>
              <w:t>Non-GAAP operating income</w:t>
            </w:r>
          </w:p>
        </w:tc>
        <w:tc>
          <w:tcPr>
            <w:tcW w:w="60" w:type="dxa"/>
            <w:tcBorders/>
            <w:shd w:fill="FFFFFF" w:val="clear"/>
            <w:vAlign w:val="center"/>
          </w:tcPr>
          <w:p>
            <w:pPr>
              <w:pStyle w:val="TableContents"/>
              <w:bidi w:val="0"/>
              <w:spacing w:before="0" w:after="283"/>
              <w:jc w:val="left"/>
              <w:rPr/>
            </w:pPr>
            <w:r>
              <w:rPr/>
              <w:t> </w:t>
            </w:r>
          </w:p>
        </w:tc>
        <w:tc>
          <w:tcPr>
            <w:tcW w:w="1805" w:type="dxa"/>
            <w:tcBorders/>
            <w:shd w:fill="FFFFFF" w:val="clear"/>
            <w:vAlign w:val="center"/>
          </w:tcPr>
          <w:p>
            <w:pPr>
              <w:pStyle w:val="TableContents"/>
              <w:bidi w:val="0"/>
              <w:spacing w:before="0" w:after="283"/>
              <w:jc w:val="center"/>
              <w:rPr>
                <w:sz w:val="20"/>
              </w:rPr>
            </w:pPr>
            <w:r>
              <w:rPr>
                <w:sz w:val="20"/>
              </w:rPr>
              <w:t>$100M — $112M</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center"/>
              <w:rPr>
                <w:sz w:val="20"/>
              </w:rPr>
            </w:pPr>
            <w:r>
              <w:rPr>
                <w:sz w:val="20"/>
              </w:rPr>
              <w:t>$106M</w:t>
            </w:r>
          </w:p>
        </w:tc>
      </w:tr>
      <w:tr>
        <w:trPr/>
        <w:tc>
          <w:tcPr>
            <w:tcW w:w="3125" w:type="dxa"/>
            <w:tcBorders/>
            <w:shd w:fill="CCEEFF" w:val="clear"/>
            <w:vAlign w:val="center"/>
          </w:tcPr>
          <w:p>
            <w:pPr>
              <w:pStyle w:val="TableContents"/>
              <w:bidi w:val="0"/>
              <w:spacing w:before="0" w:after="283"/>
              <w:jc w:val="left"/>
              <w:rPr>
                <w:sz w:val="20"/>
              </w:rPr>
            </w:pPr>
            <w:r>
              <w:rPr>
                <w:sz w:val="20"/>
              </w:rPr>
              <w:t>Non-GAAP operating income margins</w:t>
            </w:r>
          </w:p>
        </w:tc>
        <w:tc>
          <w:tcPr>
            <w:tcW w:w="60" w:type="dxa"/>
            <w:tcBorders/>
            <w:shd w:fill="CCEEFF" w:val="clear"/>
            <w:vAlign w:val="center"/>
          </w:tcPr>
          <w:p>
            <w:pPr>
              <w:pStyle w:val="TableContents"/>
              <w:bidi w:val="0"/>
              <w:spacing w:before="0" w:after="283"/>
              <w:jc w:val="left"/>
              <w:rPr/>
            </w:pPr>
            <w:r>
              <w:rPr/>
              <w:t> </w:t>
            </w:r>
          </w:p>
        </w:tc>
        <w:tc>
          <w:tcPr>
            <w:tcW w:w="1805" w:type="dxa"/>
            <w:tcBorders/>
            <w:shd w:fill="CCEEFF" w:val="clear"/>
            <w:vAlign w:val="center"/>
          </w:tcPr>
          <w:p>
            <w:pPr>
              <w:pStyle w:val="TableContents"/>
              <w:bidi w:val="0"/>
              <w:spacing w:before="0" w:after="283"/>
              <w:jc w:val="center"/>
              <w:rPr>
                <w:sz w:val="20"/>
              </w:rPr>
            </w:pPr>
            <w:r>
              <w:rPr>
                <w:sz w:val="20"/>
              </w:rPr>
              <w:t>6.6% — 7.2%</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sz w:val="20"/>
              </w:rPr>
            </w:pPr>
            <w:r>
              <w:rPr>
                <w:sz w:val="20"/>
              </w:rPr>
              <w:t>6.9%</w:t>
            </w:r>
          </w:p>
        </w:tc>
      </w:tr>
    </w:tbl>
    <w:p>
      <w:pPr>
        <w:pStyle w:val="TextBody"/>
        <w:bidi w:val="0"/>
        <w:spacing w:before="0" w:after="0"/>
        <w:ind w:left="0" w:right="0" w:hanging="0"/>
        <w:jc w:val="both"/>
        <w:rPr>
          <w:caps w:val="false"/>
          <w:smallCaps w:val="false"/>
        </w:rPr>
      </w:pPr>
      <w:r>
        <w:rPr>
          <w:caps w:val="false"/>
          <w:smallCaps w:val="false"/>
        </w:rPr>
        <w:t> </w:t>
      </w:r>
    </w:p>
    <w:tbl>
      <w:tblPr>
        <w:tblW w:w="6060" w:type="dxa"/>
        <w:jc w:val="left"/>
        <w:tblInd w:w="0" w:type="dxa"/>
        <w:tblLayout w:type="fixed"/>
        <w:tblCellMar>
          <w:top w:w="0" w:type="dxa"/>
          <w:left w:w="0" w:type="dxa"/>
          <w:bottom w:w="0" w:type="dxa"/>
          <w:right w:w="0" w:type="dxa"/>
        </w:tblCellMar>
      </w:tblPr>
      <w:tblGrid>
        <w:gridCol w:w="3125"/>
        <w:gridCol w:w="60"/>
        <w:gridCol w:w="1505"/>
        <w:gridCol w:w="60"/>
        <w:gridCol w:w="1310"/>
      </w:tblGrid>
      <w:tr>
        <w:trPr/>
        <w:tc>
          <w:tcPr>
            <w:tcW w:w="3125" w:type="dxa"/>
            <w:tcBorders/>
            <w:vAlign w:val="center"/>
          </w:tcPr>
          <w:p>
            <w:pPr>
              <w:pStyle w:val="TableContents"/>
              <w:bidi w:val="0"/>
              <w:spacing w:before="0" w:after="283"/>
              <w:jc w:val="left"/>
              <w:rPr>
                <w:b/>
                <w:sz w:val="20"/>
              </w:rPr>
            </w:pPr>
            <w:r>
              <w:rPr>
                <w:b/>
                <w:sz w:val="20"/>
              </w:rPr>
              <w:t>Digital Full Year 2026 Outlook</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Full Year 2026</w:t>
              <w:br/>
              <w:t>Guidance</w:t>
            </w:r>
          </w:p>
        </w:tc>
        <w:tc>
          <w:tcPr>
            <w:tcW w:w="60" w:type="dxa"/>
            <w:tcBorders/>
            <w:vAlign w:val="center"/>
          </w:tcPr>
          <w:p>
            <w:pPr>
              <w:pStyle w:val="TableContents"/>
              <w:bidi w:val="0"/>
              <w:spacing w:before="0" w:after="283"/>
              <w:jc w:val="left"/>
              <w:rPr/>
            </w:pPr>
            <w:r>
              <w:rPr/>
              <w:t> </w:t>
            </w:r>
          </w:p>
        </w:tc>
        <w:tc>
          <w:tcPr>
            <w:tcW w:w="131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Full Year 2026</w:t>
              <w:br/>
              <w:t>Mid-Point</w:t>
            </w:r>
          </w:p>
        </w:tc>
      </w:tr>
      <w:tr>
        <w:trPr/>
        <w:tc>
          <w:tcPr>
            <w:tcW w:w="3125" w:type="dxa"/>
            <w:tcBorders/>
            <w:shd w:fill="CCEEFF" w:val="clear"/>
            <w:vAlign w:val="center"/>
          </w:tcPr>
          <w:p>
            <w:pPr>
              <w:pStyle w:val="TableContents"/>
              <w:bidi w:val="0"/>
              <w:spacing w:before="0" w:after="283"/>
              <w:jc w:val="left"/>
              <w:rPr>
                <w:sz w:val="20"/>
              </w:rPr>
            </w:pPr>
            <w:r>
              <w:rPr>
                <w:sz w:val="20"/>
              </w:rPr>
              <w:t>Revenue</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center"/>
              <w:rPr>
                <w:sz w:val="20"/>
              </w:rPr>
            </w:pPr>
            <w:r>
              <w:rPr>
                <w:sz w:val="20"/>
              </w:rPr>
              <w:t>$420M — $440M</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sz w:val="20"/>
              </w:rPr>
            </w:pPr>
            <w:r>
              <w:rPr>
                <w:sz w:val="20"/>
              </w:rPr>
              <w:t>$430M</w:t>
            </w:r>
          </w:p>
        </w:tc>
      </w:tr>
      <w:tr>
        <w:trPr/>
        <w:tc>
          <w:tcPr>
            <w:tcW w:w="3125" w:type="dxa"/>
            <w:tcBorders/>
            <w:shd w:fill="FFFFFF" w:val="clear"/>
            <w:vAlign w:val="center"/>
          </w:tcPr>
          <w:p>
            <w:pPr>
              <w:pStyle w:val="TableContents"/>
              <w:bidi w:val="0"/>
              <w:spacing w:before="0" w:after="283"/>
              <w:jc w:val="left"/>
              <w:rPr>
                <w:sz w:val="20"/>
              </w:rPr>
            </w:pPr>
            <w:r>
              <w:rPr>
                <w:sz w:val="20"/>
              </w:rPr>
              <w:t>Non-GAAP adjusted EBITDA</w:t>
            </w:r>
          </w:p>
        </w:tc>
        <w:tc>
          <w:tcPr>
            <w:tcW w:w="60" w:type="dxa"/>
            <w:tcBorders/>
            <w:shd w:fill="FFFFFF" w:val="clear"/>
            <w:vAlign w:val="center"/>
          </w:tcPr>
          <w:p>
            <w:pPr>
              <w:pStyle w:val="TableContents"/>
              <w:bidi w:val="0"/>
              <w:spacing w:before="0" w:after="283"/>
              <w:jc w:val="left"/>
              <w:rPr/>
            </w:pPr>
            <w:r>
              <w:rPr/>
              <w:t> </w:t>
            </w:r>
          </w:p>
        </w:tc>
        <w:tc>
          <w:tcPr>
            <w:tcW w:w="1505" w:type="dxa"/>
            <w:tcBorders/>
            <w:shd w:fill="FFFFFF" w:val="clear"/>
            <w:vAlign w:val="center"/>
          </w:tcPr>
          <w:p>
            <w:pPr>
              <w:pStyle w:val="TableContents"/>
              <w:bidi w:val="0"/>
              <w:spacing w:before="0" w:after="283"/>
              <w:jc w:val="center"/>
              <w:rPr>
                <w:sz w:val="20"/>
              </w:rPr>
            </w:pPr>
            <w:r>
              <w:rPr>
                <w:sz w:val="20"/>
              </w:rPr>
              <w:t>$56M — $64M</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center"/>
              <w:rPr>
                <w:sz w:val="20"/>
              </w:rPr>
            </w:pPr>
            <w:r>
              <w:rPr>
                <w:sz w:val="20"/>
              </w:rPr>
              <w:t>$60M</w:t>
            </w:r>
          </w:p>
        </w:tc>
      </w:tr>
      <w:tr>
        <w:trPr/>
        <w:tc>
          <w:tcPr>
            <w:tcW w:w="3125" w:type="dxa"/>
            <w:tcBorders/>
            <w:shd w:fill="CCEEFF" w:val="clear"/>
            <w:vAlign w:val="center"/>
          </w:tcPr>
          <w:p>
            <w:pPr>
              <w:pStyle w:val="TableContents"/>
              <w:bidi w:val="0"/>
              <w:spacing w:before="0" w:after="283"/>
              <w:jc w:val="left"/>
              <w:rPr>
                <w:sz w:val="20"/>
              </w:rPr>
            </w:pPr>
            <w:r>
              <w:rPr>
                <w:sz w:val="20"/>
              </w:rPr>
              <w:t>Non-GAAP adjusted EBITDA margins</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center"/>
              <w:rPr>
                <w:sz w:val="20"/>
              </w:rPr>
            </w:pPr>
            <w:r>
              <w:rPr>
                <w:sz w:val="20"/>
              </w:rPr>
              <w:t>13.3% — 14.6%</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sz w:val="20"/>
              </w:rPr>
            </w:pPr>
            <w:r>
              <w:rPr>
                <w:sz w:val="20"/>
              </w:rPr>
              <w:t>14.0%</w:t>
            </w:r>
          </w:p>
        </w:tc>
      </w:tr>
      <w:tr>
        <w:trPr/>
        <w:tc>
          <w:tcPr>
            <w:tcW w:w="3125" w:type="dxa"/>
            <w:tcBorders/>
            <w:shd w:fill="FFFFFF" w:val="clear"/>
            <w:vAlign w:val="center"/>
          </w:tcPr>
          <w:p>
            <w:pPr>
              <w:pStyle w:val="TableContents"/>
              <w:bidi w:val="0"/>
              <w:spacing w:before="0" w:after="283"/>
              <w:jc w:val="left"/>
              <w:rPr>
                <w:sz w:val="20"/>
              </w:rPr>
            </w:pPr>
            <w:r>
              <w:rPr>
                <w:sz w:val="20"/>
              </w:rPr>
              <w:t>Non-GAAP operating income</w:t>
            </w:r>
          </w:p>
        </w:tc>
        <w:tc>
          <w:tcPr>
            <w:tcW w:w="60" w:type="dxa"/>
            <w:tcBorders/>
            <w:shd w:fill="FFFFFF" w:val="clear"/>
            <w:vAlign w:val="center"/>
          </w:tcPr>
          <w:p>
            <w:pPr>
              <w:pStyle w:val="TableContents"/>
              <w:bidi w:val="0"/>
              <w:spacing w:before="0" w:after="283"/>
              <w:jc w:val="left"/>
              <w:rPr/>
            </w:pPr>
            <w:r>
              <w:rPr/>
              <w:t> </w:t>
            </w:r>
          </w:p>
        </w:tc>
        <w:tc>
          <w:tcPr>
            <w:tcW w:w="1505" w:type="dxa"/>
            <w:tcBorders/>
            <w:shd w:fill="FFFFFF" w:val="clear"/>
            <w:vAlign w:val="center"/>
          </w:tcPr>
          <w:p>
            <w:pPr>
              <w:pStyle w:val="TableContents"/>
              <w:bidi w:val="0"/>
              <w:spacing w:before="0" w:after="283"/>
              <w:jc w:val="center"/>
              <w:rPr>
                <w:sz w:val="20"/>
              </w:rPr>
            </w:pPr>
            <w:r>
              <w:rPr>
                <w:sz w:val="20"/>
              </w:rPr>
              <w:t>$45M — $53M</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center"/>
              <w:rPr>
                <w:sz w:val="20"/>
              </w:rPr>
            </w:pPr>
            <w:r>
              <w:rPr>
                <w:sz w:val="20"/>
              </w:rPr>
              <w:t>$49M</w:t>
            </w:r>
          </w:p>
        </w:tc>
      </w:tr>
      <w:tr>
        <w:trPr/>
        <w:tc>
          <w:tcPr>
            <w:tcW w:w="3125" w:type="dxa"/>
            <w:tcBorders/>
            <w:shd w:fill="CCEEFF" w:val="clear"/>
            <w:vAlign w:val="center"/>
          </w:tcPr>
          <w:p>
            <w:pPr>
              <w:pStyle w:val="TableContents"/>
              <w:bidi w:val="0"/>
              <w:spacing w:before="0" w:after="283"/>
              <w:jc w:val="left"/>
              <w:rPr>
                <w:sz w:val="20"/>
              </w:rPr>
            </w:pPr>
            <w:r>
              <w:rPr>
                <w:sz w:val="20"/>
              </w:rPr>
              <w:t>Non-GAAP operating income margins</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center"/>
              <w:rPr>
                <w:sz w:val="20"/>
              </w:rPr>
            </w:pPr>
            <w:r>
              <w:rPr>
                <w:sz w:val="20"/>
              </w:rPr>
              <w:t>10.6% — 12.0%</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sz w:val="20"/>
              </w:rPr>
            </w:pPr>
            <w:r>
              <w:rPr>
                <w:sz w:val="20"/>
              </w:rPr>
              <w:t>11.3%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quantitatively reconciled its guidance for Non-GAAP operating income, Non-GAAP operating income margins, Non-GAAP adjusted EBITDA, Non-GAAP adjusted EBITDA margins, Non-GAAP adjusted tax rate, or Non-GAAP earnings per share to their respective most comparable GAAP measures because certain of the reconciling items that impact these metrics, including restructuring and impairment charges, equity-based compensation expense, changes in acquisition contingent consideration, depreciation and amortization expense, and provision for income taxes are dependent on the timing of future events outside of the Company’s control or cannot be reliably predicted. Accordingly, the Company is unable to provide reconciliations to GAAP operating income, operating income margins, EBITDA margins, and diluted earnings per share without unreasonable effort. Please note that the unavailable reconciling items could significantly impact the Company’s 2026 financial results as reported under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4657725" cy="6286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657725" cy="6286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2286000" cy="54419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286000" cy="54419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a discussion of certain Non-GAAP financial measures that the company includes to allow investors and analysts to measure, analyze and compare its financial condition and results of operations in a meaningful and consistent manner. A reconciliation of these Non-GAAP financial measures can be found in the tables accompanying this press release.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42"/>
        <w:gridCol w:w="10020"/>
      </w:tblGrid>
      <w:tr>
        <w:trPr/>
        <w:tc>
          <w:tcPr>
            <w:tcW w:w="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Symbol" w:hAnsi="Symbol"/>
                <w:color w:val="000000"/>
              </w:rPr>
            </w:pPr>
            <w:r>
              <w:rPr>
                <w:rFonts w:ascii="Symbol" w:hAnsi="Symbol"/>
                <w:color w:val="000000"/>
              </w:rPr>
              <w:t>·</w:t>
            </w:r>
          </w:p>
        </w:tc>
        <w:tc>
          <w:tcPr>
            <w:tcW w:w="10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GAAP</w:t>
            </w:r>
            <w:r>
              <w:rPr>
                <w:rFonts w:ascii="Times New Roman;Times;Serif" w:hAnsi="Times New Roman;Times;Serif"/>
              </w:rPr>
              <w:t xml:space="preserve"> metrics are presented in accordance with Generally Accepted Accounting Principles.</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color w:val="000000"/>
              </w:rPr>
            </w:pPr>
            <w:r>
              <w:rPr>
                <w:rFonts w:ascii="Symbol" w:hAnsi="Symbol"/>
                <w:color w:val="000000"/>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Non-GAAP </w:t>
            </w:r>
            <w:r>
              <w:rPr>
                <w:rFonts w:ascii="Times New Roman;Times;Serif" w:hAnsi="Times New Roman;Times;Serif"/>
              </w:rPr>
              <w:t xml:space="preserve">- As reflected in the attached reconciliation table, the definition of Non-GAAP may exclude from operating income, EBITDA, net income and earnings per share restructuring and impairment charges, equity-based compensation expenses, and amortization of purchased intangibles, among other items.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WEBCAST/CONFERENCE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TTEC will host a live webcast and conference call at 8:30 a.m. ET on Tuesday, August 11, 2026. You are invited to join a live webcast of the conference call by visiting the "Investors Relations" section of the TTEC website at www.ttec.com. If you are unable to participate during the live webcast, a replay will be available on the TTEC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TTEC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TTEC (pronounced T-TEC) Holdings, Inc. (NASDAQ:TTEC) is a leading global CX (customer experience) technology and services innovator for AI-enabled digital CX solutions. Serving iconic and disruptive brands, TTEC's outcome-based solutions span the entire enterprise, touch every virtual interaction channel, and improve each step of the customer journey. Leveraging next-gen digital technology, the Company's TTEC Digital business designs, builds, and operates omnichannel contact center technology, CRM, AI and analytics solutions. The company's TTEC Engage business delivers AI-enabled customer engagement, customer acquisition and growth, tech support, back office, and fraud prevention services. Founded in 1982, the company's singular obsession with CX excellence has earned it leading client, customer, and employee satisfaction scores across the globe. The company's employees operate on six continents and bring technology and humanity together to deliver happy customers and differentiated business results. To learn more visit us at </w:t>
      </w:r>
      <w:r>
        <w:rPr>
          <w:rFonts w:ascii="Times New Roman;Times;Serif" w:hAnsi="Times New Roman;Times;Serif"/>
          <w:b w:val="false"/>
          <w:i w:val="false"/>
          <w:caps w:val="false"/>
          <w:smallCaps w:val="false"/>
          <w:sz w:val="20"/>
          <w:u w:val="single"/>
          <w:shd w:fill="FFFFFF" w:val="clear"/>
        </w:rPr>
        <w:t>https://www.ttec.com</w:t>
      </w:r>
      <w:r>
        <w:rPr>
          <w:rFonts w:ascii="Times New Roman;Times;Serif" w:hAnsi="Times New Roman;Times;Serif"/>
          <w:b w:val="false"/>
          <w:i w:val="false"/>
          <w:caps w:val="false"/>
          <w:smallCaps w:val="false"/>
          <w:color w:val="202020"/>
          <w:sz w:val="20"/>
          <w:shd w:fill="FFFFFF" w:val="clear"/>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4657725" cy="6286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4657725" cy="6286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286000" cy="54419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286000" cy="54419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Earnings Press Release and related oral statements contains “forward-looking statements” within the meaning of Section 27A of the Securities Act of 1933, Section 21E of the Securities Exchange Act of 1934, and the Private Securities Litigation Reform Act of 1995. Forward-looking statements include, but are not limited to, statements relating to our operations, expected financial position, results of operation, effective tax rate, cash flow, leverage, liquidity, business strategy, profit improvement actions, competitive position, demand for our services in international operations, acquisition opportunities and impact of acquisitions, capital allocation and dividends, growth opportunities, spending, capital expenditures and investments, competition and market forecasts, industry trends, our human capital resources, and other business, operational and financial matters that are based on our current expectations, assumptions, and projections with respect to the future, and are not a guarantee of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Earnings Release when we use words such as “may,” “believe,” “plan,” “will,” “anticipate,” “estimate,” “expect,” “intend,” “project,” “would,” “could,” “target,” or similar expressions, or when we discuss our strategy, plans, goals, initiatives, or objectives, we are making forward-looking statements. Unless otherwise indicated or except where the context otherwise requires, the terms “TTEC,” “the Company,” “we,” “us” and “our” and other similar terms in this report refer to TTEC Holdings, Inc. and its subsidiaries. We caution you not to rely unduly on any forward-looking statements. Actual results may differ materially from those expressed in the forward-looking statements, and you should review and consider carefully the risks, uncertainties, and other factors that affect our business and may cause such differences as outlined in Item 1A. Risk Factors in our Annual Report on Form 10-K for the year ended December 31, 2025 and any subsequent filings with the U.S. Securities and Exchange Commission (the “SEC”) which are available on TTEC’s website www.ttec.com, and on the SEC's public website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forward-looking statements speak only as of the date that this release is issued. We undertake no obligation to update them, except as may be required by applicable law. Although we believe that our forward-looking statements are reasonable, they depend on many factors outside of our control and we can provide no assurance that they will prove to be correct.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4657725" cy="6286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4657725" cy="6286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TTEC HOLDINGS,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540"/>
        <w:gridCol w:w="60"/>
        <w:gridCol w:w="125"/>
        <w:gridCol w:w="695"/>
        <w:gridCol w:w="244"/>
        <w:gridCol w:w="60"/>
        <w:gridCol w:w="125"/>
        <w:gridCol w:w="695"/>
        <w:gridCol w:w="244"/>
        <w:gridCol w:w="60"/>
        <w:gridCol w:w="125"/>
        <w:gridCol w:w="695"/>
        <w:gridCol w:w="244"/>
        <w:gridCol w:w="60"/>
        <w:gridCol w:w="125"/>
        <w:gridCol w:w="845"/>
        <w:gridCol w:w="263"/>
      </w:tblGrid>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4" w:type="dxa"/>
            <w:gridSpan w:val="6"/>
            <w:tcBorders/>
            <w:vAlign w:val="center"/>
          </w:tcPr>
          <w:p>
            <w:pPr>
              <w:pStyle w:val="TableContents"/>
              <w:bidi w:val="0"/>
              <w:spacing w:before="0" w:after="283"/>
              <w:jc w:val="center"/>
              <w:rPr>
                <w:b/>
                <w:sz w:val="20"/>
              </w:rPr>
            </w:pPr>
            <w:r>
              <w:rPr>
                <w:b/>
                <w:sz w:val="20"/>
              </w:rPr>
              <w:t>Three months ended</w:t>
            </w:r>
          </w:p>
        </w:tc>
        <w:tc>
          <w:tcPr>
            <w:tcW w:w="2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4" w:type="dxa"/>
            <w:gridSpan w:val="6"/>
            <w:tcBorders/>
            <w:vAlign w:val="center"/>
          </w:tcPr>
          <w:p>
            <w:pPr>
              <w:pStyle w:val="TableContents"/>
              <w:bidi w:val="0"/>
              <w:spacing w:before="0" w:after="283"/>
              <w:jc w:val="center"/>
              <w:rPr>
                <w:b/>
                <w:sz w:val="20"/>
              </w:rPr>
            </w:pPr>
            <w:r>
              <w:rPr>
                <w:b/>
                <w:sz w:val="20"/>
              </w:rPr>
              <w:t>Six months ended</w:t>
            </w:r>
          </w:p>
        </w:tc>
        <w:tc>
          <w:tcPr>
            <w:tcW w:w="263" w:type="dxa"/>
            <w:tcBorders/>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4"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r>
          </w:p>
        </w:tc>
        <w:tc>
          <w:tcPr>
            <w:tcW w:w="2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4"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r>
          </w:p>
        </w:tc>
        <w:tc>
          <w:tcPr>
            <w:tcW w:w="263" w:type="dxa"/>
            <w:tcBorders/>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2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2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2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263" w:type="dxa"/>
            <w:tcBorders/>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b/>
                <w:sz w:val="20"/>
              </w:rPr>
            </w:pPr>
            <w:r>
              <w:rPr>
                <w:b/>
                <w:sz w:val="20"/>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455,495</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513,571</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951,670</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sz w:val="20"/>
              </w:rPr>
            </w:pPr>
            <w:r>
              <w:rPr>
                <w:sz w:val="20"/>
              </w:rPr>
              <w:t>1,047,799</w:t>
            </w:r>
          </w:p>
        </w:tc>
        <w:tc>
          <w:tcPr>
            <w:tcW w:w="263"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b/>
                <w:sz w:val="20"/>
              </w:rPr>
            </w:pPr>
            <w:r>
              <w:rPr>
                <w:b/>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263"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sz w:val="20"/>
              </w:rPr>
            </w:pPr>
            <w:r>
              <w:rPr>
                <w:sz w:val="20"/>
              </w:rPr>
              <w:t>Cost of services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357,833</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399,273</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745,699</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813,820</w:t>
            </w:r>
          </w:p>
        </w:tc>
        <w:tc>
          <w:tcPr>
            <w:tcW w:w="263"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sz w:val="20"/>
              </w:rPr>
            </w:pPr>
            <w:r>
              <w:rPr>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61,254</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70,654</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127,793</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140,691</w:t>
            </w:r>
          </w:p>
        </w:tc>
        <w:tc>
          <w:tcPr>
            <w:tcW w:w="263"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sz w:val="20"/>
              </w:rPr>
            </w:pPr>
            <w:r>
              <w:rPr>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21,141</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22,888</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42,446</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45,586</w:t>
            </w:r>
          </w:p>
        </w:tc>
        <w:tc>
          <w:tcPr>
            <w:tcW w:w="263"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sz w:val="20"/>
              </w:rPr>
            </w:pPr>
            <w:r>
              <w:rPr>
                <w:sz w:val="20"/>
              </w:rPr>
              <w:t>Restructuring charges,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2,364</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1,116</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3,814</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3,112</w:t>
            </w:r>
          </w:p>
        </w:tc>
        <w:tc>
          <w:tcPr>
            <w:tcW w:w="263"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sz w:val="20"/>
              </w:rPr>
            </w:pPr>
            <w:r>
              <w:rPr>
                <w:sz w:val="20"/>
              </w:rPr>
              <w:t>Impairment losses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1,894</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764</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2,414</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1,525</w:t>
            </w:r>
          </w:p>
        </w:tc>
        <w:tc>
          <w:tcPr>
            <w:tcW w:w="263"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pPr>
            <w:r>
              <w:rPr/>
              <w:t>         </w:t>
            </w:r>
            <w:r>
              <w:rPr>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444,486</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494,695</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922,166</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1,004,734</w:t>
            </w:r>
          </w:p>
        </w:tc>
        <w:tc>
          <w:tcPr>
            <w:tcW w:w="263"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b/>
                <w:sz w:val="20"/>
              </w:rPr>
            </w:pPr>
            <w:r>
              <w:rPr>
                <w:b/>
                <w:sz w:val="20"/>
              </w:rPr>
              <w:t>Income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11,009</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18,876</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29,504</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43,065</w:t>
            </w:r>
          </w:p>
        </w:tc>
        <w:tc>
          <w:tcPr>
            <w:tcW w:w="263"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sz w:val="20"/>
              </w:rPr>
            </w:pPr>
            <w:r>
              <w:rPr>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(15,411</w:t>
            </w:r>
          </w:p>
        </w:tc>
        <w:tc>
          <w:tcPr>
            <w:tcW w:w="24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(15,312</w:t>
            </w:r>
          </w:p>
        </w:tc>
        <w:tc>
          <w:tcPr>
            <w:tcW w:w="24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(31,286</w:t>
            </w:r>
          </w:p>
        </w:tc>
        <w:tc>
          <w:tcPr>
            <w:tcW w:w="24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(26,940</w:t>
            </w:r>
          </w:p>
        </w:tc>
        <w:tc>
          <w:tcPr>
            <w:tcW w:w="263" w:type="dxa"/>
            <w:tcBorders/>
            <w:shd w:fill="CCEEFF" w:val="clear"/>
            <w:vAlign w:val="center"/>
          </w:tcPr>
          <w:p>
            <w:pPr>
              <w:pStyle w:val="TableContents"/>
              <w:bidi w:val="0"/>
              <w:spacing w:before="0" w:after="283"/>
              <w:jc w:val="left"/>
              <w:rPr>
                <w:sz w:val="20"/>
              </w:rPr>
            </w:pPr>
            <w:r>
              <w:rPr>
                <w:sz w:val="20"/>
              </w:rPr>
              <w:t>)</w:t>
            </w:r>
          </w:p>
        </w:tc>
      </w:tr>
      <w:tr>
        <w:trPr/>
        <w:tc>
          <w:tcPr>
            <w:tcW w:w="5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b/>
                <w:sz w:val="20"/>
              </w:rPr>
            </w:pPr>
            <w:r>
              <w:rPr>
                <w:b/>
                <w:sz w:val="20"/>
              </w:rPr>
              <w:t>Income / (Loss)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(4,402</w:t>
            </w:r>
          </w:p>
        </w:tc>
        <w:tc>
          <w:tcPr>
            <w:tcW w:w="24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3,564</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(1,782</w:t>
            </w:r>
          </w:p>
        </w:tc>
        <w:tc>
          <w:tcPr>
            <w:tcW w:w="24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16,125</w:t>
            </w:r>
          </w:p>
        </w:tc>
        <w:tc>
          <w:tcPr>
            <w:tcW w:w="263"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sz w:val="20"/>
              </w:rPr>
            </w:pPr>
            <w:r>
              <w:rPr>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(8,606</w:t>
            </w:r>
          </w:p>
        </w:tc>
        <w:tc>
          <w:tcPr>
            <w:tcW w:w="24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(10,288</w:t>
            </w:r>
          </w:p>
        </w:tc>
        <w:tc>
          <w:tcPr>
            <w:tcW w:w="24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(16,403</w:t>
            </w:r>
          </w:p>
        </w:tc>
        <w:tc>
          <w:tcPr>
            <w:tcW w:w="24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(19,603</w:t>
            </w:r>
          </w:p>
        </w:tc>
        <w:tc>
          <w:tcPr>
            <w:tcW w:w="263" w:type="dxa"/>
            <w:tcBorders/>
            <w:shd w:fill="CCEEFF" w:val="clear"/>
            <w:vAlign w:val="center"/>
          </w:tcPr>
          <w:p>
            <w:pPr>
              <w:pStyle w:val="TableContents"/>
              <w:bidi w:val="0"/>
              <w:spacing w:before="0" w:after="283"/>
              <w:jc w:val="left"/>
              <w:rPr>
                <w:sz w:val="20"/>
              </w:rPr>
            </w:pPr>
            <w:r>
              <w:rPr>
                <w:sz w:val="20"/>
              </w:rPr>
              <w:t>)</w:t>
            </w:r>
          </w:p>
        </w:tc>
      </w:tr>
      <w:tr>
        <w:trPr/>
        <w:tc>
          <w:tcPr>
            <w:tcW w:w="5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b/>
                <w:sz w:val="20"/>
              </w:rPr>
            </w:pPr>
            <w:r>
              <w:rPr>
                <w:b/>
                <w:sz w:val="20"/>
              </w:rPr>
              <w:t>Net Income /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(13,008</w:t>
            </w:r>
          </w:p>
        </w:tc>
        <w:tc>
          <w:tcPr>
            <w:tcW w:w="24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(6,724</w:t>
            </w:r>
          </w:p>
        </w:tc>
        <w:tc>
          <w:tcPr>
            <w:tcW w:w="24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(18,185</w:t>
            </w:r>
          </w:p>
        </w:tc>
        <w:tc>
          <w:tcPr>
            <w:tcW w:w="24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(3,478</w:t>
            </w:r>
          </w:p>
        </w:tc>
        <w:tc>
          <w:tcPr>
            <w:tcW w:w="263" w:type="dxa"/>
            <w:tcBorders/>
            <w:shd w:fill="CCEEFF" w:val="clear"/>
            <w:vAlign w:val="center"/>
          </w:tcPr>
          <w:p>
            <w:pPr>
              <w:pStyle w:val="TableContents"/>
              <w:bidi w:val="0"/>
              <w:spacing w:before="0" w:after="283"/>
              <w:jc w:val="left"/>
              <w:rPr>
                <w:sz w:val="20"/>
              </w:rPr>
            </w:pPr>
            <w:r>
              <w:rPr>
                <w:sz w:val="20"/>
              </w:rPr>
              <w:t>)</w:t>
            </w:r>
          </w:p>
        </w:tc>
      </w:tr>
      <w:tr>
        <w:trPr/>
        <w:tc>
          <w:tcPr>
            <w:tcW w:w="5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sz w:val="20"/>
              </w:rPr>
            </w:pPr>
            <w:r>
              <w:rPr>
                <w:sz w:val="20"/>
              </w:rPr>
              <w:t>Net (loss) / income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(2,370</w:t>
            </w:r>
          </w:p>
        </w:tc>
        <w:tc>
          <w:tcPr>
            <w:tcW w:w="24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(1,263</w:t>
            </w:r>
          </w:p>
        </w:tc>
        <w:tc>
          <w:tcPr>
            <w:tcW w:w="24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(4,802</w:t>
            </w:r>
          </w:p>
        </w:tc>
        <w:tc>
          <w:tcPr>
            <w:tcW w:w="24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(3,125</w:t>
            </w:r>
          </w:p>
        </w:tc>
        <w:tc>
          <w:tcPr>
            <w:tcW w:w="263" w:type="dxa"/>
            <w:tcBorders/>
            <w:shd w:fill="CCEEFF" w:val="clear"/>
            <w:vAlign w:val="center"/>
          </w:tcPr>
          <w:p>
            <w:pPr>
              <w:pStyle w:val="TableContents"/>
              <w:bidi w:val="0"/>
              <w:spacing w:before="0" w:after="283"/>
              <w:jc w:val="left"/>
              <w:rPr>
                <w:sz w:val="20"/>
              </w:rPr>
            </w:pPr>
            <w:r>
              <w:rPr>
                <w:sz w:val="20"/>
              </w:rPr>
              <w:t>)</w:t>
            </w:r>
          </w:p>
        </w:tc>
      </w:tr>
      <w:tr>
        <w:trPr/>
        <w:tc>
          <w:tcPr>
            <w:tcW w:w="5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b/>
                <w:sz w:val="20"/>
              </w:rPr>
            </w:pPr>
            <w:r>
              <w:rPr>
                <w:b/>
                <w:sz w:val="20"/>
              </w:rPr>
              <w:t>Net Income / (Loss) Attributable to TTEC Stockholders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(15,378</w:t>
            </w:r>
          </w:p>
        </w:tc>
        <w:tc>
          <w:tcPr>
            <w:tcW w:w="24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(7,987</w:t>
            </w:r>
          </w:p>
        </w:tc>
        <w:tc>
          <w:tcPr>
            <w:tcW w:w="24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(22,987</w:t>
            </w:r>
          </w:p>
        </w:tc>
        <w:tc>
          <w:tcPr>
            <w:tcW w:w="24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(6,603</w:t>
            </w:r>
          </w:p>
        </w:tc>
        <w:tc>
          <w:tcPr>
            <w:tcW w:w="263" w:type="dxa"/>
            <w:tcBorders/>
            <w:shd w:fill="CCEEFF" w:val="clear"/>
            <w:vAlign w:val="center"/>
          </w:tcPr>
          <w:p>
            <w:pPr>
              <w:pStyle w:val="TableContents"/>
              <w:bidi w:val="0"/>
              <w:spacing w:before="0" w:after="283"/>
              <w:jc w:val="left"/>
              <w:rPr>
                <w:sz w:val="20"/>
              </w:rPr>
            </w:pPr>
            <w:r>
              <w:rPr>
                <w:sz w:val="20"/>
              </w:rPr>
              <w:t>)</w:t>
            </w:r>
          </w:p>
        </w:tc>
      </w:tr>
      <w:tr>
        <w:trPr/>
        <w:tc>
          <w:tcPr>
            <w:tcW w:w="5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b/>
                <w:sz w:val="20"/>
              </w:rPr>
            </w:pPr>
            <w:r>
              <w:rPr>
                <w:b/>
                <w:sz w:val="20"/>
              </w:rPr>
              <w:t>Net Income / (Loss) Per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263"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b/>
                <w:sz w:val="20"/>
              </w:rPr>
            </w:pPr>
            <w:r>
              <w:rPr>
                <w:b/>
                <w:sz w:val="20"/>
              </w:rPr>
              <w:t>Basic</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(0.27</w:t>
            </w:r>
          </w:p>
        </w:tc>
        <w:tc>
          <w:tcPr>
            <w:tcW w:w="24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(0.14</w:t>
            </w:r>
          </w:p>
        </w:tc>
        <w:tc>
          <w:tcPr>
            <w:tcW w:w="24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(0.37</w:t>
            </w:r>
          </w:p>
        </w:tc>
        <w:tc>
          <w:tcPr>
            <w:tcW w:w="24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(0.07</w:t>
            </w:r>
          </w:p>
        </w:tc>
        <w:tc>
          <w:tcPr>
            <w:tcW w:w="263" w:type="dxa"/>
            <w:tcBorders/>
            <w:shd w:fill="CCEEFF" w:val="clear"/>
            <w:vAlign w:val="center"/>
          </w:tcPr>
          <w:p>
            <w:pPr>
              <w:pStyle w:val="TableContents"/>
              <w:bidi w:val="0"/>
              <w:spacing w:before="0" w:after="283"/>
              <w:jc w:val="left"/>
              <w:rPr>
                <w:sz w:val="20"/>
              </w:rPr>
            </w:pPr>
            <w:r>
              <w:rPr>
                <w:sz w:val="20"/>
              </w:rPr>
              <w:t>)</w:t>
            </w:r>
          </w:p>
        </w:tc>
      </w:tr>
      <w:tr>
        <w:trPr/>
        <w:tc>
          <w:tcPr>
            <w:tcW w:w="5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b/>
                <w:sz w:val="20"/>
              </w:rPr>
            </w:pPr>
            <w:r>
              <w:rPr>
                <w:b/>
                <w:sz w:val="20"/>
              </w:rPr>
              <w:t>Diluted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(0.27</w:t>
            </w:r>
          </w:p>
        </w:tc>
        <w:tc>
          <w:tcPr>
            <w:tcW w:w="24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(0.14</w:t>
            </w:r>
          </w:p>
        </w:tc>
        <w:tc>
          <w:tcPr>
            <w:tcW w:w="24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(0.37</w:t>
            </w:r>
          </w:p>
        </w:tc>
        <w:tc>
          <w:tcPr>
            <w:tcW w:w="24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(0.07</w:t>
            </w:r>
          </w:p>
        </w:tc>
        <w:tc>
          <w:tcPr>
            <w:tcW w:w="263" w:type="dxa"/>
            <w:tcBorders/>
            <w:shd w:fill="CCEEFF" w:val="clear"/>
            <w:vAlign w:val="center"/>
          </w:tcPr>
          <w:p>
            <w:pPr>
              <w:pStyle w:val="TableContents"/>
              <w:bidi w:val="0"/>
              <w:spacing w:before="0" w:after="283"/>
              <w:jc w:val="left"/>
              <w:rPr>
                <w:sz w:val="20"/>
              </w:rPr>
            </w:pPr>
            <w:r>
              <w:rPr>
                <w:sz w:val="20"/>
              </w:rPr>
              <w:t>)</w:t>
            </w:r>
          </w:p>
        </w:tc>
      </w:tr>
      <w:tr>
        <w:trPr/>
        <w:tc>
          <w:tcPr>
            <w:tcW w:w="5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b/>
                <w:sz w:val="20"/>
              </w:rPr>
            </w:pPr>
            <w:r>
              <w:rPr>
                <w:b/>
                <w:sz w:val="20"/>
              </w:rPr>
              <w:t>Net Income / (Loss) Per Share Attributable to TTEC Stockholders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263"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b/>
                <w:sz w:val="20"/>
              </w:rPr>
            </w:pPr>
            <w:r>
              <w:rPr>
                <w:b/>
                <w:sz w:val="20"/>
              </w:rPr>
              <w:t>Basic</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(0.31</w:t>
            </w:r>
          </w:p>
        </w:tc>
        <w:tc>
          <w:tcPr>
            <w:tcW w:w="24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(0.17</w:t>
            </w:r>
          </w:p>
        </w:tc>
        <w:tc>
          <w:tcPr>
            <w:tcW w:w="24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(0.47</w:t>
            </w:r>
          </w:p>
        </w:tc>
        <w:tc>
          <w:tcPr>
            <w:tcW w:w="24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(0.14</w:t>
            </w:r>
          </w:p>
        </w:tc>
        <w:tc>
          <w:tcPr>
            <w:tcW w:w="263" w:type="dxa"/>
            <w:tcBorders/>
            <w:shd w:fill="CCEEFF" w:val="clear"/>
            <w:vAlign w:val="center"/>
          </w:tcPr>
          <w:p>
            <w:pPr>
              <w:pStyle w:val="TableContents"/>
              <w:bidi w:val="0"/>
              <w:spacing w:before="0" w:after="283"/>
              <w:jc w:val="left"/>
              <w:rPr>
                <w:sz w:val="20"/>
              </w:rPr>
            </w:pPr>
            <w:r>
              <w:rPr>
                <w:sz w:val="20"/>
              </w:rPr>
              <w:t>)</w:t>
            </w:r>
          </w:p>
        </w:tc>
      </w:tr>
      <w:tr>
        <w:trPr/>
        <w:tc>
          <w:tcPr>
            <w:tcW w:w="5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b/>
                <w:sz w:val="20"/>
              </w:rPr>
            </w:pPr>
            <w:r>
              <w:rPr>
                <w:b/>
                <w:sz w:val="20"/>
              </w:rPr>
              <w:t>Diluted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(0.31</w:t>
            </w:r>
          </w:p>
        </w:tc>
        <w:tc>
          <w:tcPr>
            <w:tcW w:w="24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(0.17</w:t>
            </w:r>
          </w:p>
        </w:tc>
        <w:tc>
          <w:tcPr>
            <w:tcW w:w="24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(0.47</w:t>
            </w:r>
          </w:p>
        </w:tc>
        <w:tc>
          <w:tcPr>
            <w:tcW w:w="24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(0.14</w:t>
            </w:r>
          </w:p>
        </w:tc>
        <w:tc>
          <w:tcPr>
            <w:tcW w:w="263" w:type="dxa"/>
            <w:tcBorders/>
            <w:shd w:fill="CCEEFF" w:val="clear"/>
            <w:vAlign w:val="center"/>
          </w:tcPr>
          <w:p>
            <w:pPr>
              <w:pStyle w:val="TableContents"/>
              <w:bidi w:val="0"/>
              <w:spacing w:before="0" w:after="283"/>
              <w:jc w:val="left"/>
              <w:rPr>
                <w:sz w:val="20"/>
              </w:rPr>
            </w:pPr>
            <w:r>
              <w:rPr>
                <w:sz w:val="20"/>
              </w:rPr>
              <w:t>)</w:t>
            </w:r>
          </w:p>
        </w:tc>
      </w:tr>
      <w:tr>
        <w:trPr/>
        <w:tc>
          <w:tcPr>
            <w:tcW w:w="5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b/>
                <w:sz w:val="20"/>
              </w:rPr>
            </w:pPr>
            <w:r>
              <w:rPr>
                <w:b/>
                <w:sz w:val="20"/>
              </w:rPr>
              <w:t>Income From Operations Margin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2.4</w:t>
            </w:r>
          </w:p>
        </w:tc>
        <w:tc>
          <w:tcPr>
            <w:tcW w:w="24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3.7</w:t>
            </w:r>
          </w:p>
        </w:tc>
        <w:tc>
          <w:tcPr>
            <w:tcW w:w="24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3.1</w:t>
            </w:r>
          </w:p>
        </w:tc>
        <w:tc>
          <w:tcPr>
            <w:tcW w:w="24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4.1</w:t>
            </w:r>
          </w:p>
        </w:tc>
        <w:tc>
          <w:tcPr>
            <w:tcW w:w="263" w:type="dxa"/>
            <w:tcBorders/>
            <w:shd w:fill="CCEEFF" w:val="clear"/>
            <w:vAlign w:val="center"/>
          </w:tcPr>
          <w:p>
            <w:pPr>
              <w:pStyle w:val="TableContents"/>
              <w:bidi w:val="0"/>
              <w:spacing w:before="0" w:after="283"/>
              <w:jc w:val="left"/>
              <w:rPr>
                <w:sz w:val="20"/>
              </w:rPr>
            </w:pPr>
            <w:r>
              <w:rPr>
                <w:sz w:val="20"/>
              </w:rPr>
              <w:t>%</w:t>
            </w:r>
          </w:p>
        </w:tc>
      </w:tr>
      <w:tr>
        <w:trPr/>
        <w:tc>
          <w:tcPr>
            <w:tcW w:w="5540" w:type="dxa"/>
            <w:tcBorders/>
            <w:shd w:fill="FFFFFF" w:val="clear"/>
            <w:vAlign w:val="center"/>
          </w:tcPr>
          <w:p>
            <w:pPr>
              <w:pStyle w:val="TableContents"/>
              <w:bidi w:val="0"/>
              <w:spacing w:before="0" w:after="283"/>
              <w:jc w:val="left"/>
              <w:rPr>
                <w:b/>
                <w:sz w:val="20"/>
              </w:rPr>
            </w:pPr>
            <w:r>
              <w:rPr>
                <w:b/>
                <w:sz w:val="20"/>
              </w:rPr>
              <w:t>Net Income / (Loss) Margin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(2.9</w:t>
            </w:r>
          </w:p>
        </w:tc>
        <w:tc>
          <w:tcPr>
            <w:tcW w:w="244"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(1.3</w:t>
            </w:r>
          </w:p>
        </w:tc>
        <w:tc>
          <w:tcPr>
            <w:tcW w:w="244"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(1.9</w:t>
            </w:r>
          </w:p>
        </w:tc>
        <w:tc>
          <w:tcPr>
            <w:tcW w:w="244"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(0.3</w:t>
            </w:r>
          </w:p>
        </w:tc>
        <w:tc>
          <w:tcPr>
            <w:tcW w:w="263" w:type="dxa"/>
            <w:tcBorders/>
            <w:shd w:fill="FFFFFF" w:val="clear"/>
            <w:vAlign w:val="center"/>
          </w:tcPr>
          <w:p>
            <w:pPr>
              <w:pStyle w:val="TableContents"/>
              <w:bidi w:val="0"/>
              <w:spacing w:before="0" w:after="283"/>
              <w:jc w:val="left"/>
              <w:rPr>
                <w:sz w:val="20"/>
              </w:rPr>
            </w:pPr>
            <w:r>
              <w:rPr>
                <w:sz w:val="20"/>
              </w:rPr>
              <w:t>)%</w:t>
            </w:r>
          </w:p>
        </w:tc>
      </w:tr>
      <w:tr>
        <w:trPr/>
        <w:tc>
          <w:tcPr>
            <w:tcW w:w="5540" w:type="dxa"/>
            <w:tcBorders/>
            <w:shd w:fill="CCEEFF" w:val="clear"/>
            <w:vAlign w:val="center"/>
          </w:tcPr>
          <w:p>
            <w:pPr>
              <w:pStyle w:val="TableContents"/>
              <w:bidi w:val="0"/>
              <w:spacing w:before="0" w:after="283"/>
              <w:jc w:val="left"/>
              <w:rPr>
                <w:b/>
                <w:sz w:val="20"/>
              </w:rPr>
            </w:pPr>
            <w:r>
              <w:rPr>
                <w:b/>
                <w:sz w:val="20"/>
              </w:rPr>
              <w:t>Net Income / (Loss) Attributable to TTEC Stockholders Margin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(3.4</w:t>
            </w:r>
          </w:p>
        </w:tc>
        <w:tc>
          <w:tcPr>
            <w:tcW w:w="24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(1.6</w:t>
            </w:r>
          </w:p>
        </w:tc>
        <w:tc>
          <w:tcPr>
            <w:tcW w:w="24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(2.4</w:t>
            </w:r>
          </w:p>
        </w:tc>
        <w:tc>
          <w:tcPr>
            <w:tcW w:w="24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(0.6</w:t>
            </w:r>
          </w:p>
        </w:tc>
        <w:tc>
          <w:tcPr>
            <w:tcW w:w="263" w:type="dxa"/>
            <w:tcBorders/>
            <w:shd w:fill="CCEEFF" w:val="clear"/>
            <w:vAlign w:val="center"/>
          </w:tcPr>
          <w:p>
            <w:pPr>
              <w:pStyle w:val="TableContents"/>
              <w:bidi w:val="0"/>
              <w:spacing w:before="0" w:after="283"/>
              <w:jc w:val="left"/>
              <w:rPr>
                <w:sz w:val="20"/>
              </w:rPr>
            </w:pPr>
            <w:r>
              <w:rPr>
                <w:sz w:val="20"/>
              </w:rPr>
              <w:t>)%</w:t>
            </w:r>
          </w:p>
        </w:tc>
      </w:tr>
      <w:tr>
        <w:trPr/>
        <w:tc>
          <w:tcPr>
            <w:tcW w:w="5540" w:type="dxa"/>
            <w:tcBorders/>
            <w:shd w:fill="FFFFFF" w:val="clear"/>
            <w:vAlign w:val="center"/>
          </w:tcPr>
          <w:p>
            <w:pPr>
              <w:pStyle w:val="TableContents"/>
              <w:bidi w:val="0"/>
              <w:spacing w:before="0" w:after="283"/>
              <w:jc w:val="left"/>
              <w:rPr>
                <w:b/>
                <w:sz w:val="20"/>
              </w:rPr>
            </w:pPr>
            <w:r>
              <w:rPr>
                <w:b/>
                <w:sz w:val="20"/>
              </w:rPr>
              <w:t>Effective Tax Rate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(195.5</w:t>
            </w:r>
          </w:p>
        </w:tc>
        <w:tc>
          <w:tcPr>
            <w:tcW w:w="244"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288.7</w:t>
            </w:r>
          </w:p>
        </w:tc>
        <w:tc>
          <w:tcPr>
            <w:tcW w:w="244"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(920.5</w:t>
            </w:r>
          </w:p>
        </w:tc>
        <w:tc>
          <w:tcPr>
            <w:tcW w:w="244"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121.6</w:t>
            </w:r>
          </w:p>
        </w:tc>
        <w:tc>
          <w:tcPr>
            <w:tcW w:w="263" w:type="dxa"/>
            <w:tcBorders/>
            <w:shd w:fill="FFFFFF" w:val="clear"/>
            <w:vAlign w:val="center"/>
          </w:tcPr>
          <w:p>
            <w:pPr>
              <w:pStyle w:val="TableContents"/>
              <w:bidi w:val="0"/>
              <w:spacing w:before="0" w:after="283"/>
              <w:jc w:val="left"/>
              <w:rPr>
                <w:sz w:val="20"/>
              </w:rPr>
            </w:pPr>
            <w:r>
              <w:rPr>
                <w:sz w:val="20"/>
              </w:rPr>
              <w:t>%</w:t>
            </w:r>
          </w:p>
        </w:tc>
      </w:tr>
      <w:tr>
        <w:trPr/>
        <w:tc>
          <w:tcPr>
            <w:tcW w:w="55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263"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b/>
                <w:sz w:val="20"/>
              </w:rPr>
            </w:pPr>
            <w:r>
              <w:rPr>
                <w:b/>
                <w:sz w:val="20"/>
              </w:rPr>
              <w:t>Weighted Average Shares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pPr>
            <w:r>
              <w:rPr/>
              <w:t>  </w:t>
            </w:r>
            <w:r>
              <w:rPr>
                <w:b/>
                <w:sz w:val="20"/>
              </w:rPr>
              <w:t>Basic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48,874</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48,064</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48,727</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47,918</w:t>
            </w:r>
          </w:p>
        </w:tc>
        <w:tc>
          <w:tcPr>
            <w:tcW w:w="263"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  </w:t>
            </w:r>
            <w:r>
              <w:rPr>
                <w:b/>
                <w:sz w:val="20"/>
              </w:rPr>
              <w:t>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48,874</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48,064</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48,727</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47,918</w:t>
            </w:r>
          </w:p>
        </w:tc>
        <w:tc>
          <w:tcPr>
            <w:tcW w:w="263"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TTEC HOLDINGS,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INFORMATION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283"/>
        <w:jc w:val="left"/>
        <w:rPr/>
      </w:pPr>
      <w:r>
        <w:rPr/>
        <w:t> </w:t>
      </w:r>
    </w:p>
    <w:tbl>
      <w:tblPr>
        <w:tblW w:w="6105" w:type="dxa"/>
        <w:jc w:val="left"/>
        <w:tblInd w:w="0" w:type="dxa"/>
        <w:tblLayout w:type="fixed"/>
        <w:tblCellMar>
          <w:top w:w="0" w:type="dxa"/>
          <w:left w:w="0" w:type="dxa"/>
          <w:bottom w:w="0" w:type="dxa"/>
          <w:right w:w="0" w:type="dxa"/>
        </w:tblCellMar>
      </w:tblPr>
      <w:tblGrid>
        <w:gridCol w:w="2180"/>
        <w:gridCol w:w="60"/>
        <w:gridCol w:w="125"/>
        <w:gridCol w:w="695"/>
        <w:gridCol w:w="60"/>
        <w:gridCol w:w="60"/>
        <w:gridCol w:w="125"/>
        <w:gridCol w:w="695"/>
        <w:gridCol w:w="60"/>
        <w:gridCol w:w="60"/>
        <w:gridCol w:w="125"/>
        <w:gridCol w:w="695"/>
        <w:gridCol w:w="60"/>
        <w:gridCol w:w="60"/>
        <w:gridCol w:w="125"/>
        <w:gridCol w:w="845"/>
        <w:gridCol w:w="75"/>
      </w:tblGrid>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vAlign w:val="center"/>
          </w:tcPr>
          <w:p>
            <w:pPr>
              <w:pStyle w:val="TableContents"/>
              <w:bidi w:val="0"/>
              <w:spacing w:before="0" w:after="283"/>
              <w:jc w:val="center"/>
              <w:rPr>
                <w:b/>
                <w:sz w:val="20"/>
              </w:rPr>
            </w:pPr>
            <w:r>
              <w:rPr>
                <w:b/>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0" w:type="dxa"/>
            <w:gridSpan w:val="6"/>
            <w:tcBorders/>
            <w:vAlign w:val="center"/>
          </w:tcPr>
          <w:p>
            <w:pPr>
              <w:pStyle w:val="TableContents"/>
              <w:bidi w:val="0"/>
              <w:spacing w:before="0" w:after="283"/>
              <w:jc w:val="center"/>
              <w:rPr>
                <w:b/>
                <w:sz w:val="20"/>
              </w:rPr>
            </w:pPr>
            <w:r>
              <w:rPr>
                <w:b/>
                <w:sz w:val="20"/>
              </w:rPr>
              <w:t>Six months ended</w:t>
            </w:r>
          </w:p>
        </w:tc>
        <w:tc>
          <w:tcPr>
            <w:tcW w:w="75"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r>
          </w:p>
        </w:tc>
        <w:tc>
          <w:tcPr>
            <w:tcW w:w="75"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283"/>
              <w:jc w:val="left"/>
              <w:rPr>
                <w:b/>
                <w:sz w:val="20"/>
              </w:rPr>
            </w:pPr>
            <w:r>
              <w:rPr>
                <w:b/>
                <w:sz w:val="20"/>
              </w:rPr>
              <w:t>Revenue:</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0"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283"/>
              <w:jc w:val="left"/>
              <w:rPr>
                <w:sz w:val="20"/>
              </w:rPr>
            </w:pPr>
            <w:r>
              <w:rPr>
                <w:sz w:val="20"/>
              </w:rPr>
              <w:t>TTEC Digital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104,032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113,746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205,897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845" w:type="dxa"/>
            <w:tcBorders/>
            <w:shd w:fill="FFFFFF" w:val="clear"/>
            <w:vAlign w:val="center"/>
          </w:tcPr>
          <w:p>
            <w:pPr>
              <w:pStyle w:val="TableContents"/>
              <w:bidi w:val="0"/>
              <w:spacing w:before="0" w:after="283"/>
              <w:jc w:val="right"/>
              <w:rPr>
                <w:sz w:val="20"/>
              </w:rPr>
            </w:pPr>
            <w:r>
              <w:rPr>
                <w:sz w:val="20"/>
              </w:rPr>
              <w:t>221,786</w:t>
            </w:r>
          </w:p>
        </w:tc>
        <w:tc>
          <w:tcPr>
            <w:tcW w:w="75"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283"/>
              <w:jc w:val="left"/>
              <w:rPr>
                <w:sz w:val="20"/>
              </w:rPr>
            </w:pPr>
            <w:r>
              <w:rPr>
                <w:sz w:val="20"/>
              </w:rPr>
              <w:t>TTEC Engage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351,463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399,825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745,773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826,013</w:t>
            </w:r>
          </w:p>
        </w:tc>
        <w:tc>
          <w:tcPr>
            <w:tcW w:w="75"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283"/>
              <w:jc w:val="center"/>
              <w:rPr>
                <w:sz w:val="20"/>
              </w:rPr>
            </w:pPr>
            <w:r>
              <w:rPr>
                <w:sz w:val="20"/>
              </w:rPr>
              <w:t>Total</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455,495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513,571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951,670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1,047,799</w:t>
            </w:r>
          </w:p>
        </w:tc>
        <w:tc>
          <w:tcPr>
            <w:tcW w:w="75"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283"/>
              <w:jc w:val="left"/>
              <w:rPr>
                <w:b/>
                <w:sz w:val="20"/>
              </w:rPr>
            </w:pPr>
            <w:r>
              <w:rPr>
                <w:b/>
                <w:sz w:val="20"/>
              </w:rPr>
              <w:t>Income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283"/>
              <w:jc w:val="left"/>
              <w:rPr>
                <w:sz w:val="20"/>
              </w:rPr>
            </w:pPr>
            <w:r>
              <w:rPr>
                <w:sz w:val="20"/>
              </w:rPr>
              <w:t>TTEC Digital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6,704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11,409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8,063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sz w:val="20"/>
              </w:rPr>
            </w:pPr>
            <w:r>
              <w:rPr>
                <w:sz w:val="20"/>
              </w:rPr>
              <w:t>17,273</w:t>
            </w:r>
          </w:p>
        </w:tc>
        <w:tc>
          <w:tcPr>
            <w:tcW w:w="75"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283"/>
              <w:jc w:val="left"/>
              <w:rPr>
                <w:sz w:val="20"/>
              </w:rPr>
            </w:pPr>
            <w:r>
              <w:rPr>
                <w:sz w:val="20"/>
              </w:rPr>
              <w:t>TTEC Engage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4,305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7,467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21,441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25,792</w:t>
            </w:r>
          </w:p>
        </w:tc>
        <w:tc>
          <w:tcPr>
            <w:tcW w:w="75"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283"/>
              <w:jc w:val="center"/>
              <w:rPr>
                <w:sz w:val="20"/>
              </w:rPr>
            </w:pPr>
            <w:r>
              <w:rPr>
                <w:sz w:val="20"/>
              </w:rPr>
              <w:t>Total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11,009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18,876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29,504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43,065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TTEC HOLDINGS,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283"/>
        <w:jc w:val="left"/>
        <w:rPr/>
      </w:pPr>
      <w:r>
        <w:rPr/>
        <w:t> </w:t>
      </w:r>
    </w:p>
    <w:tbl>
      <w:tblPr>
        <w:tblW w:w="6599" w:type="dxa"/>
        <w:jc w:val="left"/>
        <w:tblInd w:w="0" w:type="dxa"/>
        <w:tblLayout w:type="fixed"/>
        <w:tblCellMar>
          <w:top w:w="0" w:type="dxa"/>
          <w:left w:w="0" w:type="dxa"/>
          <w:bottom w:w="0" w:type="dxa"/>
          <w:right w:w="0" w:type="dxa"/>
        </w:tblCellMar>
      </w:tblPr>
      <w:tblGrid>
        <w:gridCol w:w="4160"/>
        <w:gridCol w:w="60"/>
        <w:gridCol w:w="125"/>
        <w:gridCol w:w="845"/>
        <w:gridCol w:w="80"/>
        <w:gridCol w:w="60"/>
        <w:gridCol w:w="151"/>
        <w:gridCol w:w="1023"/>
        <w:gridCol w:w="95"/>
      </w:tblGrid>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vAlign w:val="center"/>
          </w:tcPr>
          <w:p>
            <w:pPr>
              <w:pStyle w:val="TableContents"/>
              <w:bidi w:val="0"/>
              <w:spacing w:before="0" w:after="283"/>
              <w:jc w:val="center"/>
              <w:rPr>
                <w:b/>
                <w:sz w:val="20"/>
              </w:rPr>
            </w:pPr>
            <w:r>
              <w:rPr>
                <w:b/>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b/>
                <w:sz w:val="20"/>
              </w:rPr>
            </w:pPr>
            <w:r>
              <w:rPr>
                <w:b/>
                <w:sz w:val="20"/>
              </w:rPr>
              <w:t>December 31,</w:t>
            </w:r>
          </w:p>
        </w:tc>
        <w:tc>
          <w:tcPr>
            <w:tcW w:w="95"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b/>
                <w:sz w:val="20"/>
              </w:rPr>
            </w:pPr>
            <w:r>
              <w:rPr>
                <w:b/>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sz w:val="20"/>
              </w:rPr>
            </w:pPr>
            <w:r>
              <w:rPr>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   </w:t>
            </w:r>
            <w:r>
              <w:rPr>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sz w:val="20"/>
              </w:rPr>
            </w:pPr>
            <w:r>
              <w:rPr>
                <w:sz w:val="20"/>
              </w:rPr>
              <w:t>93,869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20"/>
              </w:rPr>
            </w:pPr>
            <w:r>
              <w:rPr>
                <w:sz w:val="20"/>
              </w:rPr>
              <w:t>$</w:t>
            </w:r>
          </w:p>
        </w:tc>
        <w:tc>
          <w:tcPr>
            <w:tcW w:w="1023" w:type="dxa"/>
            <w:tcBorders/>
            <w:shd w:fill="CCEEFF" w:val="clear"/>
            <w:vAlign w:val="center"/>
          </w:tcPr>
          <w:p>
            <w:pPr>
              <w:pStyle w:val="TableContents"/>
              <w:bidi w:val="0"/>
              <w:spacing w:before="0" w:after="283"/>
              <w:jc w:val="right"/>
              <w:rPr>
                <w:sz w:val="20"/>
              </w:rPr>
            </w:pPr>
            <w:r>
              <w:rPr>
                <w:sz w:val="20"/>
              </w:rPr>
              <w:t>82,901</w:t>
            </w:r>
          </w:p>
        </w:tc>
        <w:tc>
          <w:tcPr>
            <w:tcW w:w="95"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   </w:t>
            </w:r>
            <w:r>
              <w:rPr>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396,188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sz w:val="20"/>
              </w:rPr>
            </w:pPr>
            <w:r>
              <w:rPr>
                <w:sz w:val="20"/>
              </w:rPr>
              <w:t>455,829</w:t>
            </w:r>
          </w:p>
        </w:tc>
        <w:tc>
          <w:tcPr>
            <w:tcW w:w="95"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   </w:t>
            </w:r>
            <w:r>
              <w:rPr>
                <w:sz w:val="20"/>
              </w:rPr>
              <w:t>Prepaids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89,068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sz w:val="20"/>
              </w:rPr>
            </w:pPr>
            <w:r>
              <w:rPr>
                <w:sz w:val="20"/>
              </w:rPr>
              <w:t>124,006</w:t>
            </w:r>
          </w:p>
        </w:tc>
        <w:tc>
          <w:tcPr>
            <w:tcW w:w="95"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   </w:t>
            </w:r>
            <w:r>
              <w:rPr>
                <w:sz w:val="20"/>
              </w:rPr>
              <w:t>Income and other tax receivables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13,041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10,615</w:t>
            </w:r>
          </w:p>
        </w:tc>
        <w:tc>
          <w:tcPr>
            <w:tcW w:w="95"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      </w:t>
            </w:r>
            <w:r>
              <w:rPr>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592,166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sz w:val="20"/>
              </w:rPr>
            </w:pPr>
            <w:r>
              <w:rPr>
                <w:sz w:val="20"/>
              </w:rPr>
              <w:t>673,351</w:t>
            </w:r>
          </w:p>
        </w:tc>
        <w:tc>
          <w:tcPr>
            <w:tcW w:w="95"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sz w:val="20"/>
              </w:rPr>
            </w:pPr>
            <w:r>
              <w:rPr>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104,685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sz w:val="20"/>
              </w:rPr>
            </w:pPr>
            <w:r>
              <w:rPr>
                <w:sz w:val="20"/>
              </w:rPr>
              <w:t>111,778</w:t>
            </w:r>
          </w:p>
        </w:tc>
        <w:tc>
          <w:tcPr>
            <w:tcW w:w="95"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sz w:val="20"/>
              </w:rPr>
            </w:pPr>
            <w:r>
              <w:rPr>
                <w:sz w:val="20"/>
              </w:rPr>
              <w:t>Operating lease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69,676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sz w:val="20"/>
              </w:rPr>
            </w:pPr>
            <w:r>
              <w:rPr>
                <w:sz w:val="20"/>
              </w:rPr>
              <w:t>86,064</w:t>
            </w:r>
          </w:p>
        </w:tc>
        <w:tc>
          <w:tcPr>
            <w:tcW w:w="95"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sz w:val="20"/>
              </w:rPr>
            </w:pPr>
            <w:r>
              <w:rPr>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367,902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sz w:val="20"/>
              </w:rPr>
            </w:pPr>
            <w:r>
              <w:rPr>
                <w:sz w:val="20"/>
              </w:rPr>
              <w:t>368,678</w:t>
            </w:r>
          </w:p>
        </w:tc>
        <w:tc>
          <w:tcPr>
            <w:tcW w:w="95"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sz w:val="20"/>
              </w:rPr>
            </w:pPr>
            <w:r>
              <w:rPr>
                <w:sz w:val="20"/>
              </w:rPr>
              <w:t>Other intangibles assets,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117,909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sz w:val="20"/>
              </w:rPr>
            </w:pPr>
            <w:r>
              <w:rPr>
                <w:sz w:val="20"/>
              </w:rPr>
              <w:t>133,688</w:t>
            </w:r>
          </w:p>
        </w:tc>
        <w:tc>
          <w:tcPr>
            <w:tcW w:w="95"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sz w:val="20"/>
              </w:rPr>
            </w:pPr>
            <w:r>
              <w:rPr>
                <w:sz w:val="20"/>
              </w:rPr>
              <w:t>Income and other tax receivables, long-term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9,171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sz w:val="20"/>
              </w:rPr>
            </w:pPr>
            <w:r>
              <w:rPr>
                <w:sz w:val="20"/>
              </w:rPr>
              <w:t>8,595</w:t>
            </w:r>
          </w:p>
        </w:tc>
        <w:tc>
          <w:tcPr>
            <w:tcW w:w="95"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sz w:val="20"/>
              </w:rPr>
            </w:pPr>
            <w:r>
              <w:rPr>
                <w:sz w:val="20"/>
              </w:rPr>
              <w:t>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112,138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116,928</w:t>
            </w:r>
          </w:p>
        </w:tc>
        <w:tc>
          <w:tcPr>
            <w:tcW w:w="95"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b/>
                <w:sz w:val="20"/>
              </w:rPr>
            </w:pPr>
            <w:r>
              <w:rPr>
                <w:b/>
                <w:sz w:val="20"/>
              </w:rPr>
              <w:t>Total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1,373,647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2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1,499,082</w:t>
            </w:r>
          </w:p>
        </w:tc>
        <w:tc>
          <w:tcPr>
            <w:tcW w:w="95"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b/>
                <w:sz w:val="20"/>
              </w:rPr>
            </w:pPr>
            <w:r>
              <w:rPr>
                <w:b/>
                <w:sz w:val="20"/>
              </w:rPr>
              <w:t>LIABILITIES AND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sz w:val="20"/>
              </w:rPr>
            </w:pPr>
            <w:r>
              <w:rPr>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   </w:t>
            </w:r>
            <w:r>
              <w:rPr>
                <w:sz w:val="20"/>
              </w:rPr>
              <w:t>Accounts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845" w:type="dxa"/>
            <w:tcBorders/>
            <w:shd w:fill="FFFFFF" w:val="clear"/>
            <w:vAlign w:val="center"/>
          </w:tcPr>
          <w:p>
            <w:pPr>
              <w:pStyle w:val="TableContents"/>
              <w:bidi w:val="0"/>
              <w:spacing w:before="0" w:after="283"/>
              <w:jc w:val="right"/>
              <w:rPr>
                <w:sz w:val="20"/>
              </w:rPr>
            </w:pPr>
            <w:r>
              <w:rPr>
                <w:sz w:val="20"/>
              </w:rPr>
              <w:t>66,517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sz w:val="20"/>
              </w:rPr>
            </w:pPr>
            <w:r>
              <w:rPr>
                <w:sz w:val="20"/>
              </w:rPr>
              <w:t>$</w:t>
            </w:r>
          </w:p>
        </w:tc>
        <w:tc>
          <w:tcPr>
            <w:tcW w:w="1023" w:type="dxa"/>
            <w:tcBorders/>
            <w:shd w:fill="FFFFFF" w:val="clear"/>
            <w:vAlign w:val="center"/>
          </w:tcPr>
          <w:p>
            <w:pPr>
              <w:pStyle w:val="TableContents"/>
              <w:bidi w:val="0"/>
              <w:spacing w:before="0" w:after="283"/>
              <w:jc w:val="right"/>
              <w:rPr>
                <w:sz w:val="20"/>
              </w:rPr>
            </w:pPr>
            <w:r>
              <w:rPr>
                <w:sz w:val="20"/>
              </w:rPr>
              <w:t>72,637</w:t>
            </w:r>
          </w:p>
        </w:tc>
        <w:tc>
          <w:tcPr>
            <w:tcW w:w="95"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   </w:t>
            </w:r>
            <w:r>
              <w:rPr>
                <w:sz w:val="20"/>
              </w:rPr>
              <w:t>Accrued employee compensation and benefits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114,497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sz w:val="20"/>
              </w:rPr>
            </w:pPr>
            <w:r>
              <w:rPr>
                <w:sz w:val="20"/>
              </w:rPr>
              <w:t>155,400</w:t>
            </w:r>
          </w:p>
        </w:tc>
        <w:tc>
          <w:tcPr>
            <w:tcW w:w="95"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   </w:t>
            </w:r>
            <w:r>
              <w:rPr>
                <w:sz w:val="20"/>
              </w:rPr>
              <w:t>Deferred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59,564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sz w:val="20"/>
              </w:rPr>
            </w:pPr>
            <w:r>
              <w:rPr>
                <w:sz w:val="20"/>
              </w:rPr>
              <w:t>58,828</w:t>
            </w:r>
          </w:p>
        </w:tc>
        <w:tc>
          <w:tcPr>
            <w:tcW w:w="95"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   </w:t>
            </w:r>
            <w:r>
              <w:rPr>
                <w:sz w:val="20"/>
              </w:rPr>
              <w:t>Current 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30,257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sz w:val="20"/>
              </w:rPr>
            </w:pPr>
            <w:r>
              <w:rPr>
                <w:sz w:val="20"/>
              </w:rPr>
              <w:t>34,188</w:t>
            </w:r>
          </w:p>
        </w:tc>
        <w:tc>
          <w:tcPr>
            <w:tcW w:w="95"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   </w:t>
            </w:r>
            <w:r>
              <w:rPr>
                <w:sz w:val="20"/>
              </w:rPr>
              <w:t>Other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46,454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34,899</w:t>
            </w:r>
          </w:p>
        </w:tc>
        <w:tc>
          <w:tcPr>
            <w:tcW w:w="95"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      </w:t>
            </w:r>
            <w:r>
              <w:rPr>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317,289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sz w:val="20"/>
              </w:rPr>
            </w:pPr>
            <w:r>
              <w:rPr>
                <w:sz w:val="20"/>
              </w:rPr>
              <w:t>355,952</w:t>
            </w:r>
          </w:p>
        </w:tc>
        <w:tc>
          <w:tcPr>
            <w:tcW w:w="95"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sz w:val="20"/>
              </w:rPr>
            </w:pPr>
            <w:r>
              <w:rPr>
                <w:sz w:val="20"/>
              </w:rPr>
              <w:t>Long-term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   </w:t>
            </w:r>
            <w:r>
              <w:rPr>
                <w:sz w:val="20"/>
              </w:rPr>
              <w:t>Line of credit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855,000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sz w:val="20"/>
              </w:rPr>
            </w:pPr>
            <w:r>
              <w:rPr>
                <w:sz w:val="20"/>
              </w:rPr>
              <w:t>905,000</w:t>
            </w:r>
          </w:p>
        </w:tc>
        <w:tc>
          <w:tcPr>
            <w:tcW w:w="95"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   </w:t>
            </w:r>
            <w:r>
              <w:rPr>
                <w:sz w:val="20"/>
              </w:rPr>
              <w:t>Non-current 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48,117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sz w:val="20"/>
              </w:rPr>
            </w:pPr>
            <w:r>
              <w:rPr>
                <w:sz w:val="20"/>
              </w:rPr>
              <w:t>61,170</w:t>
            </w:r>
          </w:p>
        </w:tc>
        <w:tc>
          <w:tcPr>
            <w:tcW w:w="95"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   </w:t>
            </w:r>
            <w:r>
              <w:rPr>
                <w:sz w:val="20"/>
              </w:rPr>
              <w:t>Other long-term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62,411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64,057</w:t>
            </w:r>
          </w:p>
        </w:tc>
        <w:tc>
          <w:tcPr>
            <w:tcW w:w="95"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      </w:t>
            </w:r>
            <w:r>
              <w:rPr>
                <w:sz w:val="20"/>
              </w:rPr>
              <w:t>Total long-term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965,528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sz w:val="20"/>
              </w:rPr>
            </w:pPr>
            <w:r>
              <w:rPr>
                <w:sz w:val="20"/>
              </w:rPr>
              <w:t>1,030,227</w:t>
            </w:r>
          </w:p>
        </w:tc>
        <w:tc>
          <w:tcPr>
            <w:tcW w:w="95"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sz w:val="20"/>
              </w:rPr>
            </w:pPr>
            <w:r>
              <w:rPr>
                <w:sz w:val="20"/>
              </w:rPr>
              <w:t>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   </w:t>
            </w:r>
            <w:r>
              <w:rPr>
                <w:sz w:val="20"/>
              </w:rPr>
              <w:t>Common stock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492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sz w:val="20"/>
              </w:rPr>
            </w:pPr>
            <w:r>
              <w:rPr>
                <w:sz w:val="20"/>
              </w:rPr>
              <w:t>486</w:t>
            </w:r>
          </w:p>
        </w:tc>
        <w:tc>
          <w:tcPr>
            <w:tcW w:w="95"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   </w:t>
            </w:r>
            <w:r>
              <w:rPr>
                <w:sz w:val="20"/>
              </w:rPr>
              <w:t>Additional paid in 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436,776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sz w:val="20"/>
              </w:rPr>
            </w:pPr>
            <w:r>
              <w:rPr>
                <w:sz w:val="20"/>
              </w:rPr>
              <w:t>432,268</w:t>
            </w:r>
          </w:p>
        </w:tc>
        <w:tc>
          <w:tcPr>
            <w:tcW w:w="95"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   </w:t>
            </w:r>
            <w:r>
              <w:rPr>
                <w:sz w:val="20"/>
              </w:rPr>
              <w:t>Treasury stock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(584,900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sz w:val="20"/>
              </w:rPr>
            </w:pPr>
            <w:r>
              <w:rPr>
                <w:sz w:val="20"/>
              </w:rPr>
              <w:t>(584,900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4160" w:type="dxa"/>
            <w:tcBorders/>
            <w:shd w:fill="CCEEFF" w:val="clear"/>
            <w:vAlign w:val="center"/>
          </w:tcPr>
          <w:p>
            <w:pPr>
              <w:pStyle w:val="TableContents"/>
              <w:bidi w:val="0"/>
              <w:spacing w:before="0" w:after="283"/>
              <w:jc w:val="left"/>
              <w:rPr/>
            </w:pPr>
            <w:r>
              <w:rPr/>
              <w:t>   </w:t>
            </w:r>
            <w:r>
              <w:rPr>
                <w:sz w:val="20"/>
              </w:rPr>
              <w:t>Accumulated other comprehensive income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(111,331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sz w:val="20"/>
              </w:rPr>
            </w:pPr>
            <w:r>
              <w:rPr>
                <w:sz w:val="20"/>
              </w:rPr>
              <w:t>(106,938</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4160" w:type="dxa"/>
            <w:tcBorders/>
            <w:shd w:fill="FFFFFF" w:val="clear"/>
            <w:vAlign w:val="center"/>
          </w:tcPr>
          <w:p>
            <w:pPr>
              <w:pStyle w:val="TableContents"/>
              <w:bidi w:val="0"/>
              <w:spacing w:before="0" w:after="283"/>
              <w:jc w:val="left"/>
              <w:rPr/>
            </w:pPr>
            <w:r>
              <w:rPr/>
              <w:t>   </w:t>
            </w:r>
            <w:r>
              <w:rPr>
                <w:sz w:val="20"/>
              </w:rPr>
              <w:t>Retained earnings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331,164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sz w:val="20"/>
              </w:rPr>
            </w:pPr>
            <w:r>
              <w:rPr>
                <w:sz w:val="20"/>
              </w:rPr>
              <w:t>354,151</w:t>
            </w:r>
          </w:p>
        </w:tc>
        <w:tc>
          <w:tcPr>
            <w:tcW w:w="95"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   </w:t>
            </w:r>
            <w:r>
              <w:rPr>
                <w:sz w:val="20"/>
              </w:rPr>
              <w:t>Noncontrolling interest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18,629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17,836</w:t>
            </w:r>
          </w:p>
        </w:tc>
        <w:tc>
          <w:tcPr>
            <w:tcW w:w="95"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      </w:t>
            </w:r>
            <w:r>
              <w:rPr>
                <w:sz w:val="20"/>
              </w:rPr>
              <w:t>Total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90,830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112,903</w:t>
            </w:r>
          </w:p>
        </w:tc>
        <w:tc>
          <w:tcPr>
            <w:tcW w:w="95"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b/>
                <w:sz w:val="20"/>
              </w:rPr>
            </w:pPr>
            <w:r>
              <w:rPr>
                <w:b/>
                <w:sz w:val="20"/>
              </w:rPr>
              <w:t>Total liabilities and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1,373,647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2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1,499,082</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TTEC HOLDINGS,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932"/>
        <w:gridCol w:w="60"/>
        <w:gridCol w:w="239"/>
        <w:gridCol w:w="1247"/>
        <w:gridCol w:w="80"/>
        <w:gridCol w:w="60"/>
        <w:gridCol w:w="227"/>
        <w:gridCol w:w="1262"/>
        <w:gridCol w:w="98"/>
      </w:tblGrid>
      <w:tr>
        <w:trPr/>
        <w:tc>
          <w:tcPr>
            <w:tcW w:w="69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6" w:type="dxa"/>
            <w:gridSpan w:val="2"/>
            <w:tcBorders/>
            <w:vAlign w:val="center"/>
          </w:tcPr>
          <w:p>
            <w:pPr>
              <w:pStyle w:val="TableContents"/>
              <w:bidi w:val="0"/>
              <w:spacing w:before="0" w:after="283"/>
              <w:jc w:val="center"/>
              <w:rPr>
                <w:b/>
                <w:sz w:val="20"/>
              </w:rPr>
            </w:pPr>
            <w:r>
              <w:rPr>
                <w:b/>
                <w:sz w:val="20"/>
              </w:rPr>
              <w:t>Six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vAlign w:val="center"/>
          </w:tcPr>
          <w:p>
            <w:pPr>
              <w:pStyle w:val="TableContents"/>
              <w:bidi w:val="0"/>
              <w:spacing w:before="0" w:after="283"/>
              <w:jc w:val="center"/>
              <w:rPr>
                <w:b/>
                <w:sz w:val="20"/>
              </w:rPr>
            </w:pPr>
            <w:r>
              <w:rPr>
                <w:b/>
                <w:sz w:val="20"/>
              </w:rPr>
              <w:t>Six Months Ended</w:t>
            </w:r>
          </w:p>
        </w:tc>
        <w:tc>
          <w:tcPr>
            <w:tcW w:w="98" w:type="dxa"/>
            <w:tcBorders/>
            <w:vAlign w:val="center"/>
          </w:tcPr>
          <w:p>
            <w:pPr>
              <w:pStyle w:val="TableContents"/>
              <w:bidi w:val="0"/>
              <w:spacing w:before="0" w:after="283"/>
              <w:jc w:val="left"/>
              <w:rPr/>
            </w:pPr>
            <w:r>
              <w:rPr/>
              <w:t> </w:t>
            </w:r>
          </w:p>
        </w:tc>
      </w:tr>
      <w:tr>
        <w:trPr/>
        <w:tc>
          <w:tcPr>
            <w:tcW w:w="69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r>
          </w:p>
        </w:tc>
        <w:tc>
          <w:tcPr>
            <w:tcW w:w="98" w:type="dxa"/>
            <w:tcBorders/>
            <w:vAlign w:val="center"/>
          </w:tcPr>
          <w:p>
            <w:pPr>
              <w:pStyle w:val="TableContents"/>
              <w:bidi w:val="0"/>
              <w:spacing w:before="0" w:after="283"/>
              <w:jc w:val="left"/>
              <w:rPr/>
            </w:pPr>
            <w:r>
              <w:rPr/>
              <w:t> </w:t>
            </w:r>
          </w:p>
        </w:tc>
      </w:tr>
      <w:tr>
        <w:trPr/>
        <w:tc>
          <w:tcPr>
            <w:tcW w:w="69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8" w:type="dxa"/>
            <w:tcBorders/>
            <w:vAlign w:val="center"/>
          </w:tcPr>
          <w:p>
            <w:pPr>
              <w:pStyle w:val="TableContents"/>
              <w:bidi w:val="0"/>
              <w:spacing w:before="0" w:after="283"/>
              <w:jc w:val="left"/>
              <w:rPr/>
            </w:pPr>
            <w:r>
              <w:rPr/>
              <w:t> </w:t>
            </w:r>
          </w:p>
        </w:tc>
      </w:tr>
      <w:tr>
        <w:trPr/>
        <w:tc>
          <w:tcPr>
            <w:tcW w:w="6932" w:type="dxa"/>
            <w:tcBorders/>
            <w:shd w:fill="CCEEFF" w:val="clear"/>
            <w:vAlign w:val="center"/>
          </w:tcPr>
          <w:p>
            <w:pPr>
              <w:pStyle w:val="TableContents"/>
              <w:bidi w:val="0"/>
              <w:spacing w:before="0" w:after="283"/>
              <w:jc w:val="left"/>
              <w:rPr>
                <w:b/>
                <w:sz w:val="20"/>
              </w:rPr>
            </w:pPr>
            <w:r>
              <w:rPr>
                <w:b/>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6932" w:type="dxa"/>
            <w:tcBorders/>
            <w:shd w:fill="FFFFFF" w:val="clear"/>
            <w:vAlign w:val="center"/>
          </w:tcPr>
          <w:p>
            <w:pPr>
              <w:pStyle w:val="TableContents"/>
              <w:bidi w:val="0"/>
              <w:spacing w:before="0" w:after="283"/>
              <w:jc w:val="left"/>
              <w:rPr/>
            </w:pPr>
            <w:r>
              <w:rPr/>
              <w:t>     </w:t>
            </w:r>
            <w:r>
              <w:rPr>
                <w:sz w:val="20"/>
              </w:rPr>
              <w:t>Net (loss) income</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sz w:val="20"/>
              </w:rPr>
            </w:pPr>
            <w:r>
              <w:rPr>
                <w:sz w:val="20"/>
              </w:rPr>
              <w:t>$</w:t>
            </w:r>
          </w:p>
        </w:tc>
        <w:tc>
          <w:tcPr>
            <w:tcW w:w="1247" w:type="dxa"/>
            <w:tcBorders/>
            <w:shd w:fill="FFFFFF" w:val="clear"/>
            <w:vAlign w:val="center"/>
          </w:tcPr>
          <w:p>
            <w:pPr>
              <w:pStyle w:val="TableContents"/>
              <w:bidi w:val="0"/>
              <w:spacing w:before="0" w:after="283"/>
              <w:jc w:val="right"/>
              <w:rPr>
                <w:sz w:val="20"/>
              </w:rPr>
            </w:pPr>
            <w:r>
              <w:rPr>
                <w:sz w:val="20"/>
              </w:rPr>
              <w:t>(18,185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sz w:val="20"/>
              </w:rPr>
            </w:pPr>
            <w:r>
              <w:rPr>
                <w:sz w:val="20"/>
              </w:rPr>
              <w:t>$</w:t>
            </w:r>
          </w:p>
        </w:tc>
        <w:tc>
          <w:tcPr>
            <w:tcW w:w="1262" w:type="dxa"/>
            <w:tcBorders/>
            <w:shd w:fill="FFFFFF" w:val="clear"/>
            <w:vAlign w:val="center"/>
          </w:tcPr>
          <w:p>
            <w:pPr>
              <w:pStyle w:val="TableContents"/>
              <w:bidi w:val="0"/>
              <w:spacing w:before="0" w:after="283"/>
              <w:jc w:val="right"/>
              <w:rPr>
                <w:sz w:val="20"/>
              </w:rPr>
            </w:pPr>
            <w:r>
              <w:rPr>
                <w:sz w:val="20"/>
              </w:rPr>
              <w:t>(3,478</w:t>
            </w:r>
          </w:p>
        </w:tc>
        <w:tc>
          <w:tcPr>
            <w:tcW w:w="98" w:type="dxa"/>
            <w:tcBorders/>
            <w:shd w:fill="FFFFFF" w:val="clear"/>
            <w:vAlign w:val="center"/>
          </w:tcPr>
          <w:p>
            <w:pPr>
              <w:pStyle w:val="TableContents"/>
              <w:bidi w:val="0"/>
              <w:spacing w:before="0" w:after="283"/>
              <w:jc w:val="left"/>
              <w:rPr>
                <w:sz w:val="20"/>
              </w:rPr>
            </w:pPr>
            <w:r>
              <w:rPr>
                <w:sz w:val="20"/>
              </w:rPr>
              <w:t>)</w:t>
            </w:r>
          </w:p>
        </w:tc>
      </w:tr>
      <w:tr>
        <w:trPr/>
        <w:tc>
          <w:tcPr>
            <w:tcW w:w="6932" w:type="dxa"/>
            <w:tcBorders/>
            <w:shd w:fill="CCEEFF" w:val="clear"/>
            <w:vAlign w:val="center"/>
          </w:tcPr>
          <w:p>
            <w:pPr>
              <w:pStyle w:val="TableContents"/>
              <w:bidi w:val="0"/>
              <w:spacing w:before="0" w:after="283"/>
              <w:jc w:val="left"/>
              <w:rPr/>
            </w:pPr>
            <w:r>
              <w:rPr/>
              <w:t>     </w:t>
            </w:r>
            <w:r>
              <w:rPr>
                <w:sz w:val="20"/>
              </w:rPr>
              <w:t>Adjustment to reconcile net (loss) income to net cash provided by operating activities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6932" w:type="dxa"/>
            <w:tcBorders/>
            <w:shd w:fill="FFFFFF" w:val="clear"/>
            <w:vAlign w:val="center"/>
          </w:tcPr>
          <w:p>
            <w:pPr>
              <w:pStyle w:val="TableContents"/>
              <w:bidi w:val="0"/>
              <w:spacing w:before="0" w:after="283"/>
              <w:jc w:val="left"/>
              <w:rPr/>
            </w:pPr>
            <w:r>
              <w:rPr/>
              <w:t>          </w:t>
            </w:r>
            <w:r>
              <w:rPr>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42,446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sz w:val="20"/>
              </w:rPr>
            </w:pPr>
            <w:r>
              <w:rPr>
                <w:sz w:val="20"/>
              </w:rPr>
              <w:t>45,586</w:t>
            </w:r>
          </w:p>
        </w:tc>
        <w:tc>
          <w:tcPr>
            <w:tcW w:w="98" w:type="dxa"/>
            <w:tcBorders/>
            <w:shd w:fill="FFFFFF" w:val="clear"/>
            <w:vAlign w:val="center"/>
          </w:tcPr>
          <w:p>
            <w:pPr>
              <w:pStyle w:val="TableContents"/>
              <w:bidi w:val="0"/>
              <w:spacing w:before="0" w:after="283"/>
              <w:jc w:val="left"/>
              <w:rPr/>
            </w:pPr>
            <w:r>
              <w:rPr/>
              <w:t> </w:t>
            </w:r>
          </w:p>
        </w:tc>
      </w:tr>
      <w:tr>
        <w:trPr/>
        <w:tc>
          <w:tcPr>
            <w:tcW w:w="6932" w:type="dxa"/>
            <w:tcBorders/>
            <w:shd w:fill="CCEEFF" w:val="clear"/>
            <w:vAlign w:val="center"/>
          </w:tcPr>
          <w:p>
            <w:pPr>
              <w:pStyle w:val="TableContents"/>
              <w:bidi w:val="0"/>
              <w:spacing w:before="0" w:after="283"/>
              <w:jc w:val="left"/>
              <w:rPr/>
            </w:pPr>
            <w:r>
              <w:rPr/>
              <w:t>          </w:t>
            </w:r>
            <w:r>
              <w:rPr>
                <w:sz w:val="20"/>
              </w:rPr>
              <w:t>Amortization of contract acquisition costs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646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sz w:val="20"/>
              </w:rPr>
            </w:pPr>
            <w:r>
              <w:rPr>
                <w:sz w:val="20"/>
              </w:rPr>
              <w:t>790</w:t>
            </w:r>
          </w:p>
        </w:tc>
        <w:tc>
          <w:tcPr>
            <w:tcW w:w="98" w:type="dxa"/>
            <w:tcBorders/>
            <w:shd w:fill="CCEEFF" w:val="clear"/>
            <w:vAlign w:val="center"/>
          </w:tcPr>
          <w:p>
            <w:pPr>
              <w:pStyle w:val="TableContents"/>
              <w:bidi w:val="0"/>
              <w:spacing w:before="0" w:after="283"/>
              <w:jc w:val="left"/>
              <w:rPr/>
            </w:pPr>
            <w:r>
              <w:rPr/>
              <w:t> </w:t>
            </w:r>
          </w:p>
        </w:tc>
      </w:tr>
      <w:tr>
        <w:trPr/>
        <w:tc>
          <w:tcPr>
            <w:tcW w:w="6932" w:type="dxa"/>
            <w:tcBorders/>
            <w:shd w:fill="FFFFFF" w:val="clear"/>
            <w:vAlign w:val="center"/>
          </w:tcPr>
          <w:p>
            <w:pPr>
              <w:pStyle w:val="TableContents"/>
              <w:bidi w:val="0"/>
              <w:spacing w:before="0" w:after="283"/>
              <w:jc w:val="left"/>
              <w:rPr/>
            </w:pPr>
            <w:r>
              <w:rPr/>
              <w:t>          </w:t>
            </w:r>
            <w:r>
              <w:rPr>
                <w:sz w:val="20"/>
              </w:rPr>
              <w:t>Amortization of debt issuance costs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1,473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sz w:val="20"/>
              </w:rPr>
            </w:pPr>
            <w:r>
              <w:rPr>
                <w:sz w:val="20"/>
              </w:rPr>
              <w:t>985</w:t>
            </w:r>
          </w:p>
        </w:tc>
        <w:tc>
          <w:tcPr>
            <w:tcW w:w="98" w:type="dxa"/>
            <w:tcBorders/>
            <w:shd w:fill="FFFFFF" w:val="clear"/>
            <w:vAlign w:val="center"/>
          </w:tcPr>
          <w:p>
            <w:pPr>
              <w:pStyle w:val="TableContents"/>
              <w:bidi w:val="0"/>
              <w:spacing w:before="0" w:after="283"/>
              <w:jc w:val="left"/>
              <w:rPr/>
            </w:pPr>
            <w:r>
              <w:rPr/>
              <w:t> </w:t>
            </w:r>
          </w:p>
        </w:tc>
      </w:tr>
      <w:tr>
        <w:trPr/>
        <w:tc>
          <w:tcPr>
            <w:tcW w:w="6932" w:type="dxa"/>
            <w:tcBorders/>
            <w:shd w:fill="CCEEFF" w:val="clear"/>
            <w:vAlign w:val="center"/>
          </w:tcPr>
          <w:p>
            <w:pPr>
              <w:pStyle w:val="TableContents"/>
              <w:bidi w:val="0"/>
              <w:spacing w:before="0" w:after="283"/>
              <w:jc w:val="left"/>
              <w:rPr/>
            </w:pPr>
            <w:r>
              <w:rPr/>
              <w:t>          </w:t>
            </w:r>
            <w:r>
              <w:rPr>
                <w:sz w:val="20"/>
              </w:rPr>
              <w:t>Provision for credit losses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sz w:val="20"/>
              </w:rPr>
            </w:pPr>
            <w:r>
              <w:rPr>
                <w:sz w:val="20"/>
              </w:rPr>
              <w:t>598</w:t>
            </w:r>
          </w:p>
        </w:tc>
        <w:tc>
          <w:tcPr>
            <w:tcW w:w="98" w:type="dxa"/>
            <w:tcBorders/>
            <w:shd w:fill="CCEEFF" w:val="clear"/>
            <w:vAlign w:val="center"/>
          </w:tcPr>
          <w:p>
            <w:pPr>
              <w:pStyle w:val="TableContents"/>
              <w:bidi w:val="0"/>
              <w:spacing w:before="0" w:after="283"/>
              <w:jc w:val="left"/>
              <w:rPr/>
            </w:pPr>
            <w:r>
              <w:rPr/>
              <w:t> </w:t>
            </w:r>
          </w:p>
        </w:tc>
      </w:tr>
      <w:tr>
        <w:trPr/>
        <w:tc>
          <w:tcPr>
            <w:tcW w:w="6932" w:type="dxa"/>
            <w:tcBorders/>
            <w:shd w:fill="FFFFFF" w:val="clear"/>
            <w:vAlign w:val="center"/>
          </w:tcPr>
          <w:p>
            <w:pPr>
              <w:pStyle w:val="TableContents"/>
              <w:bidi w:val="0"/>
              <w:spacing w:before="0" w:after="283"/>
              <w:jc w:val="left"/>
              <w:rPr/>
            </w:pPr>
            <w:r>
              <w:rPr/>
              <w:t>          </w:t>
            </w:r>
            <w:r>
              <w:rPr>
                <w:sz w:val="20"/>
              </w:rPr>
              <w:t>Loss on disposal of assets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109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sz w:val="20"/>
              </w:rPr>
            </w:pPr>
            <w:r>
              <w:rPr>
                <w:sz w:val="20"/>
              </w:rPr>
              <w:t>597</w:t>
            </w:r>
          </w:p>
        </w:tc>
        <w:tc>
          <w:tcPr>
            <w:tcW w:w="98" w:type="dxa"/>
            <w:tcBorders/>
            <w:shd w:fill="FFFFFF" w:val="clear"/>
            <w:vAlign w:val="center"/>
          </w:tcPr>
          <w:p>
            <w:pPr>
              <w:pStyle w:val="TableContents"/>
              <w:bidi w:val="0"/>
              <w:spacing w:before="0" w:after="283"/>
              <w:jc w:val="left"/>
              <w:rPr/>
            </w:pPr>
            <w:r>
              <w:rPr/>
              <w:t> </w:t>
            </w:r>
          </w:p>
        </w:tc>
      </w:tr>
      <w:tr>
        <w:trPr/>
        <w:tc>
          <w:tcPr>
            <w:tcW w:w="6932" w:type="dxa"/>
            <w:tcBorders/>
            <w:shd w:fill="CCEEFF" w:val="clear"/>
            <w:vAlign w:val="center"/>
          </w:tcPr>
          <w:p>
            <w:pPr>
              <w:pStyle w:val="TableContents"/>
              <w:bidi w:val="0"/>
              <w:spacing w:before="0" w:after="283"/>
              <w:jc w:val="left"/>
              <w:rPr/>
            </w:pPr>
            <w:r>
              <w:rPr/>
              <w:t>          </w:t>
            </w:r>
            <w:r>
              <w:rPr>
                <w:sz w:val="20"/>
              </w:rPr>
              <w:t>Impairment losses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2,414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sz w:val="20"/>
              </w:rPr>
            </w:pPr>
            <w:r>
              <w:rPr>
                <w:sz w:val="20"/>
              </w:rPr>
              <w:t>1,525</w:t>
            </w:r>
          </w:p>
        </w:tc>
        <w:tc>
          <w:tcPr>
            <w:tcW w:w="98" w:type="dxa"/>
            <w:tcBorders/>
            <w:shd w:fill="CCEEFF" w:val="clear"/>
            <w:vAlign w:val="center"/>
          </w:tcPr>
          <w:p>
            <w:pPr>
              <w:pStyle w:val="TableContents"/>
              <w:bidi w:val="0"/>
              <w:spacing w:before="0" w:after="283"/>
              <w:jc w:val="left"/>
              <w:rPr/>
            </w:pPr>
            <w:r>
              <w:rPr/>
              <w:t> </w:t>
            </w:r>
          </w:p>
        </w:tc>
      </w:tr>
      <w:tr>
        <w:trPr/>
        <w:tc>
          <w:tcPr>
            <w:tcW w:w="6932" w:type="dxa"/>
            <w:tcBorders/>
            <w:shd w:fill="FFFFFF" w:val="clear"/>
            <w:vAlign w:val="center"/>
          </w:tcPr>
          <w:p>
            <w:pPr>
              <w:pStyle w:val="TableContents"/>
              <w:bidi w:val="0"/>
              <w:spacing w:before="0" w:after="283"/>
              <w:jc w:val="left"/>
              <w:rPr/>
            </w:pPr>
            <w:r>
              <w:rPr/>
              <w:t>          </w:t>
            </w:r>
            <w:r>
              <w:rPr>
                <w:sz w:val="20"/>
              </w:rPr>
              <w:t>Loss on dissolution of subsidiary</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102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sz w:val="20"/>
              </w:rPr>
            </w:pPr>
            <w:r>
              <w:rPr>
                <w:sz w:val="20"/>
              </w:rPr>
              <w:t>-</w:t>
            </w:r>
          </w:p>
        </w:tc>
        <w:tc>
          <w:tcPr>
            <w:tcW w:w="98" w:type="dxa"/>
            <w:tcBorders/>
            <w:shd w:fill="FFFFFF" w:val="clear"/>
            <w:vAlign w:val="center"/>
          </w:tcPr>
          <w:p>
            <w:pPr>
              <w:pStyle w:val="TableContents"/>
              <w:bidi w:val="0"/>
              <w:spacing w:before="0" w:after="283"/>
              <w:jc w:val="left"/>
              <w:rPr/>
            </w:pPr>
            <w:r>
              <w:rPr/>
              <w:t> </w:t>
            </w:r>
          </w:p>
        </w:tc>
      </w:tr>
      <w:tr>
        <w:trPr/>
        <w:tc>
          <w:tcPr>
            <w:tcW w:w="6932" w:type="dxa"/>
            <w:tcBorders/>
            <w:shd w:fill="CCEEFF" w:val="clear"/>
            <w:vAlign w:val="center"/>
          </w:tcPr>
          <w:p>
            <w:pPr>
              <w:pStyle w:val="TableContents"/>
              <w:bidi w:val="0"/>
              <w:spacing w:before="0" w:after="283"/>
              <w:jc w:val="left"/>
              <w:rPr/>
            </w:pPr>
            <w:r>
              <w:rPr/>
              <w:t>          </w:t>
            </w:r>
            <w:r>
              <w:rPr>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135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sz w:val="20"/>
              </w:rPr>
            </w:pPr>
            <w:r>
              <w:rPr>
                <w:sz w:val="20"/>
              </w:rPr>
              <w:t>3,033</w:t>
            </w:r>
          </w:p>
        </w:tc>
        <w:tc>
          <w:tcPr>
            <w:tcW w:w="98" w:type="dxa"/>
            <w:tcBorders/>
            <w:shd w:fill="CCEEFF" w:val="clear"/>
            <w:vAlign w:val="center"/>
          </w:tcPr>
          <w:p>
            <w:pPr>
              <w:pStyle w:val="TableContents"/>
              <w:bidi w:val="0"/>
              <w:spacing w:before="0" w:after="283"/>
              <w:jc w:val="left"/>
              <w:rPr/>
            </w:pPr>
            <w:r>
              <w:rPr/>
              <w:t> </w:t>
            </w:r>
          </w:p>
        </w:tc>
      </w:tr>
      <w:tr>
        <w:trPr/>
        <w:tc>
          <w:tcPr>
            <w:tcW w:w="6932" w:type="dxa"/>
            <w:tcBorders/>
            <w:shd w:fill="FFFFFF" w:val="clear"/>
            <w:vAlign w:val="center"/>
          </w:tcPr>
          <w:p>
            <w:pPr>
              <w:pStyle w:val="TableContents"/>
              <w:bidi w:val="0"/>
              <w:spacing w:before="0" w:after="283"/>
              <w:jc w:val="left"/>
              <w:rPr/>
            </w:pPr>
            <w:r>
              <w:rPr/>
              <w:t>          </w:t>
            </w:r>
            <w:r>
              <w:rPr>
                <w:sz w:val="20"/>
              </w:rPr>
              <w:t>Excess tax benefit from equity-based awards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1,270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sz w:val="20"/>
              </w:rPr>
            </w:pPr>
            <w:r>
              <w:rPr>
                <w:sz w:val="20"/>
              </w:rPr>
              <w:t>720</w:t>
            </w:r>
          </w:p>
        </w:tc>
        <w:tc>
          <w:tcPr>
            <w:tcW w:w="98" w:type="dxa"/>
            <w:tcBorders/>
            <w:shd w:fill="FFFFFF" w:val="clear"/>
            <w:vAlign w:val="center"/>
          </w:tcPr>
          <w:p>
            <w:pPr>
              <w:pStyle w:val="TableContents"/>
              <w:bidi w:val="0"/>
              <w:spacing w:before="0" w:after="283"/>
              <w:jc w:val="left"/>
              <w:rPr/>
            </w:pPr>
            <w:r>
              <w:rPr/>
              <w:t> </w:t>
            </w:r>
          </w:p>
        </w:tc>
      </w:tr>
      <w:tr>
        <w:trPr/>
        <w:tc>
          <w:tcPr>
            <w:tcW w:w="6932" w:type="dxa"/>
            <w:tcBorders/>
            <w:shd w:fill="CCEEFF" w:val="clear"/>
            <w:vAlign w:val="center"/>
          </w:tcPr>
          <w:p>
            <w:pPr>
              <w:pStyle w:val="TableContents"/>
              <w:bidi w:val="0"/>
              <w:spacing w:before="0" w:after="283"/>
              <w:jc w:val="left"/>
              <w:rPr/>
            </w:pPr>
            <w:r>
              <w:rPr/>
              <w:t>          </w:t>
            </w:r>
            <w:r>
              <w:rPr>
                <w:sz w:val="20"/>
              </w:rPr>
              <w:t>Equity-based compensation expense</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5,084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sz w:val="20"/>
              </w:rPr>
            </w:pPr>
            <w:r>
              <w:rPr>
                <w:sz w:val="20"/>
              </w:rPr>
              <w:t>7,301</w:t>
            </w:r>
          </w:p>
        </w:tc>
        <w:tc>
          <w:tcPr>
            <w:tcW w:w="98" w:type="dxa"/>
            <w:tcBorders/>
            <w:shd w:fill="CCEEFF" w:val="clear"/>
            <w:vAlign w:val="center"/>
          </w:tcPr>
          <w:p>
            <w:pPr>
              <w:pStyle w:val="TableContents"/>
              <w:bidi w:val="0"/>
              <w:spacing w:before="0" w:after="283"/>
              <w:jc w:val="left"/>
              <w:rPr/>
            </w:pPr>
            <w:r>
              <w:rPr/>
              <w:t> </w:t>
            </w:r>
          </w:p>
        </w:tc>
      </w:tr>
      <w:tr>
        <w:trPr/>
        <w:tc>
          <w:tcPr>
            <w:tcW w:w="6932" w:type="dxa"/>
            <w:tcBorders/>
            <w:shd w:fill="FFFFFF" w:val="clear"/>
            <w:vAlign w:val="center"/>
          </w:tcPr>
          <w:p>
            <w:pPr>
              <w:pStyle w:val="TableContents"/>
              <w:bidi w:val="0"/>
              <w:spacing w:before="0" w:after="283"/>
              <w:jc w:val="left"/>
              <w:rPr/>
            </w:pPr>
            <w:r>
              <w:rPr/>
              <w:t>          </w:t>
            </w:r>
            <w:r>
              <w:rPr>
                <w:sz w:val="20"/>
              </w:rPr>
              <w:t>Loss / (gain) on foreign currency derivatives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104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sz w:val="20"/>
              </w:rPr>
            </w:pPr>
            <w:r>
              <w:rPr>
                <w:sz w:val="20"/>
              </w:rPr>
              <w:t>(338</w:t>
            </w:r>
          </w:p>
        </w:tc>
        <w:tc>
          <w:tcPr>
            <w:tcW w:w="98" w:type="dxa"/>
            <w:tcBorders/>
            <w:shd w:fill="FFFFFF" w:val="clear"/>
            <w:vAlign w:val="center"/>
          </w:tcPr>
          <w:p>
            <w:pPr>
              <w:pStyle w:val="TableContents"/>
              <w:bidi w:val="0"/>
              <w:spacing w:before="0" w:after="283"/>
              <w:jc w:val="left"/>
              <w:rPr>
                <w:sz w:val="20"/>
              </w:rPr>
            </w:pPr>
            <w:r>
              <w:rPr>
                <w:sz w:val="20"/>
              </w:rPr>
              <w:t>)</w:t>
            </w:r>
          </w:p>
        </w:tc>
      </w:tr>
      <w:tr>
        <w:trPr/>
        <w:tc>
          <w:tcPr>
            <w:tcW w:w="6932" w:type="dxa"/>
            <w:tcBorders/>
            <w:shd w:fill="CCEEFF" w:val="clear"/>
            <w:vAlign w:val="center"/>
          </w:tcPr>
          <w:p>
            <w:pPr>
              <w:pStyle w:val="TableContents"/>
              <w:bidi w:val="0"/>
              <w:spacing w:before="0" w:after="283"/>
              <w:jc w:val="left"/>
              <w:rPr/>
            </w:pPr>
            <w:r>
              <w:rPr/>
              <w:t>          </w:t>
            </w:r>
            <w:r>
              <w:rPr>
                <w:sz w:val="20"/>
              </w:rPr>
              <w:t>Changes in assets and liabilities, net of acquisitions: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6932" w:type="dxa"/>
            <w:tcBorders/>
            <w:shd w:fill="FFFFFF" w:val="clear"/>
            <w:vAlign w:val="center"/>
          </w:tcPr>
          <w:p>
            <w:pPr>
              <w:pStyle w:val="TableContents"/>
              <w:bidi w:val="0"/>
              <w:spacing w:before="0" w:after="283"/>
              <w:jc w:val="left"/>
              <w:rPr/>
            </w:pPr>
            <w:r>
              <w:rPr/>
              <w:t>                </w:t>
            </w:r>
            <w:r>
              <w:rPr>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57,901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sz w:val="20"/>
              </w:rPr>
            </w:pPr>
            <w:r>
              <w:rPr>
                <w:sz w:val="20"/>
              </w:rPr>
              <w:t>42,509</w:t>
            </w:r>
          </w:p>
        </w:tc>
        <w:tc>
          <w:tcPr>
            <w:tcW w:w="98" w:type="dxa"/>
            <w:tcBorders/>
            <w:shd w:fill="FFFFFF" w:val="clear"/>
            <w:vAlign w:val="center"/>
          </w:tcPr>
          <w:p>
            <w:pPr>
              <w:pStyle w:val="TableContents"/>
              <w:bidi w:val="0"/>
              <w:spacing w:before="0" w:after="283"/>
              <w:jc w:val="left"/>
              <w:rPr/>
            </w:pPr>
            <w:r>
              <w:rPr/>
              <w:t> </w:t>
            </w:r>
          </w:p>
        </w:tc>
      </w:tr>
      <w:tr>
        <w:trPr/>
        <w:tc>
          <w:tcPr>
            <w:tcW w:w="6932" w:type="dxa"/>
            <w:tcBorders/>
            <w:shd w:fill="CCEEFF" w:val="clear"/>
            <w:vAlign w:val="center"/>
          </w:tcPr>
          <w:p>
            <w:pPr>
              <w:pStyle w:val="TableContents"/>
              <w:bidi w:val="0"/>
              <w:spacing w:before="0" w:after="283"/>
              <w:jc w:val="left"/>
              <w:rPr/>
            </w:pPr>
            <w:r>
              <w:rPr/>
              <w:t>                </w:t>
            </w:r>
            <w:r>
              <w:rPr>
                <w:sz w:val="20"/>
              </w:rPr>
              <w:t>Prepaids and other assets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31,044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sz w:val="20"/>
              </w:rPr>
            </w:pPr>
            <w:r>
              <w:rPr>
                <w:sz w:val="20"/>
              </w:rPr>
              <w:t>4,708</w:t>
            </w:r>
          </w:p>
        </w:tc>
        <w:tc>
          <w:tcPr>
            <w:tcW w:w="98" w:type="dxa"/>
            <w:tcBorders/>
            <w:shd w:fill="CCEEFF" w:val="clear"/>
            <w:vAlign w:val="center"/>
          </w:tcPr>
          <w:p>
            <w:pPr>
              <w:pStyle w:val="TableContents"/>
              <w:bidi w:val="0"/>
              <w:spacing w:before="0" w:after="283"/>
              <w:jc w:val="left"/>
              <w:rPr/>
            </w:pPr>
            <w:r>
              <w:rPr/>
              <w:t> </w:t>
            </w:r>
          </w:p>
        </w:tc>
      </w:tr>
      <w:tr>
        <w:trPr/>
        <w:tc>
          <w:tcPr>
            <w:tcW w:w="6932" w:type="dxa"/>
            <w:tcBorders/>
            <w:shd w:fill="FFFFFF" w:val="clear"/>
            <w:vAlign w:val="center"/>
          </w:tcPr>
          <w:p>
            <w:pPr>
              <w:pStyle w:val="TableContents"/>
              <w:bidi w:val="0"/>
              <w:spacing w:before="0" w:after="283"/>
              <w:jc w:val="left"/>
              <w:rPr/>
            </w:pPr>
            <w:r>
              <w:rPr/>
              <w:t>                </w:t>
            </w:r>
            <w:r>
              <w:rPr>
                <w:sz w:val="20"/>
              </w:rPr>
              <w:t>Operating lease assets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15,226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sz w:val="20"/>
              </w:rPr>
            </w:pPr>
            <w:r>
              <w:rPr>
                <w:sz w:val="20"/>
              </w:rPr>
              <w:t>17,266</w:t>
            </w:r>
          </w:p>
        </w:tc>
        <w:tc>
          <w:tcPr>
            <w:tcW w:w="98" w:type="dxa"/>
            <w:tcBorders/>
            <w:shd w:fill="FFFFFF" w:val="clear"/>
            <w:vAlign w:val="center"/>
          </w:tcPr>
          <w:p>
            <w:pPr>
              <w:pStyle w:val="TableContents"/>
              <w:bidi w:val="0"/>
              <w:spacing w:before="0" w:after="283"/>
              <w:jc w:val="left"/>
              <w:rPr/>
            </w:pPr>
            <w:r>
              <w:rPr/>
              <w:t> </w:t>
            </w:r>
          </w:p>
        </w:tc>
      </w:tr>
      <w:tr>
        <w:trPr/>
        <w:tc>
          <w:tcPr>
            <w:tcW w:w="6932" w:type="dxa"/>
            <w:tcBorders/>
            <w:shd w:fill="CCEEFF" w:val="clear"/>
            <w:vAlign w:val="center"/>
          </w:tcPr>
          <w:p>
            <w:pPr>
              <w:pStyle w:val="TableContents"/>
              <w:bidi w:val="0"/>
              <w:spacing w:before="0" w:after="283"/>
              <w:jc w:val="left"/>
              <w:rPr/>
            </w:pPr>
            <w:r>
              <w:rPr/>
              <w:t>                </w:t>
            </w:r>
            <w:r>
              <w:rPr>
                <w:sz w:val="20"/>
              </w:rPr>
              <w:t>Other noncurrent assets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(1,893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sz w:val="20"/>
              </w:rPr>
            </w:pPr>
            <w:r>
              <w:rPr>
                <w:sz w:val="20"/>
              </w:rPr>
              <w:t>(4,495</w:t>
            </w:r>
          </w:p>
        </w:tc>
        <w:tc>
          <w:tcPr>
            <w:tcW w:w="98" w:type="dxa"/>
            <w:tcBorders/>
            <w:shd w:fill="CCEEFF" w:val="clear"/>
            <w:vAlign w:val="center"/>
          </w:tcPr>
          <w:p>
            <w:pPr>
              <w:pStyle w:val="TableContents"/>
              <w:bidi w:val="0"/>
              <w:spacing w:before="0" w:after="283"/>
              <w:jc w:val="left"/>
              <w:rPr>
                <w:sz w:val="20"/>
              </w:rPr>
            </w:pPr>
            <w:r>
              <w:rPr>
                <w:sz w:val="20"/>
              </w:rPr>
              <w:t>)</w:t>
            </w:r>
          </w:p>
        </w:tc>
      </w:tr>
      <w:tr>
        <w:trPr/>
        <w:tc>
          <w:tcPr>
            <w:tcW w:w="6932" w:type="dxa"/>
            <w:tcBorders/>
            <w:shd w:fill="FFFFFF" w:val="clear"/>
            <w:vAlign w:val="center"/>
          </w:tcPr>
          <w:p>
            <w:pPr>
              <w:pStyle w:val="TableContents"/>
              <w:bidi w:val="0"/>
              <w:spacing w:before="0" w:after="283"/>
              <w:jc w:val="left"/>
              <w:rPr/>
            </w:pPr>
            <w:r>
              <w:rPr/>
              <w:t>                </w:t>
            </w:r>
            <w:r>
              <w:rPr>
                <w:sz w:val="20"/>
              </w:rPr>
              <w:t>Accrued employee comp &amp; benefits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(40,250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sz w:val="20"/>
              </w:rPr>
            </w:pPr>
            <w:r>
              <w:rPr>
                <w:sz w:val="20"/>
              </w:rPr>
              <w:t>(1,618</w:t>
            </w:r>
          </w:p>
        </w:tc>
        <w:tc>
          <w:tcPr>
            <w:tcW w:w="98" w:type="dxa"/>
            <w:tcBorders/>
            <w:shd w:fill="FFFFFF" w:val="clear"/>
            <w:vAlign w:val="center"/>
          </w:tcPr>
          <w:p>
            <w:pPr>
              <w:pStyle w:val="TableContents"/>
              <w:bidi w:val="0"/>
              <w:spacing w:before="0" w:after="283"/>
              <w:jc w:val="left"/>
              <w:rPr>
                <w:sz w:val="20"/>
              </w:rPr>
            </w:pPr>
            <w:r>
              <w:rPr>
                <w:sz w:val="20"/>
              </w:rPr>
              <w:t>)</w:t>
            </w:r>
          </w:p>
        </w:tc>
      </w:tr>
      <w:tr>
        <w:trPr/>
        <w:tc>
          <w:tcPr>
            <w:tcW w:w="6932" w:type="dxa"/>
            <w:tcBorders/>
            <w:shd w:fill="CCEEFF" w:val="clear"/>
            <w:vAlign w:val="center"/>
          </w:tcPr>
          <w:p>
            <w:pPr>
              <w:pStyle w:val="TableContents"/>
              <w:bidi w:val="0"/>
              <w:spacing w:before="0" w:after="283"/>
              <w:jc w:val="left"/>
              <w:rPr/>
            </w:pPr>
            <w:r>
              <w:rPr/>
              <w:t>                </w:t>
            </w:r>
            <w:r>
              <w:rPr>
                <w:sz w:val="20"/>
              </w:rPr>
              <w:t>Accounts payable and other current liabilities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(1,900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sz w:val="20"/>
              </w:rPr>
            </w:pPr>
            <w:r>
              <w:rPr>
                <w:sz w:val="20"/>
              </w:rPr>
              <w:t>13,278</w:t>
            </w:r>
          </w:p>
        </w:tc>
        <w:tc>
          <w:tcPr>
            <w:tcW w:w="98" w:type="dxa"/>
            <w:tcBorders/>
            <w:shd w:fill="CCEEFF" w:val="clear"/>
            <w:vAlign w:val="center"/>
          </w:tcPr>
          <w:p>
            <w:pPr>
              <w:pStyle w:val="TableContents"/>
              <w:bidi w:val="0"/>
              <w:spacing w:before="0" w:after="283"/>
              <w:jc w:val="left"/>
              <w:rPr/>
            </w:pPr>
            <w:r>
              <w:rPr/>
              <w:t> </w:t>
            </w:r>
          </w:p>
        </w:tc>
      </w:tr>
      <w:tr>
        <w:trPr/>
        <w:tc>
          <w:tcPr>
            <w:tcW w:w="6932" w:type="dxa"/>
            <w:tcBorders/>
            <w:shd w:fill="FFFFFF" w:val="clear"/>
            <w:vAlign w:val="center"/>
          </w:tcPr>
          <w:p>
            <w:pPr>
              <w:pStyle w:val="TableContents"/>
              <w:bidi w:val="0"/>
              <w:spacing w:before="0" w:after="283"/>
              <w:jc w:val="left"/>
              <w:rPr/>
            </w:pPr>
            <w:r>
              <w:rPr/>
              <w:t>                </w:t>
            </w:r>
            <w:r>
              <w:rPr>
                <w:sz w:val="20"/>
              </w:rPr>
              <w:t>Deferred revenue and customer advances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1,018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sz w:val="20"/>
              </w:rPr>
            </w:pPr>
            <w:r>
              <w:rPr>
                <w:sz w:val="20"/>
              </w:rPr>
              <w:t>3,659</w:t>
            </w:r>
          </w:p>
        </w:tc>
        <w:tc>
          <w:tcPr>
            <w:tcW w:w="98" w:type="dxa"/>
            <w:tcBorders/>
            <w:shd w:fill="FFFFFF" w:val="clear"/>
            <w:vAlign w:val="center"/>
          </w:tcPr>
          <w:p>
            <w:pPr>
              <w:pStyle w:val="TableContents"/>
              <w:bidi w:val="0"/>
              <w:spacing w:before="0" w:after="283"/>
              <w:jc w:val="left"/>
              <w:rPr/>
            </w:pPr>
            <w:r>
              <w:rPr/>
              <w:t> </w:t>
            </w:r>
          </w:p>
        </w:tc>
      </w:tr>
      <w:tr>
        <w:trPr/>
        <w:tc>
          <w:tcPr>
            <w:tcW w:w="6932" w:type="dxa"/>
            <w:tcBorders/>
            <w:shd w:fill="CCEEFF" w:val="clear"/>
            <w:vAlign w:val="center"/>
          </w:tcPr>
          <w:p>
            <w:pPr>
              <w:pStyle w:val="TableContents"/>
              <w:bidi w:val="0"/>
              <w:spacing w:before="0" w:after="283"/>
              <w:jc w:val="left"/>
              <w:rPr/>
            </w:pPr>
            <w:r>
              <w:rPr/>
              <w:t>                </w:t>
            </w:r>
            <w:r>
              <w:rPr>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(16,602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sz w:val="20"/>
              </w:rPr>
            </w:pPr>
            <w:r>
              <w:rPr>
                <w:sz w:val="20"/>
              </w:rPr>
              <w:t>(18,051</w:t>
            </w:r>
          </w:p>
        </w:tc>
        <w:tc>
          <w:tcPr>
            <w:tcW w:w="98" w:type="dxa"/>
            <w:tcBorders/>
            <w:shd w:fill="CCEEFF" w:val="clear"/>
            <w:vAlign w:val="center"/>
          </w:tcPr>
          <w:p>
            <w:pPr>
              <w:pStyle w:val="TableContents"/>
              <w:bidi w:val="0"/>
              <w:spacing w:before="0" w:after="283"/>
              <w:jc w:val="left"/>
              <w:rPr>
                <w:sz w:val="20"/>
              </w:rPr>
            </w:pPr>
            <w:r>
              <w:rPr>
                <w:sz w:val="20"/>
              </w:rPr>
              <w:t>)</w:t>
            </w:r>
          </w:p>
        </w:tc>
      </w:tr>
      <w:tr>
        <w:trPr/>
        <w:tc>
          <w:tcPr>
            <w:tcW w:w="6932" w:type="dxa"/>
            <w:tcBorders/>
            <w:shd w:fill="FFFFFF" w:val="clear"/>
            <w:vAlign w:val="center"/>
          </w:tcPr>
          <w:p>
            <w:pPr>
              <w:pStyle w:val="TableContents"/>
              <w:bidi w:val="0"/>
              <w:spacing w:before="0" w:after="283"/>
              <w:jc w:val="left"/>
              <w:rPr/>
            </w:pPr>
            <w:r>
              <w:rPr/>
              <w:t>                </w:t>
            </w:r>
            <w:r>
              <w:rPr>
                <w:sz w:val="20"/>
              </w:rPr>
              <w:t>Other noncurrent liabilities</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(1,355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(274</w:t>
            </w:r>
          </w:p>
        </w:tc>
        <w:tc>
          <w:tcPr>
            <w:tcW w:w="98" w:type="dxa"/>
            <w:tcBorders/>
            <w:shd w:fill="FFFFFF" w:val="clear"/>
            <w:vAlign w:val="center"/>
          </w:tcPr>
          <w:p>
            <w:pPr>
              <w:pStyle w:val="TableContents"/>
              <w:bidi w:val="0"/>
              <w:spacing w:before="0" w:after="283"/>
              <w:jc w:val="left"/>
              <w:rPr>
                <w:sz w:val="20"/>
              </w:rPr>
            </w:pPr>
            <w:r>
              <w:rPr>
                <w:sz w:val="20"/>
              </w:rPr>
              <w:t>)</w:t>
            </w:r>
          </w:p>
        </w:tc>
      </w:tr>
      <w:tr>
        <w:trPr/>
        <w:tc>
          <w:tcPr>
            <w:tcW w:w="6932" w:type="dxa"/>
            <w:tcBorders/>
            <w:shd w:fill="CCEEFF" w:val="clear"/>
            <w:vAlign w:val="center"/>
          </w:tcPr>
          <w:p>
            <w:pPr>
              <w:pStyle w:val="TableContents"/>
              <w:bidi w:val="0"/>
              <w:spacing w:before="0" w:after="283"/>
              <w:jc w:val="left"/>
              <w:rPr/>
            </w:pPr>
            <w:r>
              <w:rPr/>
              <w:t>                    </w:t>
            </w:r>
            <w:r>
              <w:rPr>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78,876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sz w:val="20"/>
              </w:rPr>
            </w:pPr>
            <w:r>
              <w:rPr>
                <w:sz w:val="20"/>
              </w:rPr>
              <w:t>114,301</w:t>
            </w:r>
          </w:p>
        </w:tc>
        <w:tc>
          <w:tcPr>
            <w:tcW w:w="98" w:type="dxa"/>
            <w:tcBorders/>
            <w:shd w:fill="CCEEFF" w:val="clear"/>
            <w:vAlign w:val="center"/>
          </w:tcPr>
          <w:p>
            <w:pPr>
              <w:pStyle w:val="TableContents"/>
              <w:bidi w:val="0"/>
              <w:spacing w:before="0" w:after="283"/>
              <w:jc w:val="left"/>
              <w:rPr/>
            </w:pPr>
            <w:r>
              <w:rPr/>
              <w:t> </w:t>
            </w:r>
          </w:p>
        </w:tc>
      </w:tr>
      <w:tr>
        <w:trPr/>
        <w:tc>
          <w:tcPr>
            <w:tcW w:w="69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6932" w:type="dxa"/>
            <w:tcBorders/>
            <w:shd w:fill="CCEEFF" w:val="clear"/>
            <w:vAlign w:val="center"/>
          </w:tcPr>
          <w:p>
            <w:pPr>
              <w:pStyle w:val="TableContents"/>
              <w:bidi w:val="0"/>
              <w:spacing w:before="0" w:after="283"/>
              <w:jc w:val="left"/>
              <w:rPr>
                <w:b/>
                <w:sz w:val="20"/>
              </w:rPr>
            </w:pPr>
            <w:r>
              <w:rPr>
                <w:b/>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6932" w:type="dxa"/>
            <w:tcBorders/>
            <w:shd w:fill="FFFFFF" w:val="clear"/>
            <w:vAlign w:val="center"/>
          </w:tcPr>
          <w:p>
            <w:pPr>
              <w:pStyle w:val="TableContents"/>
              <w:bidi w:val="0"/>
              <w:spacing w:before="0" w:after="283"/>
              <w:jc w:val="left"/>
              <w:rPr/>
            </w:pPr>
            <w:r>
              <w:rPr/>
              <w:t>     </w:t>
            </w:r>
            <w:r>
              <w:rPr>
                <w:sz w:val="20"/>
              </w:rPr>
              <w:t>Proceeds from sale of property, plant and equipment</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1,460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sz w:val="20"/>
              </w:rPr>
            </w:pPr>
            <w:r>
              <w:rPr>
                <w:sz w:val="20"/>
              </w:rPr>
              <w:t>176</w:t>
            </w:r>
          </w:p>
        </w:tc>
        <w:tc>
          <w:tcPr>
            <w:tcW w:w="98" w:type="dxa"/>
            <w:tcBorders/>
            <w:shd w:fill="FFFFFF" w:val="clear"/>
            <w:vAlign w:val="center"/>
          </w:tcPr>
          <w:p>
            <w:pPr>
              <w:pStyle w:val="TableContents"/>
              <w:bidi w:val="0"/>
              <w:spacing w:before="0" w:after="283"/>
              <w:jc w:val="left"/>
              <w:rPr/>
            </w:pPr>
            <w:r>
              <w:rPr/>
              <w:t> </w:t>
            </w:r>
          </w:p>
        </w:tc>
      </w:tr>
      <w:tr>
        <w:trPr/>
        <w:tc>
          <w:tcPr>
            <w:tcW w:w="6932" w:type="dxa"/>
            <w:tcBorders/>
            <w:shd w:fill="CCEEFF" w:val="clear"/>
            <w:vAlign w:val="center"/>
          </w:tcPr>
          <w:p>
            <w:pPr>
              <w:pStyle w:val="TableContents"/>
              <w:bidi w:val="0"/>
              <w:spacing w:before="0" w:after="283"/>
              <w:jc w:val="left"/>
              <w:rPr/>
            </w:pPr>
            <w:r>
              <w:rPr/>
              <w:t>     </w:t>
            </w:r>
            <w:r>
              <w:rPr>
                <w:sz w:val="20"/>
              </w:rPr>
              <w:t>Purchases of property, plant and equipment</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(19,040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(12,587</w:t>
            </w:r>
          </w:p>
        </w:tc>
        <w:tc>
          <w:tcPr>
            <w:tcW w:w="98" w:type="dxa"/>
            <w:tcBorders/>
            <w:shd w:fill="CCEEFF" w:val="clear"/>
            <w:vAlign w:val="center"/>
          </w:tcPr>
          <w:p>
            <w:pPr>
              <w:pStyle w:val="TableContents"/>
              <w:bidi w:val="0"/>
              <w:spacing w:before="0" w:after="283"/>
              <w:jc w:val="left"/>
              <w:rPr>
                <w:sz w:val="20"/>
              </w:rPr>
            </w:pPr>
            <w:r>
              <w:rPr>
                <w:sz w:val="20"/>
              </w:rPr>
              <w:t>)</w:t>
            </w:r>
          </w:p>
        </w:tc>
      </w:tr>
      <w:tr>
        <w:trPr/>
        <w:tc>
          <w:tcPr>
            <w:tcW w:w="6932" w:type="dxa"/>
            <w:tcBorders/>
            <w:shd w:fill="FFFFFF" w:val="clear"/>
            <w:vAlign w:val="center"/>
          </w:tcPr>
          <w:p>
            <w:pPr>
              <w:pStyle w:val="TableContents"/>
              <w:bidi w:val="0"/>
              <w:spacing w:before="0" w:after="283"/>
              <w:jc w:val="left"/>
              <w:rPr/>
            </w:pPr>
            <w:r>
              <w:rPr/>
              <w:t>          </w:t>
            </w:r>
            <w:r>
              <w:rPr>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(17,580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sz w:val="20"/>
              </w:rPr>
            </w:pPr>
            <w:r>
              <w:rPr>
                <w:sz w:val="20"/>
              </w:rPr>
              <w:t>(12,411</w:t>
            </w:r>
          </w:p>
        </w:tc>
        <w:tc>
          <w:tcPr>
            <w:tcW w:w="98" w:type="dxa"/>
            <w:tcBorders/>
            <w:shd w:fill="FFFFFF" w:val="clear"/>
            <w:vAlign w:val="center"/>
          </w:tcPr>
          <w:p>
            <w:pPr>
              <w:pStyle w:val="TableContents"/>
              <w:bidi w:val="0"/>
              <w:spacing w:before="0" w:after="283"/>
              <w:jc w:val="left"/>
              <w:rPr>
                <w:sz w:val="20"/>
              </w:rPr>
            </w:pPr>
            <w:r>
              <w:rPr>
                <w:sz w:val="20"/>
              </w:rPr>
              <w:t>)</w:t>
            </w:r>
          </w:p>
        </w:tc>
      </w:tr>
      <w:tr>
        <w:trPr/>
        <w:tc>
          <w:tcPr>
            <w:tcW w:w="69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6932" w:type="dxa"/>
            <w:tcBorders/>
            <w:shd w:fill="FFFFFF" w:val="clear"/>
            <w:vAlign w:val="center"/>
          </w:tcPr>
          <w:p>
            <w:pPr>
              <w:pStyle w:val="TableContents"/>
              <w:bidi w:val="0"/>
              <w:spacing w:before="0" w:after="283"/>
              <w:jc w:val="left"/>
              <w:rPr>
                <w:b/>
                <w:sz w:val="20"/>
              </w:rPr>
            </w:pPr>
            <w:r>
              <w:rPr>
                <w:b/>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6932" w:type="dxa"/>
            <w:tcBorders/>
            <w:shd w:fill="CCEEFF" w:val="clear"/>
            <w:vAlign w:val="center"/>
          </w:tcPr>
          <w:p>
            <w:pPr>
              <w:pStyle w:val="TableContents"/>
              <w:bidi w:val="0"/>
              <w:spacing w:before="0" w:after="283"/>
              <w:jc w:val="left"/>
              <w:rPr/>
            </w:pPr>
            <w:r>
              <w:rPr/>
              <w:t>     </w:t>
            </w:r>
            <w:r>
              <w:rPr>
                <w:sz w:val="20"/>
              </w:rPr>
              <w:t>Net proceeds from / (repayments of) line of credit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(50,000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sz w:val="20"/>
              </w:rPr>
            </w:pPr>
            <w:r>
              <w:rPr>
                <w:sz w:val="20"/>
              </w:rPr>
              <w:t>(92,500</w:t>
            </w:r>
          </w:p>
        </w:tc>
        <w:tc>
          <w:tcPr>
            <w:tcW w:w="98" w:type="dxa"/>
            <w:tcBorders/>
            <w:shd w:fill="CCEEFF" w:val="clear"/>
            <w:vAlign w:val="center"/>
          </w:tcPr>
          <w:p>
            <w:pPr>
              <w:pStyle w:val="TableContents"/>
              <w:bidi w:val="0"/>
              <w:spacing w:before="0" w:after="283"/>
              <w:jc w:val="left"/>
              <w:rPr>
                <w:sz w:val="20"/>
              </w:rPr>
            </w:pPr>
            <w:r>
              <w:rPr>
                <w:sz w:val="20"/>
              </w:rPr>
              <w:t>)</w:t>
            </w:r>
          </w:p>
        </w:tc>
      </w:tr>
      <w:tr>
        <w:trPr/>
        <w:tc>
          <w:tcPr>
            <w:tcW w:w="6932" w:type="dxa"/>
            <w:tcBorders/>
            <w:shd w:fill="FFFFFF" w:val="clear"/>
            <w:vAlign w:val="center"/>
          </w:tcPr>
          <w:p>
            <w:pPr>
              <w:pStyle w:val="TableContents"/>
              <w:bidi w:val="0"/>
              <w:spacing w:before="0" w:after="283"/>
              <w:jc w:val="left"/>
              <w:rPr/>
            </w:pPr>
            <w:r>
              <w:rPr/>
              <w:t>     </w:t>
            </w:r>
            <w:r>
              <w:rPr>
                <w:sz w:val="20"/>
              </w:rPr>
              <w:t>Proceeds from other debt</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3,665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sz w:val="20"/>
              </w:rPr>
            </w:pPr>
            <w:r>
              <w:rPr>
                <w:sz w:val="20"/>
              </w:rPr>
              <w:t>-</w:t>
            </w:r>
          </w:p>
        </w:tc>
        <w:tc>
          <w:tcPr>
            <w:tcW w:w="98" w:type="dxa"/>
            <w:tcBorders/>
            <w:shd w:fill="FFFFFF" w:val="clear"/>
            <w:vAlign w:val="center"/>
          </w:tcPr>
          <w:p>
            <w:pPr>
              <w:pStyle w:val="TableContents"/>
              <w:bidi w:val="0"/>
              <w:spacing w:before="0" w:after="283"/>
              <w:jc w:val="left"/>
              <w:rPr/>
            </w:pPr>
            <w:r>
              <w:rPr/>
              <w:t> </w:t>
            </w:r>
          </w:p>
        </w:tc>
      </w:tr>
      <w:tr>
        <w:trPr/>
        <w:tc>
          <w:tcPr>
            <w:tcW w:w="6932" w:type="dxa"/>
            <w:tcBorders/>
            <w:shd w:fill="CCEEFF" w:val="clear"/>
            <w:vAlign w:val="center"/>
          </w:tcPr>
          <w:p>
            <w:pPr>
              <w:pStyle w:val="TableContents"/>
              <w:bidi w:val="0"/>
              <w:spacing w:before="0" w:after="283"/>
              <w:jc w:val="left"/>
              <w:rPr/>
            </w:pPr>
            <w:r>
              <w:rPr/>
              <w:t>     </w:t>
            </w:r>
            <w:r>
              <w:rPr>
                <w:sz w:val="20"/>
              </w:rPr>
              <w:t>Payments on other debt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(768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sz w:val="20"/>
              </w:rPr>
            </w:pPr>
            <w:r>
              <w:rPr>
                <w:sz w:val="20"/>
              </w:rPr>
              <w:t>(1,088</w:t>
            </w:r>
          </w:p>
        </w:tc>
        <w:tc>
          <w:tcPr>
            <w:tcW w:w="98" w:type="dxa"/>
            <w:tcBorders/>
            <w:shd w:fill="CCEEFF" w:val="clear"/>
            <w:vAlign w:val="center"/>
          </w:tcPr>
          <w:p>
            <w:pPr>
              <w:pStyle w:val="TableContents"/>
              <w:bidi w:val="0"/>
              <w:spacing w:before="0" w:after="283"/>
              <w:jc w:val="left"/>
              <w:rPr>
                <w:sz w:val="20"/>
              </w:rPr>
            </w:pPr>
            <w:r>
              <w:rPr>
                <w:sz w:val="20"/>
              </w:rPr>
              <w:t>)</w:t>
            </w:r>
          </w:p>
        </w:tc>
      </w:tr>
      <w:tr>
        <w:trPr/>
        <w:tc>
          <w:tcPr>
            <w:tcW w:w="6932" w:type="dxa"/>
            <w:tcBorders/>
            <w:shd w:fill="FFFFFF" w:val="clear"/>
            <w:vAlign w:val="center"/>
          </w:tcPr>
          <w:p>
            <w:pPr>
              <w:pStyle w:val="TableContents"/>
              <w:bidi w:val="0"/>
              <w:spacing w:before="0" w:after="283"/>
              <w:jc w:val="left"/>
              <w:rPr/>
            </w:pPr>
            <w:r>
              <w:rPr/>
              <w:t>     </w:t>
            </w:r>
            <w:r>
              <w:rPr>
                <w:sz w:val="20"/>
              </w:rPr>
              <w:t>Payments to noncontrolling interest</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(3,600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sz w:val="20"/>
              </w:rPr>
            </w:pPr>
            <w:r>
              <w:rPr>
                <w:sz w:val="20"/>
              </w:rPr>
              <w:t>(4,101</w:t>
            </w:r>
          </w:p>
        </w:tc>
        <w:tc>
          <w:tcPr>
            <w:tcW w:w="98" w:type="dxa"/>
            <w:tcBorders/>
            <w:shd w:fill="FFFFFF" w:val="clear"/>
            <w:vAlign w:val="center"/>
          </w:tcPr>
          <w:p>
            <w:pPr>
              <w:pStyle w:val="TableContents"/>
              <w:bidi w:val="0"/>
              <w:spacing w:before="0" w:after="283"/>
              <w:jc w:val="left"/>
              <w:rPr>
                <w:sz w:val="20"/>
              </w:rPr>
            </w:pPr>
            <w:r>
              <w:rPr>
                <w:sz w:val="20"/>
              </w:rPr>
              <w:t>)</w:t>
            </w:r>
          </w:p>
        </w:tc>
      </w:tr>
      <w:tr>
        <w:trPr/>
        <w:tc>
          <w:tcPr>
            <w:tcW w:w="6932" w:type="dxa"/>
            <w:tcBorders/>
            <w:shd w:fill="CCEEFF" w:val="clear"/>
            <w:vAlign w:val="center"/>
          </w:tcPr>
          <w:p>
            <w:pPr>
              <w:pStyle w:val="TableContents"/>
              <w:bidi w:val="0"/>
              <w:spacing w:before="0" w:after="283"/>
              <w:jc w:val="left"/>
              <w:rPr/>
            </w:pPr>
            <w:r>
              <w:rPr/>
              <w:t>     </w:t>
            </w:r>
            <w:r>
              <w:rPr>
                <w:sz w:val="20"/>
              </w:rPr>
              <w:t>Tax payments related to the issuance of restricted stock units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(570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sz w:val="20"/>
              </w:rPr>
            </w:pPr>
            <w:r>
              <w:rPr>
                <w:sz w:val="20"/>
              </w:rPr>
              <w:t>(1,038</w:t>
            </w:r>
          </w:p>
        </w:tc>
        <w:tc>
          <w:tcPr>
            <w:tcW w:w="98" w:type="dxa"/>
            <w:tcBorders/>
            <w:shd w:fill="CCEEFF" w:val="clear"/>
            <w:vAlign w:val="center"/>
          </w:tcPr>
          <w:p>
            <w:pPr>
              <w:pStyle w:val="TableContents"/>
              <w:bidi w:val="0"/>
              <w:spacing w:before="0" w:after="283"/>
              <w:jc w:val="left"/>
              <w:rPr>
                <w:sz w:val="20"/>
              </w:rPr>
            </w:pPr>
            <w:r>
              <w:rPr>
                <w:sz w:val="20"/>
              </w:rPr>
              <w:t>)</w:t>
            </w:r>
          </w:p>
        </w:tc>
      </w:tr>
      <w:tr>
        <w:trPr/>
        <w:tc>
          <w:tcPr>
            <w:tcW w:w="6932" w:type="dxa"/>
            <w:tcBorders/>
            <w:shd w:fill="FFFFFF" w:val="clear"/>
            <w:vAlign w:val="center"/>
          </w:tcPr>
          <w:p>
            <w:pPr>
              <w:pStyle w:val="TableContents"/>
              <w:bidi w:val="0"/>
              <w:spacing w:before="0" w:after="283"/>
              <w:jc w:val="left"/>
              <w:rPr/>
            </w:pPr>
            <w:r>
              <w:rPr/>
              <w:t>     </w:t>
            </w:r>
            <w:r>
              <w:rPr>
                <w:sz w:val="20"/>
              </w:rPr>
              <w:t>Payments of debt issuance costs</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(158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(200</w:t>
            </w:r>
          </w:p>
        </w:tc>
        <w:tc>
          <w:tcPr>
            <w:tcW w:w="98" w:type="dxa"/>
            <w:tcBorders/>
            <w:shd w:fill="FFFFFF" w:val="clear"/>
            <w:vAlign w:val="center"/>
          </w:tcPr>
          <w:p>
            <w:pPr>
              <w:pStyle w:val="TableContents"/>
              <w:bidi w:val="0"/>
              <w:spacing w:before="0" w:after="283"/>
              <w:jc w:val="left"/>
              <w:rPr>
                <w:sz w:val="20"/>
              </w:rPr>
            </w:pPr>
            <w:r>
              <w:rPr>
                <w:sz w:val="20"/>
              </w:rPr>
              <w:t>)</w:t>
            </w:r>
          </w:p>
        </w:tc>
      </w:tr>
      <w:tr>
        <w:trPr/>
        <w:tc>
          <w:tcPr>
            <w:tcW w:w="6932" w:type="dxa"/>
            <w:tcBorders/>
            <w:shd w:fill="CCEEFF" w:val="clear"/>
            <w:vAlign w:val="center"/>
          </w:tcPr>
          <w:p>
            <w:pPr>
              <w:pStyle w:val="TableContents"/>
              <w:bidi w:val="0"/>
              <w:spacing w:before="0" w:after="283"/>
              <w:jc w:val="left"/>
              <w:rPr/>
            </w:pPr>
            <w:r>
              <w:rPr/>
              <w:t>          </w:t>
            </w:r>
            <w:r>
              <w:rPr>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(51,431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sz w:val="20"/>
              </w:rPr>
            </w:pPr>
            <w:r>
              <w:rPr>
                <w:sz w:val="20"/>
              </w:rPr>
              <w:t>(98,927</w:t>
            </w:r>
          </w:p>
        </w:tc>
        <w:tc>
          <w:tcPr>
            <w:tcW w:w="98" w:type="dxa"/>
            <w:tcBorders/>
            <w:shd w:fill="CCEEFF" w:val="clear"/>
            <w:vAlign w:val="center"/>
          </w:tcPr>
          <w:p>
            <w:pPr>
              <w:pStyle w:val="TableContents"/>
              <w:bidi w:val="0"/>
              <w:spacing w:before="0" w:after="283"/>
              <w:jc w:val="left"/>
              <w:rPr>
                <w:sz w:val="20"/>
              </w:rPr>
            </w:pPr>
            <w:r>
              <w:rPr>
                <w:sz w:val="20"/>
              </w:rPr>
              <w:t>)</w:t>
            </w:r>
          </w:p>
        </w:tc>
      </w:tr>
      <w:tr>
        <w:trPr/>
        <w:tc>
          <w:tcPr>
            <w:tcW w:w="69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6932" w:type="dxa"/>
            <w:tcBorders/>
            <w:shd w:fill="CCEEFF" w:val="clear"/>
            <w:vAlign w:val="center"/>
          </w:tcPr>
          <w:p>
            <w:pPr>
              <w:pStyle w:val="TableContents"/>
              <w:bidi w:val="0"/>
              <w:spacing w:before="0" w:after="283"/>
              <w:jc w:val="left"/>
              <w:rPr>
                <w:sz w:val="20"/>
              </w:rPr>
            </w:pPr>
            <w:r>
              <w:rPr>
                <w:sz w:val="20"/>
              </w:rPr>
              <w:t>Effect of exchange rate changes on cash and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(5,395</w:t>
            </w:r>
          </w:p>
        </w:tc>
        <w:tc>
          <w:tcPr>
            <w:tcW w:w="98" w:type="dxa"/>
            <w:tcBorders/>
            <w:shd w:fill="CCEEFF" w:val="clear"/>
            <w:vAlign w:val="center"/>
          </w:tcPr>
          <w:p>
            <w:pPr>
              <w:pStyle w:val="TableContents"/>
              <w:bidi w:val="0"/>
              <w:spacing w:before="0" w:after="283"/>
              <w:jc w:val="left"/>
              <w:rPr>
                <w:sz w:val="20"/>
              </w:rPr>
            </w:pPr>
            <w:r>
              <w:rPr>
                <w:sz w:val="20"/>
              </w:rPr>
              <w:t>)</w:t>
            </w:r>
          </w:p>
        </w:tc>
      </w:tr>
      <w:tr>
        <w:trPr/>
        <w:tc>
          <w:tcPr>
            <w:tcW w:w="69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6932" w:type="dxa"/>
            <w:tcBorders/>
            <w:shd w:fill="CCEEFF" w:val="clear"/>
            <w:vAlign w:val="center"/>
          </w:tcPr>
          <w:p>
            <w:pPr>
              <w:pStyle w:val="TableContents"/>
              <w:bidi w:val="0"/>
              <w:spacing w:before="0" w:after="283"/>
              <w:jc w:val="left"/>
              <w:rPr>
                <w:sz w:val="20"/>
              </w:rPr>
            </w:pPr>
            <w:r>
              <w:rPr>
                <w:sz w:val="20"/>
              </w:rPr>
              <w:t>Increase/(decrease)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10,968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sz w:val="20"/>
              </w:rPr>
            </w:pPr>
            <w:r>
              <w:rPr>
                <w:sz w:val="20"/>
              </w:rPr>
              <w:t>(2,432</w:t>
            </w:r>
          </w:p>
        </w:tc>
        <w:tc>
          <w:tcPr>
            <w:tcW w:w="98" w:type="dxa"/>
            <w:tcBorders/>
            <w:shd w:fill="CCEEFF" w:val="clear"/>
            <w:vAlign w:val="center"/>
          </w:tcPr>
          <w:p>
            <w:pPr>
              <w:pStyle w:val="TableContents"/>
              <w:bidi w:val="0"/>
              <w:spacing w:before="0" w:after="283"/>
              <w:jc w:val="left"/>
              <w:rPr>
                <w:sz w:val="20"/>
              </w:rPr>
            </w:pPr>
            <w:r>
              <w:rPr>
                <w:sz w:val="20"/>
              </w:rPr>
              <w:t>)</w:t>
            </w:r>
          </w:p>
        </w:tc>
      </w:tr>
      <w:tr>
        <w:trPr/>
        <w:tc>
          <w:tcPr>
            <w:tcW w:w="6932" w:type="dxa"/>
            <w:tcBorders/>
            <w:shd w:fill="FFFFFF" w:val="clear"/>
            <w:vAlign w:val="center"/>
          </w:tcPr>
          <w:p>
            <w:pPr>
              <w:pStyle w:val="TableContents"/>
              <w:bidi w:val="0"/>
              <w:spacing w:before="0" w:after="283"/>
              <w:jc w:val="left"/>
              <w:rPr>
                <w:sz w:val="20"/>
              </w:rPr>
            </w:pPr>
            <w:r>
              <w:rPr>
                <w:sz w:val="20"/>
              </w:rPr>
              <w:t>Cash, cash equivalents and restricted cash, beginning of period</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82,901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84,991</w:t>
            </w:r>
          </w:p>
        </w:tc>
        <w:tc>
          <w:tcPr>
            <w:tcW w:w="98" w:type="dxa"/>
            <w:tcBorders/>
            <w:shd w:fill="FFFFFF" w:val="clear"/>
            <w:vAlign w:val="center"/>
          </w:tcPr>
          <w:p>
            <w:pPr>
              <w:pStyle w:val="TableContents"/>
              <w:bidi w:val="0"/>
              <w:spacing w:before="0" w:after="283"/>
              <w:jc w:val="left"/>
              <w:rPr/>
            </w:pPr>
            <w:r>
              <w:rPr/>
              <w:t> </w:t>
            </w:r>
          </w:p>
        </w:tc>
      </w:tr>
      <w:tr>
        <w:trPr/>
        <w:tc>
          <w:tcPr>
            <w:tcW w:w="6932" w:type="dxa"/>
            <w:tcBorders/>
            <w:shd w:fill="CCEEFF" w:val="clear"/>
            <w:vAlign w:val="center"/>
          </w:tcPr>
          <w:p>
            <w:pPr>
              <w:pStyle w:val="TableContents"/>
              <w:bidi w:val="0"/>
              <w:spacing w:before="0" w:after="283"/>
              <w:jc w:val="left"/>
              <w:rPr>
                <w:sz w:val="20"/>
              </w:rPr>
            </w:pPr>
            <w:r>
              <w:rPr>
                <w:sz w:val="20"/>
              </w:rPr>
              <w:t>Cash, cash equivalents and restricted cash, end of period</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24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93,869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262"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82,559</w:t>
            </w:r>
          </w:p>
        </w:tc>
        <w:tc>
          <w:tcPr>
            <w:tcW w:w="98"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TTEC HOLDINGS,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NON-GAAP FINANCIAL INFORMATION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780"/>
        <w:gridCol w:w="60"/>
        <w:gridCol w:w="125"/>
        <w:gridCol w:w="695"/>
        <w:gridCol w:w="185"/>
        <w:gridCol w:w="60"/>
        <w:gridCol w:w="125"/>
        <w:gridCol w:w="695"/>
        <w:gridCol w:w="185"/>
        <w:gridCol w:w="60"/>
        <w:gridCol w:w="125"/>
        <w:gridCol w:w="695"/>
        <w:gridCol w:w="185"/>
        <w:gridCol w:w="60"/>
        <w:gridCol w:w="125"/>
        <w:gridCol w:w="845"/>
        <w:gridCol w:w="200"/>
      </w:tblGrid>
      <w:tr>
        <w:trPr/>
        <w:tc>
          <w:tcPr>
            <w:tcW w:w="5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5" w:type="dxa"/>
            <w:gridSpan w:val="6"/>
            <w:tcBorders/>
            <w:vAlign w:val="center"/>
          </w:tcPr>
          <w:p>
            <w:pPr>
              <w:pStyle w:val="TableContents"/>
              <w:bidi w:val="0"/>
              <w:spacing w:before="0" w:after="283"/>
              <w:jc w:val="center"/>
              <w:rPr>
                <w:b/>
                <w:sz w:val="20"/>
              </w:rPr>
            </w:pPr>
            <w:r>
              <w:rPr>
                <w:b/>
                <w:sz w:val="20"/>
              </w:rPr>
              <w:t>Three months ended</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5" w:type="dxa"/>
            <w:gridSpan w:val="6"/>
            <w:tcBorders/>
            <w:vAlign w:val="center"/>
          </w:tcPr>
          <w:p>
            <w:pPr>
              <w:pStyle w:val="TableContents"/>
              <w:bidi w:val="0"/>
              <w:spacing w:before="0" w:after="283"/>
              <w:jc w:val="center"/>
              <w:rPr>
                <w:b/>
                <w:sz w:val="20"/>
              </w:rPr>
            </w:pPr>
            <w:r>
              <w:rPr>
                <w:b/>
                <w:sz w:val="20"/>
              </w:rPr>
              <w:t>Six months ended</w:t>
            </w:r>
          </w:p>
        </w:tc>
        <w:tc>
          <w:tcPr>
            <w:tcW w:w="200" w:type="dxa"/>
            <w:tcBorders/>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5"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5"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r>
          </w:p>
        </w:tc>
        <w:tc>
          <w:tcPr>
            <w:tcW w:w="200" w:type="dxa"/>
            <w:tcBorders/>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200" w:type="dxa"/>
            <w:tcBorders/>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b/>
                <w:sz w:val="20"/>
              </w:rPr>
            </w:pPr>
            <w:r>
              <w:rPr>
                <w:b/>
                <w:sz w:val="20"/>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695" w:type="dxa"/>
            <w:tcBorders/>
            <w:shd w:fill="CCEEFF" w:val="clear"/>
            <w:vAlign w:val="center"/>
          </w:tcPr>
          <w:p>
            <w:pPr>
              <w:pStyle w:val="TableContents"/>
              <w:bidi w:val="0"/>
              <w:spacing w:before="0" w:after="283"/>
              <w:jc w:val="right"/>
              <w:rPr>
                <w:b/>
                <w:sz w:val="20"/>
              </w:rPr>
            </w:pPr>
            <w:r>
              <w:rPr>
                <w:b/>
                <w:sz w:val="20"/>
              </w:rPr>
              <w:t>455,495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695" w:type="dxa"/>
            <w:tcBorders/>
            <w:shd w:fill="CCEEFF" w:val="clear"/>
            <w:vAlign w:val="center"/>
          </w:tcPr>
          <w:p>
            <w:pPr>
              <w:pStyle w:val="TableContents"/>
              <w:bidi w:val="0"/>
              <w:spacing w:before="0" w:after="283"/>
              <w:jc w:val="right"/>
              <w:rPr>
                <w:b/>
                <w:sz w:val="20"/>
              </w:rPr>
            </w:pPr>
            <w:r>
              <w:rPr>
                <w:b/>
                <w:sz w:val="20"/>
              </w:rPr>
              <w:t>513,571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695" w:type="dxa"/>
            <w:tcBorders/>
            <w:shd w:fill="CCEEFF" w:val="clear"/>
            <w:vAlign w:val="center"/>
          </w:tcPr>
          <w:p>
            <w:pPr>
              <w:pStyle w:val="TableContents"/>
              <w:bidi w:val="0"/>
              <w:spacing w:before="0" w:after="283"/>
              <w:jc w:val="right"/>
              <w:rPr>
                <w:b/>
                <w:sz w:val="20"/>
              </w:rPr>
            </w:pPr>
            <w:r>
              <w:rPr>
                <w:b/>
                <w:sz w:val="20"/>
              </w:rPr>
              <w:t>951,670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845" w:type="dxa"/>
            <w:tcBorders/>
            <w:shd w:fill="CCEEFF" w:val="clear"/>
            <w:vAlign w:val="center"/>
          </w:tcPr>
          <w:p>
            <w:pPr>
              <w:pStyle w:val="TableContents"/>
              <w:bidi w:val="0"/>
              <w:spacing w:before="0" w:after="283"/>
              <w:jc w:val="right"/>
              <w:rPr>
                <w:b/>
                <w:sz w:val="20"/>
              </w:rPr>
            </w:pPr>
            <w:r>
              <w:rPr>
                <w:b/>
                <w:sz w:val="20"/>
              </w:rPr>
              <w:t>1,047,799</w:t>
            </w:r>
          </w:p>
        </w:tc>
        <w:tc>
          <w:tcPr>
            <w:tcW w:w="200"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b/>
                <w:sz w:val="20"/>
              </w:rPr>
            </w:pPr>
            <w:r>
              <w:rPr>
                <w:b/>
                <w:sz w:val="20"/>
              </w:rPr>
              <w:t>Reconciliation of Non-GAAP Income from Operations and EBITDA: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b/>
                <w:sz w:val="20"/>
              </w:rPr>
            </w:pPr>
            <w:r>
              <w:rPr>
                <w:b/>
                <w:sz w:val="20"/>
              </w:rPr>
              <w:t>Net Income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11,009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18,876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29,504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sz w:val="20"/>
              </w:rPr>
            </w:pPr>
            <w:r>
              <w:rPr>
                <w:sz w:val="20"/>
              </w:rPr>
              <w:t>43,065</w:t>
            </w:r>
          </w:p>
        </w:tc>
        <w:tc>
          <w:tcPr>
            <w:tcW w:w="200"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sz w:val="20"/>
              </w:rPr>
            </w:pPr>
            <w:r>
              <w:rPr>
                <w:sz w:val="20"/>
              </w:rPr>
              <w:t>Restructuring charges,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2,364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1,116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3,814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3,112</w:t>
            </w:r>
          </w:p>
        </w:tc>
        <w:tc>
          <w:tcPr>
            <w:tcW w:w="200" w:type="dxa"/>
            <w:tcBorders/>
            <w:shd w:fill="FFFFFF" w:val="clear"/>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sz w:val="20"/>
              </w:rPr>
            </w:pPr>
            <w:r>
              <w:rPr>
                <w:sz w:val="20"/>
              </w:rPr>
              <w:t>Impairment losses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1,894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764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2,414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1,525</w:t>
            </w:r>
          </w:p>
        </w:tc>
        <w:tc>
          <w:tcPr>
            <w:tcW w:w="200"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sz w:val="20"/>
              </w:rPr>
            </w:pPr>
            <w:r>
              <w:rPr>
                <w:sz w:val="20"/>
              </w:rPr>
              <w:t>Property costs not related to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(46</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5780" w:type="dxa"/>
            <w:tcBorders/>
            <w:shd w:fill="CCEEFF" w:val="clear"/>
            <w:vAlign w:val="center"/>
          </w:tcPr>
          <w:p>
            <w:pPr>
              <w:pStyle w:val="TableContents"/>
              <w:bidi w:val="0"/>
              <w:spacing w:before="0" w:after="283"/>
              <w:jc w:val="left"/>
              <w:rPr>
                <w:sz w:val="20"/>
              </w:rPr>
            </w:pPr>
            <w:r>
              <w:rPr>
                <w:sz w:val="20"/>
              </w:rPr>
              <w:t>Mexico VAT consulting fees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412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820</w:t>
            </w:r>
          </w:p>
        </w:tc>
        <w:tc>
          <w:tcPr>
            <w:tcW w:w="200"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sz w:val="20"/>
              </w:rPr>
            </w:pPr>
            <w:r>
              <w:rPr>
                <w:sz w:val="20"/>
              </w:rPr>
              <w:t>Expenses related to non-binding offer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3,830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659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7,019</w:t>
            </w:r>
          </w:p>
        </w:tc>
        <w:tc>
          <w:tcPr>
            <w:tcW w:w="200" w:type="dxa"/>
            <w:tcBorders/>
            <w:shd w:fill="FFFFFF" w:val="clear"/>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sz w:val="20"/>
              </w:rPr>
            </w:pPr>
            <w:r>
              <w:rPr>
                <w:sz w:val="20"/>
              </w:rPr>
              <w:t>Expenses related to alternative capital structure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549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549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w:t>
            </w:r>
          </w:p>
        </w:tc>
        <w:tc>
          <w:tcPr>
            <w:tcW w:w="200"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sz w:val="20"/>
              </w:rPr>
            </w:pPr>
            <w:r>
              <w:rPr>
                <w:sz w:val="20"/>
              </w:rPr>
              <w:t>Equity-based compensation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2,258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4,051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5,084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7,301</w:t>
            </w:r>
          </w:p>
        </w:tc>
        <w:tc>
          <w:tcPr>
            <w:tcW w:w="200" w:type="dxa"/>
            <w:tcBorders/>
            <w:shd w:fill="FFFFFF" w:val="clear"/>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sz w:val="20"/>
              </w:rPr>
            </w:pPr>
            <w:r>
              <w:rPr>
                <w:sz w:val="20"/>
              </w:rPr>
              <w:t>Amortization of purchased intangibles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7,671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7,738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15,364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15,488</w:t>
            </w:r>
          </w:p>
        </w:tc>
        <w:tc>
          <w:tcPr>
            <w:tcW w:w="200"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pPr>
            <w:r>
              <w:rPr/>
              <w:t>         </w:t>
            </w:r>
            <w:r>
              <w:rPr>
                <w:b/>
                <w:sz w:val="20"/>
              </w:rPr>
              <w:t>Non-GAAP Income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695" w:type="dxa"/>
            <w:tcBorders/>
            <w:shd w:fill="CCEEFF" w:val="clear"/>
            <w:vAlign w:val="center"/>
          </w:tcPr>
          <w:p>
            <w:pPr>
              <w:pStyle w:val="TableContents"/>
              <w:bidi w:val="0"/>
              <w:spacing w:before="0" w:after="283"/>
              <w:jc w:val="right"/>
              <w:rPr>
                <w:b/>
                <w:sz w:val="20"/>
              </w:rPr>
            </w:pPr>
            <w:r>
              <w:rPr>
                <w:b/>
                <w:sz w:val="20"/>
              </w:rPr>
              <w:t>25,745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695" w:type="dxa"/>
            <w:tcBorders/>
            <w:shd w:fill="CCEEFF" w:val="clear"/>
            <w:vAlign w:val="center"/>
          </w:tcPr>
          <w:p>
            <w:pPr>
              <w:pStyle w:val="TableContents"/>
              <w:bidi w:val="0"/>
              <w:spacing w:before="0" w:after="283"/>
              <w:jc w:val="right"/>
              <w:rPr>
                <w:b/>
                <w:sz w:val="20"/>
              </w:rPr>
            </w:pPr>
            <w:r>
              <w:rPr>
                <w:b/>
                <w:sz w:val="20"/>
              </w:rPr>
              <w:t>36,787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695" w:type="dxa"/>
            <w:tcBorders/>
            <w:shd w:fill="CCEEFF" w:val="clear"/>
            <w:vAlign w:val="center"/>
          </w:tcPr>
          <w:p>
            <w:pPr>
              <w:pStyle w:val="TableContents"/>
              <w:bidi w:val="0"/>
              <w:spacing w:before="0" w:after="283"/>
              <w:jc w:val="right"/>
              <w:rPr>
                <w:b/>
                <w:sz w:val="20"/>
              </w:rPr>
            </w:pPr>
            <w:r>
              <w:rPr>
                <w:b/>
                <w:sz w:val="20"/>
              </w:rPr>
              <w:t>57,400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845" w:type="dxa"/>
            <w:tcBorders/>
            <w:shd w:fill="CCEEFF" w:val="clear"/>
            <w:vAlign w:val="center"/>
          </w:tcPr>
          <w:p>
            <w:pPr>
              <w:pStyle w:val="TableContents"/>
              <w:bidi w:val="0"/>
              <w:spacing w:before="0" w:after="283"/>
              <w:jc w:val="right"/>
              <w:rPr>
                <w:b/>
                <w:sz w:val="20"/>
              </w:rPr>
            </w:pPr>
            <w:r>
              <w:rPr>
                <w:b/>
                <w:sz w:val="20"/>
              </w:rPr>
              <w:t>78,284</w:t>
            </w:r>
          </w:p>
        </w:tc>
        <w:tc>
          <w:tcPr>
            <w:tcW w:w="200"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pPr>
            <w:r>
              <w:rPr/>
              <w:t>         </w:t>
            </w:r>
            <w:r>
              <w:rPr>
                <w:b/>
                <w:sz w:val="20"/>
              </w:rPr>
              <w:t>Non-GAAP Income from Operations Margin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5.7</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7.2</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6.0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7.5</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5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sz w:val="20"/>
              </w:rPr>
            </w:pPr>
            <w:r>
              <w:rPr>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13,470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15,150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27,082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30,098</w:t>
            </w:r>
          </w:p>
        </w:tc>
        <w:tc>
          <w:tcPr>
            <w:tcW w:w="200"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sz w:val="20"/>
              </w:rPr>
            </w:pPr>
            <w:r>
              <w:rPr>
                <w:sz w:val="20"/>
              </w:rPr>
              <w:t>Loss on sale of subsidiary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401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w:t>
            </w:r>
          </w:p>
        </w:tc>
        <w:tc>
          <w:tcPr>
            <w:tcW w:w="200" w:type="dxa"/>
            <w:tcBorders/>
            <w:shd w:fill="FFFFFF" w:val="clear"/>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sz w:val="20"/>
              </w:rPr>
            </w:pPr>
            <w:r>
              <w:rPr>
                <w:sz w:val="20"/>
              </w:rPr>
              <w:t>Gain on property sale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(179</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(135</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(629</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5780" w:type="dxa"/>
            <w:tcBorders/>
            <w:shd w:fill="FFFFFF" w:val="clear"/>
            <w:vAlign w:val="center"/>
          </w:tcPr>
          <w:p>
            <w:pPr>
              <w:pStyle w:val="TableContents"/>
              <w:bidi w:val="0"/>
              <w:spacing w:before="0" w:after="283"/>
              <w:jc w:val="left"/>
              <w:rPr>
                <w:sz w:val="20"/>
              </w:rPr>
            </w:pPr>
            <w:r>
              <w:rPr>
                <w:sz w:val="20"/>
              </w:rPr>
              <w:t>Mexico VAT Recovery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(2,719</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(34</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(6,625</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5780" w:type="dxa"/>
            <w:tcBorders/>
            <w:shd w:fill="CCEEFF" w:val="clear"/>
            <w:vAlign w:val="center"/>
          </w:tcPr>
          <w:p>
            <w:pPr>
              <w:pStyle w:val="TableContents"/>
              <w:bidi w:val="0"/>
              <w:spacing w:before="0" w:after="283"/>
              <w:jc w:val="left"/>
              <w:rPr>
                <w:sz w:val="20"/>
              </w:rPr>
            </w:pPr>
            <w:r>
              <w:rPr>
                <w:sz w:val="20"/>
              </w:rPr>
              <w:t>Foreign exchange loss / (gain),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(916</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3,027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(1,291</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3,777</w:t>
            </w:r>
          </w:p>
        </w:tc>
        <w:tc>
          <w:tcPr>
            <w:tcW w:w="200"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sz w:val="20"/>
              </w:rPr>
            </w:pPr>
            <w:r>
              <w:rPr>
                <w:sz w:val="20"/>
              </w:rPr>
              <w:t>Other Income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1,179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(296</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1,837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3,293</w:t>
            </w:r>
          </w:p>
        </w:tc>
        <w:tc>
          <w:tcPr>
            <w:tcW w:w="200" w:type="dxa"/>
            <w:tcBorders/>
            <w:shd w:fill="FFFFFF" w:val="clear"/>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pPr>
            <w:r>
              <w:rPr/>
              <w:t>         </w:t>
            </w:r>
            <w:r>
              <w:rPr>
                <w:b/>
                <w:sz w:val="20"/>
              </w:rPr>
              <w:t>Adjusted EBITDA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39,478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51,770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85,260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845" w:type="dxa"/>
            <w:tcBorders/>
            <w:shd w:fill="FFFFFF" w:val="clear"/>
            <w:vAlign w:val="center"/>
          </w:tcPr>
          <w:p>
            <w:pPr>
              <w:pStyle w:val="TableContents"/>
              <w:bidi w:val="0"/>
              <w:spacing w:before="0" w:after="283"/>
              <w:jc w:val="right"/>
              <w:rPr>
                <w:b/>
                <w:sz w:val="20"/>
              </w:rPr>
            </w:pPr>
            <w:r>
              <w:rPr>
                <w:b/>
                <w:sz w:val="20"/>
              </w:rPr>
              <w:t>108,198</w:t>
            </w:r>
          </w:p>
        </w:tc>
        <w:tc>
          <w:tcPr>
            <w:tcW w:w="200" w:type="dxa"/>
            <w:tcBorders/>
            <w:shd w:fill="FFFFFF" w:val="clear"/>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pPr>
            <w:r>
              <w:rPr/>
              <w:t>         </w:t>
            </w:r>
            <w:r>
              <w:rPr>
                <w:b/>
                <w:sz w:val="20"/>
              </w:rPr>
              <w:t>Adjusted EBITDA Margin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8.7</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10.1</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9.0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10.3</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57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b/>
                <w:sz w:val="20"/>
              </w:rPr>
            </w:pPr>
            <w:r>
              <w:rPr>
                <w:b/>
                <w:sz w:val="20"/>
              </w:rPr>
              <w:t>Reconciliation of Non-GAAP EPS: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b/>
                <w:sz w:val="20"/>
              </w:rPr>
            </w:pPr>
            <w:r>
              <w:rPr>
                <w:b/>
                <w:sz w:val="20"/>
              </w:rPr>
              <w:t>Net Income /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(13,008</w:t>
            </w:r>
          </w:p>
        </w:tc>
        <w:tc>
          <w:tcPr>
            <w:tcW w:w="185"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(6,724</w:t>
            </w:r>
          </w:p>
        </w:tc>
        <w:tc>
          <w:tcPr>
            <w:tcW w:w="185"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(18,185</w:t>
            </w:r>
          </w:p>
        </w:tc>
        <w:tc>
          <w:tcPr>
            <w:tcW w:w="185"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845" w:type="dxa"/>
            <w:tcBorders/>
            <w:shd w:fill="FFFFFF" w:val="clear"/>
            <w:vAlign w:val="center"/>
          </w:tcPr>
          <w:p>
            <w:pPr>
              <w:pStyle w:val="TableContents"/>
              <w:bidi w:val="0"/>
              <w:spacing w:before="0" w:after="283"/>
              <w:jc w:val="right"/>
              <w:rPr>
                <w:b/>
                <w:sz w:val="20"/>
              </w:rPr>
            </w:pPr>
            <w:r>
              <w:rPr>
                <w:b/>
                <w:sz w:val="20"/>
              </w:rPr>
              <w:t>(3,478</w:t>
            </w:r>
          </w:p>
        </w:tc>
        <w:tc>
          <w:tcPr>
            <w:tcW w:w="200" w:type="dxa"/>
            <w:tcBorders/>
            <w:shd w:fill="FFFFFF" w:val="clear"/>
            <w:vAlign w:val="center"/>
          </w:tcPr>
          <w:p>
            <w:pPr>
              <w:pStyle w:val="TableContents"/>
              <w:bidi w:val="0"/>
              <w:spacing w:before="0" w:after="283"/>
              <w:jc w:val="left"/>
              <w:rPr>
                <w:b/>
                <w:sz w:val="20"/>
              </w:rPr>
            </w:pPr>
            <w:r>
              <w:rPr>
                <w:b/>
                <w:sz w:val="20"/>
              </w:rPr>
              <w:t>)</w:t>
            </w:r>
          </w:p>
        </w:tc>
      </w:tr>
      <w:tr>
        <w:trPr/>
        <w:tc>
          <w:tcPr>
            <w:tcW w:w="5780" w:type="dxa"/>
            <w:tcBorders/>
            <w:shd w:fill="CCEEFF" w:val="clear"/>
            <w:vAlign w:val="center"/>
          </w:tcPr>
          <w:p>
            <w:pPr>
              <w:pStyle w:val="TableContents"/>
              <w:bidi w:val="0"/>
              <w:spacing w:before="0" w:after="283"/>
              <w:jc w:val="left"/>
              <w:rPr>
                <w:sz w:val="20"/>
              </w:rPr>
            </w:pPr>
            <w:r>
              <w:rPr>
                <w:sz w:val="20"/>
              </w:rPr>
              <w:t>Add:  Asset impairment and restructuring charges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4,258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1,880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6,228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4,637</w:t>
            </w:r>
          </w:p>
        </w:tc>
        <w:tc>
          <w:tcPr>
            <w:tcW w:w="200"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sz w:val="20"/>
              </w:rPr>
            </w:pPr>
            <w:r>
              <w:rPr>
                <w:sz w:val="20"/>
              </w:rPr>
              <w:t>Add:  Equity-based compensation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2,258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4,051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5,084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7,301</w:t>
            </w:r>
          </w:p>
        </w:tc>
        <w:tc>
          <w:tcPr>
            <w:tcW w:w="200" w:type="dxa"/>
            <w:tcBorders/>
            <w:shd w:fill="FFFFFF" w:val="clear"/>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sz w:val="20"/>
              </w:rPr>
            </w:pPr>
            <w:r>
              <w:rPr>
                <w:sz w:val="20"/>
              </w:rPr>
              <w:t>Add:  Amortization of purchased intangibles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7,671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7,738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15,364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15,488</w:t>
            </w:r>
          </w:p>
        </w:tc>
        <w:tc>
          <w:tcPr>
            <w:tcW w:w="200"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sz w:val="20"/>
              </w:rPr>
            </w:pPr>
            <w:r>
              <w:rPr>
                <w:sz w:val="20"/>
              </w:rPr>
              <w:t>Add:  Property costs not related to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(46</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5780" w:type="dxa"/>
            <w:tcBorders/>
            <w:shd w:fill="CCEEFF" w:val="clear"/>
            <w:vAlign w:val="center"/>
          </w:tcPr>
          <w:p>
            <w:pPr>
              <w:pStyle w:val="TableContents"/>
              <w:bidi w:val="0"/>
              <w:spacing w:before="0" w:after="283"/>
              <w:jc w:val="left"/>
              <w:rPr>
                <w:sz w:val="20"/>
              </w:rPr>
            </w:pPr>
            <w:r>
              <w:rPr>
                <w:sz w:val="20"/>
              </w:rPr>
              <w:t>Add:  Expenses related to non-binding offer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3,830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659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7,019</w:t>
            </w:r>
          </w:p>
        </w:tc>
        <w:tc>
          <w:tcPr>
            <w:tcW w:w="200"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sz w:val="20"/>
              </w:rPr>
            </w:pPr>
            <w:r>
              <w:rPr>
                <w:sz w:val="20"/>
              </w:rPr>
              <w:t>Add:  Expenses related to alternative capital structure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549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549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w:t>
            </w:r>
          </w:p>
        </w:tc>
        <w:tc>
          <w:tcPr>
            <w:tcW w:w="200" w:type="dxa"/>
            <w:tcBorders/>
            <w:shd w:fill="FFFFFF" w:val="clear"/>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sz w:val="20"/>
              </w:rPr>
            </w:pPr>
            <w:r>
              <w:rPr>
                <w:sz w:val="20"/>
              </w:rPr>
              <w:t>Add:  Gain on property sale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(179</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(135</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(629</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5780" w:type="dxa"/>
            <w:tcBorders/>
            <w:shd w:fill="FFFFFF" w:val="clear"/>
            <w:vAlign w:val="center"/>
          </w:tcPr>
          <w:p>
            <w:pPr>
              <w:pStyle w:val="TableContents"/>
              <w:bidi w:val="0"/>
              <w:spacing w:before="0" w:after="283"/>
              <w:jc w:val="left"/>
              <w:rPr>
                <w:sz w:val="20"/>
              </w:rPr>
            </w:pPr>
            <w:r>
              <w:rPr>
                <w:sz w:val="20"/>
              </w:rPr>
              <w:t>Add:  Foreign VAT (inclusive of interest)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(5,266</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(376</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(13,089</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5780" w:type="dxa"/>
            <w:tcBorders/>
            <w:shd w:fill="CCEEFF" w:val="clear"/>
            <w:vAlign w:val="center"/>
          </w:tcPr>
          <w:p>
            <w:pPr>
              <w:pStyle w:val="TableContents"/>
              <w:bidi w:val="0"/>
              <w:spacing w:before="0" w:after="283"/>
              <w:jc w:val="left"/>
              <w:rPr>
                <w:sz w:val="20"/>
              </w:rPr>
            </w:pPr>
            <w:r>
              <w:rPr>
                <w:sz w:val="20"/>
              </w:rPr>
              <w:t>Add:  Loss on sale of subsidiary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401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w:t>
            </w:r>
          </w:p>
        </w:tc>
        <w:tc>
          <w:tcPr>
            <w:tcW w:w="200"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sz w:val="20"/>
              </w:rPr>
            </w:pPr>
            <w:r>
              <w:rPr>
                <w:sz w:val="20"/>
              </w:rPr>
              <w:t>Add:  Foreign exchange loss / (gain),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(916</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3,027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(1,291</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3,777</w:t>
            </w:r>
          </w:p>
        </w:tc>
        <w:tc>
          <w:tcPr>
            <w:tcW w:w="200" w:type="dxa"/>
            <w:tcBorders/>
            <w:shd w:fill="FFFFFF" w:val="clear"/>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sz w:val="20"/>
              </w:rPr>
            </w:pPr>
            <w:r>
              <w:rPr>
                <w:sz w:val="20"/>
              </w:rPr>
              <w:t>Less:  Changes in valuation allowance, return to provision adjustments and other, and tax effects of items separately disclosed above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807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2,198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521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3,200</w:t>
            </w:r>
          </w:p>
        </w:tc>
        <w:tc>
          <w:tcPr>
            <w:tcW w:w="200" w:type="dxa"/>
            <w:tcBorders/>
            <w:shd w:fill="FFFFFF" w:val="clear"/>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Non-GAAP Net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1,619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10,555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8,819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845" w:type="dxa"/>
            <w:tcBorders/>
            <w:shd w:fill="FFFFFF" w:val="clear"/>
            <w:vAlign w:val="center"/>
          </w:tcPr>
          <w:p>
            <w:pPr>
              <w:pStyle w:val="TableContents"/>
              <w:bidi w:val="0"/>
              <w:spacing w:before="0" w:after="283"/>
              <w:jc w:val="right"/>
              <w:rPr>
                <w:b/>
                <w:sz w:val="20"/>
              </w:rPr>
            </w:pPr>
            <w:r>
              <w:rPr>
                <w:b/>
                <w:sz w:val="20"/>
              </w:rPr>
              <w:t>24,180</w:t>
            </w:r>
          </w:p>
        </w:tc>
        <w:tc>
          <w:tcPr>
            <w:tcW w:w="200" w:type="dxa"/>
            <w:tcBorders/>
            <w:shd w:fill="FFFFFF" w:val="clear"/>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pPr>
            <w:r>
              <w:rPr/>
              <w:t>             </w:t>
            </w:r>
            <w:r>
              <w:rPr>
                <w:sz w:val="20"/>
              </w:rPr>
              <w:t>Diluted shares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48,874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48,064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48,727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47,918</w:t>
            </w:r>
          </w:p>
        </w:tc>
        <w:tc>
          <w:tcPr>
            <w:tcW w:w="200" w:type="dxa"/>
            <w:tcBorders/>
            <w:shd w:fill="FFFFFF" w:val="clear"/>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pPr>
            <w:r>
              <w:rPr/>
              <w:t>         </w:t>
            </w:r>
            <w:r>
              <w:rPr>
                <w:b/>
                <w:sz w:val="20"/>
              </w:rPr>
              <w:t>Non-GAAP EPS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0.03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0.22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695" w:type="dxa"/>
            <w:tcBorders/>
            <w:shd w:fill="FFFFFF" w:val="clear"/>
            <w:vAlign w:val="center"/>
          </w:tcPr>
          <w:p>
            <w:pPr>
              <w:pStyle w:val="TableContents"/>
              <w:bidi w:val="0"/>
              <w:spacing w:before="0" w:after="283"/>
              <w:jc w:val="right"/>
              <w:rPr>
                <w:b/>
                <w:sz w:val="20"/>
              </w:rPr>
            </w:pPr>
            <w:r>
              <w:rPr>
                <w:b/>
                <w:sz w:val="20"/>
              </w:rPr>
              <w:t>0.18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845" w:type="dxa"/>
            <w:tcBorders/>
            <w:shd w:fill="FFFFFF" w:val="clear"/>
            <w:vAlign w:val="center"/>
          </w:tcPr>
          <w:p>
            <w:pPr>
              <w:pStyle w:val="TableContents"/>
              <w:bidi w:val="0"/>
              <w:spacing w:before="0" w:after="283"/>
              <w:jc w:val="right"/>
              <w:rPr>
                <w:b/>
                <w:sz w:val="20"/>
              </w:rPr>
            </w:pPr>
            <w:r>
              <w:rPr>
                <w:b/>
                <w:sz w:val="20"/>
              </w:rPr>
              <w:t>0.50</w:t>
            </w:r>
          </w:p>
        </w:tc>
        <w:tc>
          <w:tcPr>
            <w:tcW w:w="200" w:type="dxa"/>
            <w:tcBorders/>
            <w:shd w:fill="FFFFFF" w:val="clear"/>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b/>
                <w:sz w:val="20"/>
              </w:rPr>
            </w:pPr>
            <w:r>
              <w:rPr>
                <w:b/>
                <w:sz w:val="20"/>
              </w:rPr>
              <w:t>Reconciliation of Free Cash Flow:</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b/>
                <w:sz w:val="20"/>
              </w:rPr>
            </w:pPr>
            <w:r>
              <w:rPr>
                <w:b/>
                <w:sz w:val="20"/>
              </w:rPr>
              <w:t>Cash Flow From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pPr>
            <w:r>
              <w:rPr/>
              <w:t>   </w:t>
            </w:r>
            <w:r>
              <w:rPr>
                <w:sz w:val="20"/>
              </w:rPr>
              <w:t>Net (loss) /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(13,008</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(6,724</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(18,185</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sz w:val="20"/>
              </w:rPr>
            </w:pPr>
            <w:r>
              <w:rPr>
                <w:sz w:val="20"/>
              </w:rPr>
              <w:t>(3,478</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5780" w:type="dxa"/>
            <w:tcBorders/>
            <w:shd w:fill="FFFFFF" w:val="clear"/>
            <w:vAlign w:val="center"/>
          </w:tcPr>
          <w:p>
            <w:pPr>
              <w:pStyle w:val="TableContents"/>
              <w:bidi w:val="0"/>
              <w:spacing w:before="0" w:after="283"/>
              <w:jc w:val="left"/>
              <w:rPr/>
            </w:pPr>
            <w:r>
              <w:rPr/>
              <w:t>   </w:t>
            </w:r>
            <w:r>
              <w:rPr>
                <w:sz w:val="20"/>
              </w:rPr>
              <w:t>Adjustments to reconcile net income to 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pPr>
            <w:r>
              <w:rPr/>
              <w:t>          </w:t>
            </w:r>
            <w:r>
              <w:rPr>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21,141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22,888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42,446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45,586</w:t>
            </w:r>
          </w:p>
        </w:tc>
        <w:tc>
          <w:tcPr>
            <w:tcW w:w="200"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pPr>
            <w:r>
              <w:rPr/>
              <w:t>          </w:t>
            </w:r>
            <w:r>
              <w:rPr>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43,208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76,545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54,615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72,193</w:t>
            </w:r>
          </w:p>
        </w:tc>
        <w:tc>
          <w:tcPr>
            <w:tcW w:w="200" w:type="dxa"/>
            <w:tcBorders/>
            <w:shd w:fill="FFFFFF" w:val="clear"/>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pPr>
            <w:r>
              <w:rPr/>
              <w:t>   </w:t>
            </w:r>
            <w:r>
              <w:rPr>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51,341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92,709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78,876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114,301</w:t>
            </w:r>
          </w:p>
        </w:tc>
        <w:tc>
          <w:tcPr>
            <w:tcW w:w="200"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sz w:val="20"/>
              </w:rPr>
            </w:pPr>
            <w:r>
              <w:rPr>
                <w:sz w:val="20"/>
              </w:rPr>
              <w:t>Less - Total Cash Capital Expenditures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12,640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7,181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19,040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12,587</w:t>
            </w:r>
          </w:p>
        </w:tc>
        <w:tc>
          <w:tcPr>
            <w:tcW w:w="200"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pPr>
            <w:r>
              <w:rPr/>
              <w:t>        </w:t>
            </w:r>
            <w:r>
              <w:rPr>
                <w:b/>
                <w:sz w:val="20"/>
              </w:rPr>
              <w:t>Free Cash Flow</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695" w:type="dxa"/>
            <w:tcBorders/>
            <w:shd w:fill="CCEEFF" w:val="clear"/>
            <w:vAlign w:val="center"/>
          </w:tcPr>
          <w:p>
            <w:pPr>
              <w:pStyle w:val="TableContents"/>
              <w:bidi w:val="0"/>
              <w:spacing w:before="0" w:after="283"/>
              <w:jc w:val="right"/>
              <w:rPr>
                <w:b/>
                <w:sz w:val="20"/>
              </w:rPr>
            </w:pPr>
            <w:r>
              <w:rPr>
                <w:b/>
                <w:sz w:val="20"/>
              </w:rPr>
              <w:t>38,701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695" w:type="dxa"/>
            <w:tcBorders/>
            <w:shd w:fill="CCEEFF" w:val="clear"/>
            <w:vAlign w:val="center"/>
          </w:tcPr>
          <w:p>
            <w:pPr>
              <w:pStyle w:val="TableContents"/>
              <w:bidi w:val="0"/>
              <w:spacing w:before="0" w:after="283"/>
              <w:jc w:val="right"/>
              <w:rPr>
                <w:b/>
                <w:sz w:val="20"/>
              </w:rPr>
            </w:pPr>
            <w:r>
              <w:rPr>
                <w:b/>
                <w:sz w:val="20"/>
              </w:rPr>
              <w:t>85,528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695" w:type="dxa"/>
            <w:tcBorders/>
            <w:shd w:fill="CCEEFF" w:val="clear"/>
            <w:vAlign w:val="center"/>
          </w:tcPr>
          <w:p>
            <w:pPr>
              <w:pStyle w:val="TableContents"/>
              <w:bidi w:val="0"/>
              <w:spacing w:before="0" w:after="283"/>
              <w:jc w:val="right"/>
              <w:rPr>
                <w:b/>
                <w:sz w:val="20"/>
              </w:rPr>
            </w:pPr>
            <w:r>
              <w:rPr>
                <w:b/>
                <w:sz w:val="20"/>
              </w:rPr>
              <w:t>59,836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845" w:type="dxa"/>
            <w:tcBorders/>
            <w:shd w:fill="CCEEFF" w:val="clear"/>
            <w:vAlign w:val="center"/>
          </w:tcPr>
          <w:p>
            <w:pPr>
              <w:pStyle w:val="TableContents"/>
              <w:bidi w:val="0"/>
              <w:spacing w:before="0" w:after="283"/>
              <w:jc w:val="right"/>
              <w:rPr>
                <w:b/>
                <w:sz w:val="20"/>
              </w:rPr>
            </w:pPr>
            <w:r>
              <w:rPr>
                <w:b/>
                <w:sz w:val="20"/>
              </w:rPr>
              <w:t>101,714</w:t>
            </w:r>
          </w:p>
        </w:tc>
        <w:tc>
          <w:tcPr>
            <w:tcW w:w="20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Non-GAAP Income from Operations and Adjusted EBITDA by Segment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50"/>
        <w:gridCol w:w="60"/>
        <w:gridCol w:w="125"/>
        <w:gridCol w:w="590"/>
        <w:gridCol w:w="80"/>
        <w:gridCol w:w="60"/>
        <w:gridCol w:w="125"/>
        <w:gridCol w:w="590"/>
        <w:gridCol w:w="80"/>
        <w:gridCol w:w="60"/>
        <w:gridCol w:w="125"/>
        <w:gridCol w:w="590"/>
        <w:gridCol w:w="80"/>
        <w:gridCol w:w="60"/>
        <w:gridCol w:w="125"/>
        <w:gridCol w:w="590"/>
        <w:gridCol w:w="80"/>
        <w:gridCol w:w="60"/>
        <w:gridCol w:w="125"/>
        <w:gridCol w:w="590"/>
        <w:gridCol w:w="80"/>
        <w:gridCol w:w="60"/>
        <w:gridCol w:w="125"/>
        <w:gridCol w:w="590"/>
        <w:gridCol w:w="80"/>
        <w:gridCol w:w="60"/>
        <w:gridCol w:w="125"/>
        <w:gridCol w:w="590"/>
        <w:gridCol w:w="80"/>
        <w:gridCol w:w="60"/>
        <w:gridCol w:w="125"/>
        <w:gridCol w:w="590"/>
        <w:gridCol w:w="95"/>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TTEC Engage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TTEC Digital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TTEC Engage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TTEC Digital</w:t>
            </w:r>
          </w:p>
        </w:tc>
        <w:tc>
          <w:tcPr>
            <w:tcW w:w="9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Q2 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Q2 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Q2 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Q2 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YTD 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YTD 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YTD 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YTD 25</w:t>
            </w:r>
          </w:p>
        </w:tc>
        <w:tc>
          <w:tcPr>
            <w:tcW w:w="9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b/>
                <w:sz w:val="20"/>
              </w:rPr>
            </w:pPr>
            <w:r>
              <w:rPr>
                <w:b/>
                <w:sz w:val="20"/>
              </w:rPr>
              <w:t>Income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590" w:type="dxa"/>
            <w:tcBorders/>
            <w:shd w:fill="CCEEFF" w:val="clear"/>
            <w:vAlign w:val="center"/>
          </w:tcPr>
          <w:p>
            <w:pPr>
              <w:pStyle w:val="TableContents"/>
              <w:bidi w:val="0"/>
              <w:spacing w:before="0" w:after="283"/>
              <w:jc w:val="right"/>
              <w:rPr>
                <w:b/>
                <w:sz w:val="20"/>
              </w:rPr>
            </w:pPr>
            <w:r>
              <w:rPr>
                <w:b/>
                <w:sz w:val="20"/>
              </w:rPr>
              <w:t>4,304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590" w:type="dxa"/>
            <w:tcBorders/>
            <w:shd w:fill="CCEEFF" w:val="clear"/>
            <w:vAlign w:val="center"/>
          </w:tcPr>
          <w:p>
            <w:pPr>
              <w:pStyle w:val="TableContents"/>
              <w:bidi w:val="0"/>
              <w:spacing w:before="0" w:after="283"/>
              <w:jc w:val="right"/>
              <w:rPr>
                <w:b/>
                <w:sz w:val="20"/>
              </w:rPr>
            </w:pPr>
            <w:r>
              <w:rPr>
                <w:b/>
                <w:sz w:val="20"/>
              </w:rPr>
              <w:t>7,467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590" w:type="dxa"/>
            <w:tcBorders/>
            <w:shd w:fill="CCEEFF" w:val="clear"/>
            <w:vAlign w:val="center"/>
          </w:tcPr>
          <w:p>
            <w:pPr>
              <w:pStyle w:val="TableContents"/>
              <w:bidi w:val="0"/>
              <w:spacing w:before="0" w:after="283"/>
              <w:jc w:val="right"/>
              <w:rPr>
                <w:b/>
                <w:sz w:val="20"/>
              </w:rPr>
            </w:pPr>
            <w:r>
              <w:rPr>
                <w:b/>
                <w:sz w:val="20"/>
              </w:rPr>
              <w:t>6,705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590" w:type="dxa"/>
            <w:tcBorders/>
            <w:shd w:fill="CCEEFF" w:val="clear"/>
            <w:vAlign w:val="center"/>
          </w:tcPr>
          <w:p>
            <w:pPr>
              <w:pStyle w:val="TableContents"/>
              <w:bidi w:val="0"/>
              <w:spacing w:before="0" w:after="283"/>
              <w:jc w:val="right"/>
              <w:rPr>
                <w:b/>
                <w:sz w:val="20"/>
              </w:rPr>
            </w:pPr>
            <w:r>
              <w:rPr>
                <w:b/>
                <w:sz w:val="20"/>
              </w:rPr>
              <w:t>11,409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590" w:type="dxa"/>
            <w:tcBorders/>
            <w:shd w:fill="CCEEFF" w:val="clear"/>
            <w:vAlign w:val="center"/>
          </w:tcPr>
          <w:p>
            <w:pPr>
              <w:pStyle w:val="TableContents"/>
              <w:bidi w:val="0"/>
              <w:spacing w:before="0" w:after="283"/>
              <w:jc w:val="right"/>
              <w:rPr>
                <w:b/>
                <w:sz w:val="20"/>
              </w:rPr>
            </w:pPr>
            <w:r>
              <w:rPr>
                <w:b/>
                <w:sz w:val="20"/>
              </w:rPr>
              <w:t>21,440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590" w:type="dxa"/>
            <w:tcBorders/>
            <w:shd w:fill="CCEEFF" w:val="clear"/>
            <w:vAlign w:val="center"/>
          </w:tcPr>
          <w:p>
            <w:pPr>
              <w:pStyle w:val="TableContents"/>
              <w:bidi w:val="0"/>
              <w:spacing w:before="0" w:after="283"/>
              <w:jc w:val="right"/>
              <w:rPr>
                <w:b/>
                <w:sz w:val="20"/>
              </w:rPr>
            </w:pPr>
            <w:r>
              <w:rPr>
                <w:b/>
                <w:sz w:val="20"/>
              </w:rPr>
              <w:t>25,792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590" w:type="dxa"/>
            <w:tcBorders/>
            <w:shd w:fill="CCEEFF" w:val="clear"/>
            <w:vAlign w:val="center"/>
          </w:tcPr>
          <w:p>
            <w:pPr>
              <w:pStyle w:val="TableContents"/>
              <w:bidi w:val="0"/>
              <w:spacing w:before="0" w:after="283"/>
              <w:jc w:val="right"/>
              <w:rPr>
                <w:b/>
                <w:sz w:val="20"/>
              </w:rPr>
            </w:pPr>
            <w:r>
              <w:rPr>
                <w:b/>
                <w:sz w:val="20"/>
              </w:rPr>
              <w:t>8,064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590" w:type="dxa"/>
            <w:tcBorders/>
            <w:shd w:fill="CCEEFF" w:val="clear"/>
            <w:vAlign w:val="center"/>
          </w:tcPr>
          <w:p>
            <w:pPr>
              <w:pStyle w:val="TableContents"/>
              <w:bidi w:val="0"/>
              <w:spacing w:before="0" w:after="283"/>
              <w:jc w:val="right"/>
              <w:rPr>
                <w:b/>
                <w:sz w:val="20"/>
              </w:rPr>
            </w:pPr>
            <w:r>
              <w:rPr>
                <w:b/>
                <w:sz w:val="20"/>
              </w:rPr>
              <w:t>17,273</w:t>
            </w:r>
          </w:p>
        </w:tc>
        <w:tc>
          <w:tcPr>
            <w:tcW w:w="9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sz w:val="20"/>
              </w:rPr>
            </w:pPr>
            <w:r>
              <w:rPr>
                <w:sz w:val="20"/>
              </w:rPr>
              <w:t>Restructuring charges,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1,137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887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1,228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229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2,172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2,179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1,643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932</w:t>
            </w:r>
          </w:p>
        </w:tc>
        <w:tc>
          <w:tcPr>
            <w:tcW w:w="9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sz w:val="20"/>
              </w:rPr>
            </w:pPr>
            <w:r>
              <w:rPr>
                <w:sz w:val="20"/>
              </w:rPr>
              <w:t>Impairment losses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1,893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567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2,413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1,287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239</w:t>
            </w:r>
          </w:p>
        </w:tc>
        <w:tc>
          <w:tcPr>
            <w:tcW w:w="9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sz w:val="20"/>
              </w:rPr>
            </w:pPr>
            <w:r>
              <w:rPr>
                <w:sz w:val="20"/>
              </w:rPr>
              <w:t>Mexico VAT Consulting Fees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412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820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sz w:val="20"/>
              </w:rPr>
            </w:pPr>
            <w:r>
              <w:rPr>
                <w:sz w:val="20"/>
              </w:rPr>
              <w:t>Property costs not related to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(46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sz w:val="20"/>
              </w:rPr>
            </w:pPr>
            <w:r>
              <w:rPr>
                <w:sz w:val="20"/>
              </w:rPr>
              <w:t>Expenses related to non-binding offer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2,592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1,238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357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5,225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302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1,794</w:t>
            </w:r>
          </w:p>
        </w:tc>
        <w:tc>
          <w:tcPr>
            <w:tcW w:w="9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sz w:val="20"/>
              </w:rPr>
            </w:pPr>
            <w:r>
              <w:rPr>
                <w:sz w:val="20"/>
              </w:rPr>
              <w:t>Expenses related to alternative capital structure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409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409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sz w:val="20"/>
              </w:rPr>
            </w:pPr>
            <w:r>
              <w:rPr>
                <w:sz w:val="20"/>
              </w:rPr>
              <w:t>Equity-based compensation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1,762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2,417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496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1,634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3,605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4,440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1,479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2,861</w:t>
            </w:r>
          </w:p>
        </w:tc>
        <w:tc>
          <w:tcPr>
            <w:tcW w:w="9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sz w:val="20"/>
              </w:rPr>
            </w:pPr>
            <w:r>
              <w:rPr>
                <w:sz w:val="20"/>
              </w:rPr>
              <w:t>Amortization of purchased intangibles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4,022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4,082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3,649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3,656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8,065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8,149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7,299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7,339</w:t>
            </w:r>
          </w:p>
        </w:tc>
        <w:tc>
          <w:tcPr>
            <w:tcW w:w="9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         </w:t>
            </w:r>
            <w:r>
              <w:rPr>
                <w:b/>
                <w:sz w:val="20"/>
              </w:rPr>
              <w:t>Non-GAAP Income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90" w:type="dxa"/>
            <w:tcBorders/>
            <w:shd w:fill="CCEEFF" w:val="clear"/>
            <w:vAlign w:val="center"/>
          </w:tcPr>
          <w:p>
            <w:pPr>
              <w:pStyle w:val="TableContents"/>
              <w:bidi w:val="0"/>
              <w:spacing w:before="0" w:after="283"/>
              <w:jc w:val="right"/>
              <w:rPr>
                <w:sz w:val="20"/>
              </w:rPr>
            </w:pPr>
            <w:r>
              <w:rPr>
                <w:sz w:val="20"/>
              </w:rPr>
              <w:t>13,527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90" w:type="dxa"/>
            <w:tcBorders/>
            <w:shd w:fill="CCEEFF" w:val="clear"/>
            <w:vAlign w:val="center"/>
          </w:tcPr>
          <w:p>
            <w:pPr>
              <w:pStyle w:val="TableContents"/>
              <w:bidi w:val="0"/>
              <w:spacing w:before="0" w:after="283"/>
              <w:jc w:val="right"/>
              <w:rPr>
                <w:sz w:val="20"/>
              </w:rPr>
            </w:pPr>
            <w:r>
              <w:rPr>
                <w:sz w:val="20"/>
              </w:rPr>
              <w:t>18,424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90" w:type="dxa"/>
            <w:tcBorders/>
            <w:shd w:fill="CCEEFF" w:val="clear"/>
            <w:vAlign w:val="center"/>
          </w:tcPr>
          <w:p>
            <w:pPr>
              <w:pStyle w:val="TableContents"/>
              <w:bidi w:val="0"/>
              <w:spacing w:before="0" w:after="283"/>
              <w:jc w:val="right"/>
              <w:rPr>
                <w:sz w:val="20"/>
              </w:rPr>
            </w:pPr>
            <w:r>
              <w:rPr>
                <w:sz w:val="20"/>
              </w:rPr>
              <w:t>12,218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90" w:type="dxa"/>
            <w:tcBorders/>
            <w:shd w:fill="CCEEFF" w:val="clear"/>
            <w:vAlign w:val="center"/>
          </w:tcPr>
          <w:p>
            <w:pPr>
              <w:pStyle w:val="TableContents"/>
              <w:bidi w:val="0"/>
              <w:spacing w:before="0" w:after="283"/>
              <w:jc w:val="right"/>
              <w:rPr>
                <w:sz w:val="20"/>
              </w:rPr>
            </w:pPr>
            <w:r>
              <w:rPr>
                <w:sz w:val="20"/>
              </w:rPr>
              <w:t>18,363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90" w:type="dxa"/>
            <w:tcBorders/>
            <w:shd w:fill="CCEEFF" w:val="clear"/>
            <w:vAlign w:val="center"/>
          </w:tcPr>
          <w:p>
            <w:pPr>
              <w:pStyle w:val="TableContents"/>
              <w:bidi w:val="0"/>
              <w:spacing w:before="0" w:after="283"/>
              <w:jc w:val="right"/>
              <w:rPr>
                <w:sz w:val="20"/>
              </w:rPr>
            </w:pPr>
            <w:r>
              <w:rPr>
                <w:sz w:val="20"/>
              </w:rPr>
              <w:t>38,473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90" w:type="dxa"/>
            <w:tcBorders/>
            <w:shd w:fill="CCEEFF" w:val="clear"/>
            <w:vAlign w:val="center"/>
          </w:tcPr>
          <w:p>
            <w:pPr>
              <w:pStyle w:val="TableContents"/>
              <w:bidi w:val="0"/>
              <w:spacing w:before="0" w:after="283"/>
              <w:jc w:val="right"/>
              <w:rPr>
                <w:sz w:val="20"/>
              </w:rPr>
            </w:pPr>
            <w:r>
              <w:rPr>
                <w:sz w:val="20"/>
              </w:rPr>
              <w:t>47,846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90" w:type="dxa"/>
            <w:tcBorders/>
            <w:shd w:fill="CCEEFF" w:val="clear"/>
            <w:vAlign w:val="center"/>
          </w:tcPr>
          <w:p>
            <w:pPr>
              <w:pStyle w:val="TableContents"/>
              <w:bidi w:val="0"/>
              <w:spacing w:before="0" w:after="283"/>
              <w:jc w:val="right"/>
              <w:rPr>
                <w:sz w:val="20"/>
              </w:rPr>
            </w:pPr>
            <w:r>
              <w:rPr>
                <w:sz w:val="20"/>
              </w:rPr>
              <w:t>18,927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90" w:type="dxa"/>
            <w:tcBorders/>
            <w:shd w:fill="CCEEFF" w:val="clear"/>
            <w:vAlign w:val="center"/>
          </w:tcPr>
          <w:p>
            <w:pPr>
              <w:pStyle w:val="TableContents"/>
              <w:bidi w:val="0"/>
              <w:spacing w:before="0" w:after="283"/>
              <w:jc w:val="right"/>
              <w:rPr>
                <w:sz w:val="20"/>
              </w:rPr>
            </w:pPr>
            <w:r>
              <w:rPr>
                <w:sz w:val="20"/>
              </w:rPr>
              <w:t>30,438</w:t>
            </w:r>
          </w:p>
        </w:tc>
        <w:tc>
          <w:tcPr>
            <w:tcW w:w="9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sz w:val="20"/>
              </w:rPr>
            </w:pPr>
            <w:r>
              <w:rPr>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10,721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12,342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2,749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2,808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21,658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24,481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5,424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5,617</w:t>
            </w:r>
          </w:p>
        </w:tc>
        <w:tc>
          <w:tcPr>
            <w:tcW w:w="9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sz w:val="20"/>
              </w:rPr>
            </w:pPr>
            <w:r>
              <w:rPr>
                <w:sz w:val="20"/>
              </w:rPr>
              <w:t>Mexico VAT Recovery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(2,719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(34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(6,625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sz w:val="20"/>
              </w:rPr>
            </w:pPr>
            <w:r>
              <w:rPr>
                <w:sz w:val="20"/>
              </w:rPr>
              <w:t>Loss on sale of subsidiary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401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sz w:val="20"/>
              </w:rPr>
            </w:pPr>
            <w:r>
              <w:rPr>
                <w:sz w:val="20"/>
              </w:rPr>
              <w:t>Gain on Property Sale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(179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(135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(629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sz w:val="20"/>
              </w:rPr>
            </w:pPr>
            <w:r>
              <w:rPr>
                <w:sz w:val="20"/>
              </w:rPr>
              <w:t>Foreign exchange loss / (gain),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(912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2,821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206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(1,284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3,572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205</w:t>
            </w:r>
          </w:p>
        </w:tc>
        <w:tc>
          <w:tcPr>
            <w:tcW w:w="9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sz w:val="20"/>
              </w:rPr>
            </w:pPr>
            <w:r>
              <w:rPr>
                <w:sz w:val="20"/>
              </w:rPr>
              <w:t>Other Income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(207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3,498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(205</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r>
              <w:rPr>
                <w:b/>
                <w:sz w:val="20"/>
              </w:rPr>
              <w:t>Adjusted EBITDA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590" w:type="dxa"/>
            <w:tcBorders/>
            <w:shd w:fill="FFFFFF" w:val="clear"/>
            <w:vAlign w:val="center"/>
          </w:tcPr>
          <w:p>
            <w:pPr>
              <w:pStyle w:val="TableContents"/>
              <w:bidi w:val="0"/>
              <w:spacing w:before="0" w:after="283"/>
              <w:jc w:val="right"/>
              <w:rPr>
                <w:b/>
                <w:sz w:val="20"/>
              </w:rPr>
            </w:pPr>
            <w:r>
              <w:rPr>
                <w:b/>
                <w:sz w:val="20"/>
              </w:rPr>
              <w:t>24,512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590" w:type="dxa"/>
            <w:tcBorders/>
            <w:shd w:fill="FFFFFF" w:val="clear"/>
            <w:vAlign w:val="center"/>
          </w:tcPr>
          <w:p>
            <w:pPr>
              <w:pStyle w:val="TableContents"/>
              <w:bidi w:val="0"/>
              <w:spacing w:before="0" w:after="283"/>
              <w:jc w:val="right"/>
              <w:rPr>
                <w:b/>
                <w:sz w:val="20"/>
              </w:rPr>
            </w:pPr>
            <w:r>
              <w:rPr>
                <w:b/>
                <w:sz w:val="20"/>
              </w:rPr>
              <w:t>30,600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590" w:type="dxa"/>
            <w:tcBorders/>
            <w:shd w:fill="FFFFFF" w:val="clear"/>
            <w:vAlign w:val="center"/>
          </w:tcPr>
          <w:p>
            <w:pPr>
              <w:pStyle w:val="TableContents"/>
              <w:bidi w:val="0"/>
              <w:spacing w:before="0" w:after="283"/>
              <w:jc w:val="right"/>
              <w:rPr>
                <w:b/>
                <w:sz w:val="20"/>
              </w:rPr>
            </w:pPr>
            <w:r>
              <w:rPr>
                <w:b/>
                <w:sz w:val="20"/>
              </w:rPr>
              <w:t>14,966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590" w:type="dxa"/>
            <w:tcBorders/>
            <w:shd w:fill="FFFFFF" w:val="clear"/>
            <w:vAlign w:val="center"/>
          </w:tcPr>
          <w:p>
            <w:pPr>
              <w:pStyle w:val="TableContents"/>
              <w:bidi w:val="0"/>
              <w:spacing w:before="0" w:after="283"/>
              <w:jc w:val="right"/>
              <w:rPr>
                <w:b/>
                <w:sz w:val="20"/>
              </w:rPr>
            </w:pPr>
            <w:r>
              <w:rPr>
                <w:b/>
                <w:sz w:val="20"/>
              </w:rPr>
              <w:t>21,170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590" w:type="dxa"/>
            <w:tcBorders/>
            <w:shd w:fill="FFFFFF" w:val="clear"/>
            <w:vAlign w:val="center"/>
          </w:tcPr>
          <w:p>
            <w:pPr>
              <w:pStyle w:val="TableContents"/>
              <w:bidi w:val="0"/>
              <w:spacing w:before="0" w:after="283"/>
              <w:jc w:val="right"/>
              <w:rPr>
                <w:b/>
                <w:sz w:val="20"/>
              </w:rPr>
            </w:pPr>
            <w:r>
              <w:rPr>
                <w:b/>
                <w:sz w:val="20"/>
              </w:rPr>
              <w:t>60,508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590" w:type="dxa"/>
            <w:tcBorders/>
            <w:shd w:fill="FFFFFF" w:val="clear"/>
            <w:vAlign w:val="center"/>
          </w:tcPr>
          <w:p>
            <w:pPr>
              <w:pStyle w:val="TableContents"/>
              <w:bidi w:val="0"/>
              <w:spacing w:before="0" w:after="283"/>
              <w:jc w:val="right"/>
              <w:rPr>
                <w:b/>
                <w:sz w:val="20"/>
              </w:rPr>
            </w:pPr>
            <w:r>
              <w:rPr>
                <w:b/>
                <w:sz w:val="20"/>
              </w:rPr>
              <w:t>72,143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590" w:type="dxa"/>
            <w:tcBorders/>
            <w:shd w:fill="FFFFFF" w:val="clear"/>
            <w:vAlign w:val="center"/>
          </w:tcPr>
          <w:p>
            <w:pPr>
              <w:pStyle w:val="TableContents"/>
              <w:bidi w:val="0"/>
              <w:spacing w:before="0" w:after="283"/>
              <w:jc w:val="right"/>
              <w:rPr>
                <w:b/>
                <w:sz w:val="20"/>
              </w:rPr>
            </w:pPr>
            <w:r>
              <w:rPr>
                <w:b/>
                <w:sz w:val="20"/>
              </w:rPr>
              <w:t>24,752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b/>
                <w:sz w:val="20"/>
              </w:rPr>
            </w:pPr>
            <w:r>
              <w:rPr>
                <w:b/>
                <w:sz w:val="20"/>
              </w:rPr>
              <w:t>$</w:t>
            </w:r>
          </w:p>
        </w:tc>
        <w:tc>
          <w:tcPr>
            <w:tcW w:w="590" w:type="dxa"/>
            <w:tcBorders/>
            <w:shd w:fill="FFFFFF" w:val="clear"/>
            <w:vAlign w:val="center"/>
          </w:tcPr>
          <w:p>
            <w:pPr>
              <w:pStyle w:val="TableContents"/>
              <w:bidi w:val="0"/>
              <w:spacing w:before="0" w:after="283"/>
              <w:jc w:val="right"/>
              <w:rPr>
                <w:b/>
                <w:sz w:val="20"/>
              </w:rPr>
            </w:pPr>
            <w:r>
              <w:rPr>
                <w:b/>
                <w:sz w:val="20"/>
              </w:rPr>
              <w:t>36,055</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1.jpeg"/><Relationship Id="rId13" Type="http://schemas.openxmlformats.org/officeDocument/2006/relationships/image" Target="media/image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4478</Words>
  <Characters>24078</Characters>
  <CharactersWithSpaces>30703</CharactersWithSpaces>
  <Paragraphs>4027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