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85" w:before="0" w:after="600"/>
        <w:ind w:left="0" w:right="0" w:hanging="0"/>
        <w:jc w:val="left"/>
        <w:rPr/>
      </w:pPr>
      <w:hyperlink w:anchor="Toc">
        <w:bookmarkStart w:id="0" w:name="ttec-20260630x10q.htm"/>
        <w:bookmarkStart w:id="1" w:name="ksttec20260630x10q"/>
        <w:bookmarkEnd w:id="0"/>
        <w:bookmarkEnd w:id="1"/>
        <w:r>
          <w:rPr>
            <w:rStyle w:val="InternetLink"/>
            <w:rFonts w:ascii="Arial;Helvetica;sans-serif" w:hAnsi="Arial;Helvetica;sans-serif"/>
            <w:b w:val="false"/>
            <w:i w:val="false"/>
            <w:caps w:val="false"/>
            <w:smallCaps w:val="false"/>
            <w:sz w:val="20"/>
          </w:rPr>
          <w:t>Table of Contents</w:t>
        </w:r>
      </w:hyperlink>
    </w:p>
    <w:p>
      <w:pPr>
        <w:pStyle w:val="TextBody"/>
        <w:pBdr>
          <w:top w:val="single" w:sz="8" w:space="1" w:color="000000"/>
        </w:pBdr>
        <w:bidi w:val="0"/>
        <w:spacing w:lineRule="auto" w:line="285" w:before="0" w:after="0"/>
        <w:ind w:left="0" w:right="0" w:hanging="0"/>
        <w:jc w:val="center"/>
        <w:rPr>
          <w:bdr w:val="single" w:sz="24" w:space="1" w:color="000000"/>
        </w:rPr>
      </w:pPr>
      <w:r>
        <w:rPr>
          <w:bdr w:val="single" w:sz="24" w:space="1" w:color="000000"/>
        </w:rPr>
        <w:t>​</w:t>
      </w:r>
    </w:p>
    <w:p>
      <w:pPr>
        <w:pStyle w:val="TextBody"/>
        <w:bidi w:val="0"/>
        <w:spacing w:lineRule="auto" w:line="285" w:before="0" w:after="0"/>
        <w:ind w:left="0" w:right="0" w:hanging="0"/>
        <w:jc w:val="center"/>
        <w:rPr>
          <w:rFonts w:ascii="Arial;Helvetica;sans-serif" w:hAnsi="Arial;Helvetica;sans-serif"/>
          <w:b/>
          <w:sz w:val="20"/>
        </w:rPr>
      </w:pPr>
      <w:bookmarkStart w:id="2" w:name="_7c8d3264_a318_4ae6_aa54_476941c14013"/>
      <w:bookmarkEnd w:id="2"/>
      <w:r>
        <w:rPr>
          <w:rFonts w:ascii="Arial;Helvetica;sans-serif" w:hAnsi="Arial;Helvetica;sans-serif"/>
          <w:b/>
          <w:sz w:val="20"/>
        </w:rPr>
        <w:t>UNITED STATES SECURITIES AND EXCHANGE COMMISSION</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Washington, D.C. 20549</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Form 10-Q</w:t>
      </w:r>
    </w:p>
    <w:p>
      <w:pPr>
        <w:pStyle w:val="TextBody"/>
        <w:bidi w:val="0"/>
        <w:spacing w:lineRule="auto" w:line="285" w:before="0" w:after="0"/>
        <w:ind w:left="0" w:right="0" w:hanging="0"/>
        <w:jc w:val="center"/>
        <w:rPr/>
      </w:pPr>
      <w:r>
        <w:rPr/>
        <w:t>​</w:t>
      </w:r>
    </w:p>
    <w:p>
      <w:pPr>
        <w:pStyle w:val="Normal"/>
        <w:bidi w:val="0"/>
        <w:spacing w:before="0" w:after="0"/>
        <w:jc w:val="left"/>
        <w:rPr>
          <w:sz w:val="4"/>
          <w:szCs w:val="4"/>
        </w:rPr>
      </w:pPr>
      <w:r>
        <w:rPr>
          <w:sz w:val="4"/>
          <w:szCs w:val="4"/>
        </w:rPr>
      </w:r>
      <w:bookmarkStart w:id="3" w:name="Tc_kwrSSJ1FVEWauBH7aDO1kw_1_1"/>
      <w:bookmarkStart w:id="4" w:name="_d44db14b_16ee_4b02_b556_4a2f03a6ebdc"/>
      <w:bookmarkStart w:id="5" w:name="Tc_kwrSSJ1FVEWauBH7aDO1kw_1_1"/>
      <w:bookmarkStart w:id="6" w:name="_d44db14b_16ee_4b02_b556_4a2f03a6ebdc"/>
      <w:bookmarkEnd w:id="5"/>
      <w:bookmarkEnd w:id="6"/>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lineRule="auto" w:line="285" w:before="0" w:after="0"/>
              <w:ind w:left="0" w:right="0" w:hanging="0"/>
              <w:jc w:val="left"/>
              <w:rPr/>
            </w:pPr>
            <w:r>
              <w:rPr/>
              <w:t>​</w:t>
            </w:r>
          </w:p>
        </w:tc>
        <w:tc>
          <w:tcPr>
            <w:tcW w:w="9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269990" cy="175260"/>
                      <wp:effectExtent l="0" t="0" r="0" b="0"/>
                      <wp:wrapNone/>
                      <wp:docPr id="1" name="Frame1"/>
                      <a:graphic xmlns:a="http://schemas.openxmlformats.org/drawingml/2006/main">
                        <a:graphicData uri="http://schemas.microsoft.com/office/word/2010/wordprocessingShape">
                          <wps:wsp>
                            <wps:cNvSpPr txBox="1"/>
                            <wps:spPr>
                              <a:xfrm>
                                <a:off x="0" y="0"/>
                                <a:ext cx="62699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31" w:type="dxa"/>
            <w:tcBorders/>
            <w:vAlign w:val="center"/>
          </w:tcPr>
          <w:p>
            <w:pPr>
              <w:pStyle w:val="TableContents"/>
              <w:bidi w:val="0"/>
              <w:spacing w:lineRule="auto" w:line="285" w:before="0" w:after="0"/>
              <w:ind w:left="0" w:right="0" w:hanging="0"/>
              <w:jc w:val="left"/>
              <w:rPr/>
            </w:pPr>
            <w:r>
              <w:rPr/>
              <w:t>☑</w:t>
            </w:r>
          </w:p>
        </w:tc>
        <w:tc>
          <w:tcPr>
            <w:tcW w:w="9874" w:type="dxa"/>
            <w:tcBorders/>
            <w:vAlign w:val="center"/>
          </w:tcPr>
          <w:p>
            <w:pPr>
              <w:pStyle w:val="TableContents"/>
              <w:bidi w:val="0"/>
              <w:spacing w:lineRule="auto" w:line="285" w:before="0" w:after="0"/>
              <w:ind w:left="0" w:right="0" w:hanging="0"/>
              <w:jc w:val="both"/>
              <w:rPr>
                <w:rFonts w:ascii="Arial;Helvetica;sans-serif" w:hAnsi="Arial;Helvetica;sans-serif"/>
                <w:b/>
                <w:sz w:val="20"/>
              </w:rPr>
            </w:pPr>
            <w:r>
              <w:rPr>
                <w:rFonts w:ascii="Arial;Helvetica;sans-serif" w:hAnsi="Arial;Helvetica;sans-serif"/>
                <w:b/>
                <w:sz w:val="20"/>
              </w:rPr>
              <w:t>QUARTERLY REPORT PURSUANT TO SECTION 13 OR 15(d) OF THE SECURITIES EXCHANGE ACT OF 1934</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For the quarterly period ended June 30, 2026</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OR</w:t>
      </w:r>
    </w:p>
    <w:p>
      <w:pPr>
        <w:pStyle w:val="TextBody"/>
        <w:bidi w:val="0"/>
        <w:spacing w:lineRule="auto" w:line="285" w:before="0" w:after="0"/>
        <w:ind w:left="0" w:right="0" w:hanging="0"/>
        <w:jc w:val="center"/>
        <w:rPr/>
      </w:pPr>
      <w:r>
        <w:rPr/>
        <w:t>​</w:t>
      </w:r>
    </w:p>
    <w:p>
      <w:pPr>
        <w:pStyle w:val="Normal"/>
        <w:bidi w:val="0"/>
        <w:spacing w:before="0" w:after="0"/>
        <w:jc w:val="left"/>
        <w:rPr>
          <w:sz w:val="4"/>
          <w:szCs w:val="4"/>
        </w:rPr>
      </w:pPr>
      <w:r>
        <w:rPr>
          <w:sz w:val="4"/>
          <w:szCs w:val="4"/>
        </w:rPr>
      </w:r>
      <w:bookmarkStart w:id="7" w:name="Tc_zTQ8ACrBoEy6Ky5ZBz5a7Q_1_1"/>
      <w:bookmarkStart w:id="8" w:name="_68431de7_84cb_4e54_b1e2_ffd844ebdad5"/>
      <w:bookmarkStart w:id="9" w:name="Tc_zTQ8ACrBoEy6Ky5ZBz5a7Q_1_1"/>
      <w:bookmarkStart w:id="10" w:name="_68431de7_84cb_4e54_b1e2_ffd844ebdad5"/>
      <w:bookmarkEnd w:id="9"/>
      <w:bookmarkEnd w:id="10"/>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lineRule="auto" w:line="285" w:before="0" w:after="0"/>
              <w:ind w:left="0" w:right="0" w:hanging="0"/>
              <w:jc w:val="left"/>
              <w:rPr/>
            </w:pPr>
            <w:r>
              <w:rPr/>
              <w:t>​</w:t>
            </w:r>
          </w:p>
        </w:tc>
        <w:tc>
          <w:tcPr>
            <w:tcW w:w="9874" w:type="dxa"/>
            <w:tcBorders/>
            <w:vAlign w:val="center"/>
          </w:tcPr>
          <w:p>
            <w:pPr>
              <w:pStyle w:val="TableContents"/>
              <w:bidi w:val="0"/>
              <w:spacing w:lineRule="auto" w:line="285" w:before="0" w:after="0"/>
              <w:ind w:left="0" w:right="0" w:hanging="0"/>
              <w:jc w:val="left"/>
              <w:rPr/>
            </w:pPr>
            <w:r>
              <w:rPr/>
              <w:t>​</w:t>
            </w:r>
          </w:p>
        </w:tc>
      </w:tr>
      <w:tr>
        <w:trPr/>
        <w:tc>
          <w:tcPr>
            <w:tcW w:w="331" w:type="dxa"/>
            <w:tcBorders/>
            <w:vAlign w:val="center"/>
          </w:tcPr>
          <w:p>
            <w:pPr>
              <w:pStyle w:val="TableContents"/>
              <w:bidi w:val="0"/>
              <w:spacing w:lineRule="auto" w:line="285" w:before="0" w:after="0"/>
              <w:ind w:left="0" w:right="0" w:hanging="0"/>
              <w:jc w:val="left"/>
              <w:rPr/>
            </w:pPr>
            <w:r>
              <w:rPr/>
              <w:t>☐</w:t>
            </w:r>
          </w:p>
        </w:tc>
        <w:tc>
          <w:tcPr>
            <w:tcW w:w="9874" w:type="dxa"/>
            <w:tcBorders/>
            <w:vAlign w:val="center"/>
          </w:tcPr>
          <w:p>
            <w:pPr>
              <w:pStyle w:val="TableContents"/>
              <w:bidi w:val="0"/>
              <w:spacing w:lineRule="auto" w:line="285" w:before="0" w:after="0"/>
              <w:ind w:left="0" w:right="0" w:hanging="0"/>
              <w:jc w:val="left"/>
              <w:rPr>
                <w:rFonts w:ascii="Arial;Helvetica;sans-serif" w:hAnsi="Arial;Helvetica;sans-serif"/>
                <w:b/>
                <w:sz w:val="20"/>
              </w:rPr>
            </w:pPr>
            <w:r>
              <w:rPr>
                <w:rFonts w:ascii="Arial;Helvetica;sans-serif" w:hAnsi="Arial;Helvetica;sans-serif"/>
                <w:b/>
                <w:sz w:val="20"/>
              </w:rPr>
              <w:t>TRANSITION REPORT PURSUANT TO SECTION 13 OR 15(d) OF THE SECURITIES EXCHANGE ACT OF 1934</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For the transition period from          to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Commission File Number 001-11919</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Arial;Helvetica;sans-serif" w:hAnsi="Arial;Helvetica;sans-serif"/>
          <w:b/>
          <w:sz w:val="28"/>
        </w:rPr>
      </w:pPr>
      <w:r>
        <w:rPr>
          <w:rFonts w:ascii="Arial;Helvetica;sans-serif" w:hAnsi="Arial;Helvetica;sans-serif"/>
          <w:b/>
          <w:sz w:val="28"/>
        </w:rPr>
        <w:t>TTEC Holdings, Inc.</w:t>
      </w:r>
    </w:p>
    <w:p>
      <w:pPr>
        <w:pStyle w:val="TextBody"/>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(Exact name of registrant as specified in its charter)</w:t>
      </w:r>
    </w:p>
    <w:p>
      <w:pPr>
        <w:pStyle w:val="TextBody"/>
        <w:bidi w:val="0"/>
        <w:spacing w:lineRule="auto" w:line="285" w:before="0" w:after="0"/>
        <w:ind w:left="0" w:right="0" w:hanging="0"/>
        <w:jc w:val="center"/>
        <w:rPr/>
      </w:pPr>
      <w:r>
        <w:rPr/>
        <w:t>​</w:t>
      </w:r>
    </w:p>
    <w:p>
      <w:pPr>
        <w:pStyle w:val="Normal"/>
        <w:bidi w:val="0"/>
        <w:spacing w:before="0" w:after="0"/>
        <w:jc w:val="left"/>
        <w:rPr>
          <w:sz w:val="4"/>
          <w:szCs w:val="4"/>
        </w:rPr>
      </w:pPr>
      <w:r>
        <w:rPr>
          <w:sz w:val="4"/>
          <w:szCs w:val="4"/>
        </w:rPr>
      </w:r>
      <w:bookmarkStart w:id="11" w:name="Tc_jhL39bnGFEC4eSxbda82fg_3_2"/>
      <w:bookmarkStart w:id="12" w:name="Tc_R9UbyDQAyUGgN2hjRdVKYQ_3_0"/>
      <w:bookmarkStart w:id="13" w:name="Tc_m8qcruKHEEeqCo1AwwNBvg_2_2"/>
      <w:bookmarkStart w:id="14" w:name="Tc_LI4mVzQCvkuSS4MPst0AkQ_2_0"/>
      <w:bookmarkStart w:id="15" w:name="_9e498d15_433f_4ebf_aad8_1df8f202a50b"/>
      <w:bookmarkStart w:id="16" w:name="Tc_jhL39bnGFEC4eSxbda82fg_3_2"/>
      <w:bookmarkStart w:id="17" w:name="Tc_R9UbyDQAyUGgN2hjRdVKYQ_3_0"/>
      <w:bookmarkStart w:id="18" w:name="Tc_m8qcruKHEEeqCo1AwwNBvg_2_2"/>
      <w:bookmarkStart w:id="19" w:name="Tc_LI4mVzQCvkuSS4MPst0AkQ_2_0"/>
      <w:bookmarkStart w:id="20" w:name="_9e498d15_433f_4ebf_aad8_1df8f202a50b"/>
      <w:bookmarkEnd w:id="16"/>
      <w:bookmarkEnd w:id="17"/>
      <w:bookmarkEnd w:id="18"/>
      <w:bookmarkEnd w:id="19"/>
      <w:bookmarkEnd w:id="20"/>
    </w:p>
    <w:tbl>
      <w:tblPr>
        <w:tblW w:w="4221" w:type="dxa"/>
        <w:jc w:val="left"/>
        <w:tblInd w:w="0" w:type="dxa"/>
        <w:tblLayout w:type="fixed"/>
        <w:tblCellMar>
          <w:top w:w="0" w:type="dxa"/>
          <w:left w:w="0" w:type="dxa"/>
          <w:bottom w:w="0" w:type="dxa"/>
          <w:right w:w="0" w:type="dxa"/>
        </w:tblCellMar>
      </w:tblPr>
      <w:tblGrid>
        <w:gridCol w:w="2536"/>
        <w:gridCol w:w="109"/>
        <w:gridCol w:w="1576"/>
      </w:tblGrid>
      <w:tr>
        <w:trPr/>
        <w:tc>
          <w:tcPr>
            <w:tcW w:w="253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9215" cy="175260"/>
                      <wp:effectExtent l="0" t="0" r="0" b="0"/>
                      <wp:wrapNone/>
                      <wp:docPr id="2" name="Frame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76" w:type="dxa"/>
            <w:tcBorders/>
            <w:vAlign w:val="center"/>
          </w:tcPr>
          <w:p>
            <w:pPr>
              <w:pStyle w:val="TableContents"/>
              <w:bidi w:val="0"/>
              <w:spacing w:lineRule="auto" w:line="285" w:before="0" w:after="0"/>
              <w:ind w:left="0" w:right="0" w:hanging="0"/>
              <w:jc w:val="left"/>
              <w:rPr/>
            </w:pPr>
            <w:r>
              <w:rPr/>
              <w:t>​</w:t>
            </w:r>
          </w:p>
        </w:tc>
      </w:tr>
      <w:tr>
        <w:trPr/>
        <w:tc>
          <w:tcPr>
            <w:tcW w:w="2536"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Texas</w:t>
            </w:r>
          </w:p>
        </w:tc>
        <w:tc>
          <w:tcPr>
            <w:tcW w:w="109" w:type="dxa"/>
            <w:tcBorders/>
            <w:vAlign w:val="center"/>
          </w:tcPr>
          <w:p>
            <w:pPr>
              <w:pStyle w:val="TableContents"/>
              <w:bidi w:val="0"/>
              <w:spacing w:lineRule="auto" w:line="285" w:before="0" w:after="0"/>
              <w:ind w:left="0" w:right="0" w:hanging="0"/>
              <w:jc w:val="left"/>
              <w:rPr/>
            </w:pPr>
            <w:r>
              <w:rPr/>
              <w:t>​</w:t>
            </w:r>
          </w:p>
        </w:tc>
        <w:tc>
          <w:tcPr>
            <w:tcW w:w="1576"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84-1291044</w:t>
            </w:r>
          </w:p>
        </w:tc>
      </w:tr>
      <w:tr>
        <w:trPr/>
        <w:tc>
          <w:tcPr>
            <w:tcW w:w="2536" w:type="dxa"/>
            <w:tcBorders/>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(State or other jurisdiction of</w:t>
            </w:r>
          </w:p>
        </w:tc>
        <w:tc>
          <w:tcPr>
            <w:tcW w:w="109" w:type="dxa"/>
            <w:tcBorders/>
            <w:vAlign w:val="center"/>
          </w:tcPr>
          <w:p>
            <w:pPr>
              <w:pStyle w:val="TableContents"/>
              <w:bidi w:val="0"/>
              <w:spacing w:lineRule="auto" w:line="285" w:before="0" w:after="0"/>
              <w:ind w:left="0" w:right="0" w:hanging="0"/>
              <w:jc w:val="left"/>
              <w:rPr/>
            </w:pPr>
            <w:r>
              <w:rPr/>
              <w:t>​</w:t>
            </w:r>
          </w:p>
        </w:tc>
        <w:tc>
          <w:tcPr>
            <w:tcW w:w="1576" w:type="dxa"/>
            <w:tcBorders/>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(I.R.S. Employer</w:t>
            </w:r>
          </w:p>
        </w:tc>
      </w:tr>
      <w:tr>
        <w:trPr/>
        <w:tc>
          <w:tcPr>
            <w:tcW w:w="2536" w:type="dxa"/>
            <w:tcBorders/>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incorporation or organization)</w:t>
            </w:r>
          </w:p>
        </w:tc>
        <w:tc>
          <w:tcPr>
            <w:tcW w:w="109" w:type="dxa"/>
            <w:tcBorders/>
            <w:vAlign w:val="center"/>
          </w:tcPr>
          <w:p>
            <w:pPr>
              <w:pStyle w:val="TableContents"/>
              <w:bidi w:val="0"/>
              <w:spacing w:lineRule="auto" w:line="285" w:before="0" w:after="0"/>
              <w:ind w:left="0" w:right="0" w:hanging="0"/>
              <w:jc w:val="left"/>
              <w:rPr/>
            </w:pPr>
            <w:r>
              <w:rPr/>
              <w:t>​</w:t>
            </w:r>
          </w:p>
        </w:tc>
        <w:tc>
          <w:tcPr>
            <w:tcW w:w="1576" w:type="dxa"/>
            <w:tcBorders/>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Identification No.)</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100 Congress Avenue, Suite 1425</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b/>
          <w:sz w:val="18"/>
        </w:rPr>
        <w:t>Austin, Texas</w:t>
      </w:r>
      <w:r>
        <w:rPr>
          <w:rFonts w:ascii="Arial;Helvetica;sans-serif" w:hAnsi="Arial;Helvetica;sans-serif"/>
          <w:sz w:val="20"/>
        </w:rPr>
        <w:t xml:space="preserve"> </w:t>
      </w:r>
      <w:r>
        <w:rPr>
          <w:rFonts w:ascii="Arial;Helvetica;sans-serif" w:hAnsi="Arial;Helvetica;sans-serif"/>
          <w:b/>
          <w:sz w:val="18"/>
        </w:rPr>
        <w:t>78701</w:t>
      </w:r>
    </w:p>
    <w:p>
      <w:pPr>
        <w:pStyle w:val="TextBody"/>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(Address of principal executive offices)</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Registrant’s telephone number, including area code: (303) 397-8100</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Securities registered pursuant to Section 12(b) of the Act:</w:t>
      </w:r>
    </w:p>
    <w:p>
      <w:pPr>
        <w:pStyle w:val="Normal"/>
        <w:bidi w:val="0"/>
        <w:spacing w:before="0" w:after="0"/>
        <w:jc w:val="left"/>
        <w:rPr>
          <w:sz w:val="4"/>
          <w:szCs w:val="4"/>
        </w:rPr>
      </w:pPr>
      <w:r>
        <w:rPr>
          <w:sz w:val="4"/>
          <w:szCs w:val="4"/>
        </w:rPr>
      </w:r>
      <w:bookmarkStart w:id="21" w:name="Tc_vJAD1mUjNEuP-nmfGKBfaQ_1_2"/>
      <w:bookmarkStart w:id="22" w:name="Tc_5CBWIMT9zU22naKFN1jp4Q_1_1"/>
      <w:bookmarkStart w:id="23" w:name="Tc_n5Us05EbTkC4EtR1jtJ_fA_1_0"/>
      <w:bookmarkStart w:id="24" w:name="_d72b2b70_322f_4cda_bfdc_62d268638083"/>
      <w:bookmarkStart w:id="25" w:name="Tc_vJAD1mUjNEuP-nmfGKBfaQ_1_2"/>
      <w:bookmarkStart w:id="26" w:name="Tc_5CBWIMT9zU22naKFN1jp4Q_1_1"/>
      <w:bookmarkStart w:id="27" w:name="Tc_n5Us05EbTkC4EtR1jtJ_fA_1_0"/>
      <w:bookmarkStart w:id="28" w:name="_d72b2b70_322f_4cda_bfdc_62d268638083"/>
      <w:bookmarkEnd w:id="25"/>
      <w:bookmarkEnd w:id="26"/>
      <w:bookmarkEnd w:id="27"/>
      <w:bookmarkEnd w:id="28"/>
    </w:p>
    <w:tbl>
      <w:tblPr>
        <w:tblW w:w="7803" w:type="dxa"/>
        <w:jc w:val="left"/>
        <w:tblInd w:w="0" w:type="dxa"/>
        <w:tblLayout w:type="fixed"/>
        <w:tblCellMar>
          <w:top w:w="0" w:type="dxa"/>
          <w:left w:w="0" w:type="dxa"/>
          <w:bottom w:w="0" w:type="dxa"/>
          <w:right w:w="0" w:type="dxa"/>
        </w:tblCellMar>
      </w:tblPr>
      <w:tblGrid>
        <w:gridCol w:w="2566"/>
        <w:gridCol w:w="1576"/>
        <w:gridCol w:w="3661"/>
      </w:tblGrid>
      <w:tr>
        <w:trPr/>
        <w:tc>
          <w:tcPr>
            <w:tcW w:w="2566" w:type="dxa"/>
            <w:tcBorders/>
            <w:vAlign w:val="center"/>
          </w:tcPr>
          <w:p>
            <w:pPr>
              <w:pStyle w:val="TableContents"/>
              <w:bidi w:val="0"/>
              <w:spacing w:lineRule="auto" w:line="285" w:before="0" w:after="0"/>
              <w:ind w:left="0" w:right="0" w:hanging="0"/>
              <w:jc w:val="left"/>
              <w:rPr/>
            </w:pPr>
            <w:r>
              <w:rPr/>
              <w:t>​</w:t>
            </w:r>
          </w:p>
        </w:tc>
        <w:tc>
          <w:tcPr>
            <w:tcW w:w="1576" w:type="dxa"/>
            <w:tcBorders/>
            <w:vAlign w:val="center"/>
          </w:tcPr>
          <w:p>
            <w:pPr>
              <w:pStyle w:val="TableContents"/>
              <w:bidi w:val="0"/>
              <w:spacing w:lineRule="auto" w:line="285" w:before="0" w:after="0"/>
              <w:ind w:left="0" w:right="0" w:hanging="0"/>
              <w:jc w:val="left"/>
              <w:rPr/>
            </w:pPr>
            <w:r>
              <w:rPr/>
              <w:t>​</w:t>
            </w:r>
          </w:p>
        </w:tc>
        <w:tc>
          <w:tcPr>
            <w:tcW w:w="3661" w:type="dxa"/>
            <w:tcBorders/>
            <w:vAlign w:val="center"/>
          </w:tcPr>
          <w:p>
            <w:pPr>
              <w:pStyle w:val="TableContents"/>
              <w:bidi w:val="0"/>
              <w:spacing w:lineRule="auto" w:line="285" w:before="0" w:after="0"/>
              <w:ind w:left="0" w:right="0" w:hanging="0"/>
              <w:jc w:val="left"/>
              <w:rPr/>
            </w:pPr>
            <w:r>
              <w:rPr/>
              <w:t>​</w:t>
            </w:r>
          </w:p>
        </w:tc>
      </w:tr>
      <w:tr>
        <w:trPr/>
        <w:tc>
          <w:tcPr>
            <w:tcW w:w="256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40"/>
              <w:ind w:left="0" w:right="0" w:hanging="0"/>
              <w:jc w:val="center"/>
              <w:rPr>
                <w:rFonts w:ascii="Arial;Helvetica;sans-serif" w:hAnsi="Arial;Helvetica;sans-serif"/>
                <w:b/>
                <w:sz w:val="16"/>
              </w:rPr>
            </w:pPr>
            <w:r>
              <w:rPr>
                <w:rFonts w:ascii="Arial;Helvetica;sans-serif" w:hAnsi="Arial;Helvetica;sans-serif"/>
                <w:b/>
                <w:sz w:val="16"/>
              </w:rPr>
              <w:t>Title of each Class</w:t>
            </w:r>
          </w:p>
        </w:tc>
        <w:tc>
          <w:tcPr>
            <w:tcW w:w="157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40"/>
              <w:ind w:left="0" w:right="0" w:hanging="0"/>
              <w:jc w:val="center"/>
              <w:rPr>
                <w:rFonts w:ascii="Arial;Helvetica;sans-serif" w:hAnsi="Arial;Helvetica;sans-serif"/>
                <w:b/>
                <w:sz w:val="16"/>
              </w:rPr>
            </w:pPr>
            <w:r>
              <w:rPr>
                <w:rFonts w:ascii="Arial;Helvetica;sans-serif" w:hAnsi="Arial;Helvetica;sans-serif"/>
                <w:b/>
                <w:sz w:val="16"/>
              </w:rPr>
              <w:t>Trading Symbol(s)</w:t>
            </w:r>
          </w:p>
        </w:tc>
        <w:tc>
          <w:tcPr>
            <w:tcW w:w="366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40"/>
              <w:ind w:left="0" w:right="0" w:hanging="0"/>
              <w:jc w:val="center"/>
              <w:rPr>
                <w:rFonts w:ascii="Arial;Helvetica;sans-serif" w:hAnsi="Arial;Helvetica;sans-serif"/>
                <w:b/>
                <w:sz w:val="16"/>
              </w:rPr>
            </w:pPr>
            <w:r>
              <w:rPr>
                <w:rFonts w:ascii="Arial;Helvetica;sans-serif" w:hAnsi="Arial;Helvetica;sans-serif"/>
                <w:b/>
                <w:sz w:val="16"/>
              </w:rPr>
              <w:t>Name of each exchange on which registered</w:t>
            </w:r>
          </w:p>
        </w:tc>
      </w:tr>
      <w:tr>
        <w:trPr/>
        <w:tc>
          <w:tcPr>
            <w:tcW w:w="256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40" w:after="0"/>
              <w:ind w:left="0" w:right="0" w:hanging="0"/>
              <w:jc w:val="center"/>
              <w:rPr>
                <w:rFonts w:ascii="Arial;Helvetica;sans-serif" w:hAnsi="Arial;Helvetica;sans-serif"/>
                <w:sz w:val="14"/>
              </w:rPr>
            </w:pPr>
            <w:r>
              <w:rPr>
                <w:rFonts w:ascii="Arial;Helvetica;sans-serif" w:hAnsi="Arial;Helvetica;sans-serif"/>
                <w:sz w:val="14"/>
              </w:rPr>
              <w:t xml:space="preserve">Common stock of TTEC Holdings, Inc., </w:t>
              <w:br/>
              <w:t>$0.01 par value per share</w:t>
            </w:r>
          </w:p>
        </w:tc>
        <w:tc>
          <w:tcPr>
            <w:tcW w:w="157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40" w:after="0"/>
              <w:ind w:left="0" w:right="0" w:hanging="0"/>
              <w:jc w:val="center"/>
              <w:rPr>
                <w:rFonts w:ascii="Arial;Helvetica;sans-serif" w:hAnsi="Arial;Helvetica;sans-serif"/>
                <w:sz w:val="14"/>
              </w:rPr>
            </w:pPr>
            <w:r>
              <w:rPr>
                <w:rFonts w:ascii="Arial;Helvetica;sans-serif" w:hAnsi="Arial;Helvetica;sans-serif"/>
                <w:sz w:val="14"/>
              </w:rPr>
              <w:t>TTEC</w:t>
            </w:r>
          </w:p>
        </w:tc>
        <w:tc>
          <w:tcPr>
            <w:tcW w:w="366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40" w:after="0"/>
              <w:ind w:left="0" w:right="0" w:hanging="0"/>
              <w:jc w:val="center"/>
              <w:rPr>
                <w:rFonts w:ascii="Arial;Helvetica;sans-serif" w:hAnsi="Arial;Helvetica;sans-serif"/>
                <w:sz w:val="14"/>
              </w:rPr>
            </w:pPr>
            <w:r>
              <w:rPr>
                <w:rFonts w:ascii="Arial;Helvetica;sans-serif" w:hAnsi="Arial;Helvetica;sans-serif"/>
                <w:sz w:val="14"/>
              </w:rPr>
              <w:t>NASDAQ</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18"/>
        </w:rPr>
        <w:t>Yes</w:t>
      </w:r>
      <w:r>
        <w:rPr>
          <w:rFonts w:ascii="Arial;Helvetica;sans-serif" w:hAnsi="Arial;Helvetica;sans-serif"/>
          <w:sz w:val="20"/>
        </w:rPr>
        <w:t xml:space="preserve"> ☑   </w:t>
      </w:r>
      <w:r>
        <w:rPr>
          <w:rFonts w:ascii="Arial;Helvetica;sans-serif" w:hAnsi="Arial;Helvetica;sans-serif"/>
          <w:sz w:val="18"/>
        </w:rPr>
        <w:t xml:space="preserve">No </w:t>
      </w:r>
      <w:r>
        <w:rPr>
          <w:rFonts w:ascii="Arial;Helvetica;sans-serif" w:hAnsi="Arial;Helvetica;sans-serif"/>
          <w:sz w:val="20"/>
        </w:rPr>
        <w:t>☐</w:t>
      </w:r>
    </w:p>
    <w:p>
      <w:pPr>
        <w:pStyle w:val="TextBody"/>
        <w:bidi w:val="0"/>
        <w:spacing w:lineRule="auto" w:line="285" w:before="0" w:after="0"/>
        <w:ind w:left="0" w:right="0" w:hanging="0"/>
        <w:jc w:val="left"/>
        <w:rPr/>
      </w:pPr>
      <w:r>
        <w:rPr/>
        <w:t>​</w:t>
      </w:r>
    </w:p>
    <w:p>
      <w:pPr>
        <w:pStyle w:val="TextBody"/>
        <w:bidi w:val="0"/>
        <w:spacing w:lineRule="auto" w:line="300" w:before="0" w:after="0"/>
        <w:ind w:left="0" w:right="0" w:hanging="0"/>
        <w:jc w:val="left"/>
        <w:rPr>
          <w:rFonts w:ascii="Arial;Helvetica;sans-serif" w:hAnsi="Arial;Helvetica;sans-serif"/>
          <w:sz w:val="20"/>
        </w:rPr>
      </w:pPr>
      <w:r>
        <w:rPr>
          <w:rFonts w:ascii="Arial;Helvetica;sans-serif" w:hAnsi="Arial;Helvetica;san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Arial;Helvetica;sans-serif" w:hAnsi="Arial;Helvetica;sans-serif"/>
          <w:sz w:val="20"/>
        </w:rPr>
        <w:t xml:space="preserve"> ☑   </w:t>
      </w:r>
      <w:r>
        <w:rPr>
          <w:rFonts w:ascii="Arial;Helvetica;sans-serif" w:hAnsi="Arial;Helvetica;sans-serif"/>
          <w:sz w:val="18"/>
        </w:rPr>
        <w:t xml:space="preserve">No </w:t>
      </w:r>
      <w:r>
        <w:rPr>
          <w:rFonts w:ascii="Arial;Helvetica;sans-serif" w:hAnsi="Arial;Helvetica;sans-serif"/>
          <w:sz w:val="20"/>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5" w:before="0" w:after="0"/>
        <w:ind w:left="0" w:right="0" w:hanging="0"/>
        <w:jc w:val="left"/>
        <w:rPr/>
      </w:pPr>
      <w:r>
        <w:rPr/>
        <w:t>​</w:t>
      </w:r>
    </w:p>
    <w:tbl>
      <w:tblPr>
        <w:tblW w:w="8915" w:type="dxa"/>
        <w:jc w:val="left"/>
        <w:tblInd w:w="0" w:type="dxa"/>
        <w:tblLayout w:type="fixed"/>
        <w:tblCellMar>
          <w:top w:w="0" w:type="dxa"/>
          <w:left w:w="0" w:type="dxa"/>
          <w:bottom w:w="0" w:type="dxa"/>
          <w:right w:w="0" w:type="dxa"/>
        </w:tblCellMar>
      </w:tblPr>
      <w:tblGrid>
        <w:gridCol w:w="2236"/>
        <w:gridCol w:w="514"/>
        <w:gridCol w:w="1211"/>
        <w:gridCol w:w="1052"/>
        <w:gridCol w:w="1033"/>
        <w:gridCol w:w="1914"/>
        <w:gridCol w:w="801"/>
        <w:gridCol w:w="154"/>
      </w:tblGrid>
      <w:tr>
        <w:trPr/>
        <w:tc>
          <w:tcPr>
            <w:tcW w:w="2750" w:type="dxa"/>
            <w:gridSpan w:val="2"/>
            <w:tcBorders/>
            <w:vAlign w:val="center"/>
          </w:tcPr>
          <w:p>
            <w:pPr>
              <w:pStyle w:val="TableContents"/>
              <w:bidi w:val="0"/>
              <w:spacing w:before="0" w:after="283"/>
              <w:ind w:left="0" w:right="0" w:hanging="0"/>
              <w:jc w:val="left"/>
              <w:rPr>
                <w:sz w:val="4"/>
                <w:szCs w:val="4"/>
              </w:rPr>
            </w:pPr>
            <w:r>
              <w:rPr>
                <w:sz w:val="4"/>
                <w:szCs w:val="4"/>
              </w:rPr>
            </w:r>
          </w:p>
        </w:tc>
        <w:tc>
          <w:tcPr>
            <w:tcW w:w="2263" w:type="dxa"/>
            <w:gridSpan w:val="2"/>
            <w:tcBorders/>
            <w:vAlign w:val="center"/>
          </w:tcPr>
          <w:p>
            <w:pPr>
              <w:pStyle w:val="TableContents"/>
              <w:bidi w:val="0"/>
              <w:spacing w:before="0" w:after="283"/>
              <w:ind w:left="0" w:right="0" w:hanging="0"/>
              <w:jc w:val="left"/>
              <w:rPr>
                <w:sz w:val="4"/>
                <w:szCs w:val="4"/>
              </w:rPr>
            </w:pPr>
            <w:r>
              <w:rPr>
                <w:sz w:val="4"/>
                <w:szCs w:val="4"/>
              </w:rPr>
            </w:r>
          </w:p>
        </w:tc>
        <w:tc>
          <w:tcPr>
            <w:tcW w:w="2947" w:type="dxa"/>
            <w:gridSpan w:val="2"/>
            <w:tcBorders/>
            <w:vAlign w:val="center"/>
          </w:tcPr>
          <w:p>
            <w:pPr>
              <w:pStyle w:val="TableContents"/>
              <w:bidi w:val="0"/>
              <w:spacing w:before="0" w:after="283"/>
              <w:ind w:left="0" w:right="0" w:hanging="0"/>
              <w:jc w:val="left"/>
              <w:rPr>
                <w:sz w:val="4"/>
                <w:szCs w:val="4"/>
              </w:rPr>
            </w:pPr>
            <w:r>
              <w:rPr>
                <w:sz w:val="4"/>
                <w:szCs w:val="4"/>
              </w:rPr>
            </w:r>
          </w:p>
        </w:tc>
        <w:tc>
          <w:tcPr>
            <w:tcW w:w="955"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223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Large Accelerated Filer ☐</w:t>
            </w:r>
          </w:p>
        </w:tc>
        <w:tc>
          <w:tcPr>
            <w:tcW w:w="1725" w:type="dxa"/>
            <w:gridSpan w:val="2"/>
            <w:tcBorders/>
            <w:vAlign w:val="center"/>
          </w:tcPr>
          <w:p>
            <w:pPr>
              <w:pStyle w:val="TableContents"/>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18"/>
              </w:rPr>
              <w:t>Accelerated Filer</w:t>
            </w:r>
            <w:r>
              <w:rPr>
                <w:rFonts w:ascii="Arial;Helvetica;sans-serif" w:hAnsi="Arial;Helvetica;sans-serif"/>
                <w:sz w:val="20"/>
              </w:rPr>
              <w:t> ☑</w:t>
            </w:r>
          </w:p>
        </w:tc>
        <w:tc>
          <w:tcPr>
            <w:tcW w:w="2085" w:type="dxa"/>
            <w:gridSpan w:val="2"/>
            <w:tcBorders/>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Non-accelerated Filer ☐</w:t>
            </w:r>
          </w:p>
        </w:tc>
        <w:tc>
          <w:tcPr>
            <w:tcW w:w="2715" w:type="dxa"/>
            <w:gridSpan w:val="2"/>
            <w:tcBorders/>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18"/>
              </w:rPr>
              <w:t>Smaller Reporting Company </w:t>
            </w:r>
            <w:r>
              <w:rPr>
                <w:rFonts w:ascii="Arial;Helvetica;sans-serif" w:hAnsi="Arial;Helvetica;sans-serif"/>
                <w:sz w:val="20"/>
              </w:rPr>
              <w:t xml:space="preserve">☑ </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2236" w:type="dxa"/>
            <w:tcBorders/>
            <w:vAlign w:val="center"/>
          </w:tcPr>
          <w:p>
            <w:pPr>
              <w:pStyle w:val="TableContents"/>
              <w:bidi w:val="0"/>
              <w:spacing w:lineRule="auto" w:line="285" w:before="0" w:after="0"/>
              <w:ind w:left="0" w:right="0" w:hanging="0"/>
              <w:jc w:val="center"/>
              <w:rPr/>
            </w:pPr>
            <w:r>
              <w:rPr/>
              <w:t>​</w:t>
            </w:r>
          </w:p>
        </w:tc>
        <w:tc>
          <w:tcPr>
            <w:tcW w:w="1725" w:type="dxa"/>
            <w:gridSpan w:val="2"/>
            <w:tcBorders/>
            <w:vAlign w:val="center"/>
          </w:tcPr>
          <w:p>
            <w:pPr>
              <w:pStyle w:val="TableContents"/>
              <w:bidi w:val="0"/>
              <w:spacing w:lineRule="auto" w:line="285" w:before="0" w:after="0"/>
              <w:ind w:left="0" w:right="0" w:hanging="0"/>
              <w:jc w:val="center"/>
              <w:rPr/>
            </w:pPr>
            <w:r>
              <w:rPr/>
              <w:t>​</w:t>
            </w:r>
          </w:p>
        </w:tc>
        <w:tc>
          <w:tcPr>
            <w:tcW w:w="2085" w:type="dxa"/>
            <w:gridSpan w:val="2"/>
            <w:tcBorders/>
            <w:vAlign w:val="center"/>
          </w:tcPr>
          <w:p>
            <w:pPr>
              <w:pStyle w:val="TableContents"/>
              <w:bidi w:val="0"/>
              <w:spacing w:before="0" w:after="283"/>
              <w:ind w:left="0" w:right="0" w:hanging="0"/>
              <w:jc w:val="left"/>
              <w:rPr>
                <w:sz w:val="4"/>
                <w:szCs w:val="4"/>
              </w:rPr>
            </w:pPr>
            <w:r>
              <w:rPr>
                <w:sz w:val="4"/>
                <w:szCs w:val="4"/>
              </w:rPr>
            </w:r>
          </w:p>
        </w:tc>
        <w:tc>
          <w:tcPr>
            <w:tcW w:w="2715" w:type="dxa"/>
            <w:gridSpan w:val="2"/>
            <w:tcBorders/>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18"/>
              </w:rPr>
              <w:t>Emerging Growth Company </w:t>
            </w:r>
            <w:r>
              <w:rPr>
                <w:rFonts w:ascii="Arial;Helvetica;sans-serif" w:hAnsi="Arial;Helvetica;sans-serif"/>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Arial;Helvetica;sans-serif" w:hAnsi="Arial;Helvetica;sans-serif"/>
          <w:sz w:val="18"/>
        </w:rPr>
      </w:pPr>
      <w:bookmarkStart w:id="29" w:name="_Hlk7619197"/>
      <w:bookmarkEnd w:id="29"/>
      <w:r>
        <w:rPr>
          <w:rFonts w:ascii="Arial;Helvetica;sans-serif" w:hAnsi="Arial;Helvetica;sans-serif"/>
          <w:sz w:val="18"/>
        </w:rPr>
        <w:t>Indicate by check mark whether the registrant is a shell company (as defined in Rule 12b-2 of the Exchange Act).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18"/>
        </w:rPr>
        <w:t xml:space="preserve">Yes </w:t>
      </w:r>
      <w:r>
        <w:rPr>
          <w:rFonts w:ascii="Arial;Helvetica;sans-serif" w:hAnsi="Arial;Helvetica;sans-serif"/>
          <w:sz w:val="20"/>
        </w:rPr>
        <w:t xml:space="preserve">☐   </w:t>
      </w:r>
      <w:r>
        <w:rPr>
          <w:rFonts w:ascii="Arial;Helvetica;sans-serif" w:hAnsi="Arial;Helvetica;sans-serif"/>
          <w:sz w:val="18"/>
        </w:rPr>
        <w:t xml:space="preserve">No </w:t>
      </w:r>
      <w:r>
        <w:rPr>
          <w:rFonts w:ascii="Arial;Helvetica;sans-serif" w:hAnsi="Arial;Helvetica;sans-serif"/>
          <w:sz w:val="20"/>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sz w:val="16"/>
        </w:rPr>
      </w:pPr>
      <w:r>
        <w:rPr>
          <w:rFonts w:ascii="Arial;Helvetica;sans-serif" w:hAnsi="Arial;Helvetica;sans-serif"/>
          <w:sz w:val="18"/>
        </w:rPr>
        <w:t>As of July 31, 2026, there were 49,295,940</w:t>
      </w:r>
      <w:r>
        <w:rPr>
          <w:rFonts w:ascii="Arial;Helvetica;sans-serif" w:hAnsi="Arial;Helvetica;sans-serif"/>
          <w:sz w:val="16"/>
        </w:rPr>
        <w:t xml:space="preserve"> </w:t>
      </w:r>
      <w:r>
        <w:rPr>
          <w:rFonts w:ascii="Arial;Helvetica;sans-serif" w:hAnsi="Arial;Helvetica;sans-serif"/>
          <w:sz w:val="18"/>
        </w:rPr>
        <w:t>shares of the registrant’s common stock outstanding.</w:t>
      </w:r>
    </w:p>
    <w:p>
      <w:pPr>
        <w:pStyle w:val="TextBody"/>
        <w:pBdr>
          <w:bottom w:val="single" w:sz="8" w:space="1" w:color="000000"/>
        </w:pBdr>
        <w:bidi w:val="0"/>
        <w:spacing w:lineRule="auto" w:line="285" w:before="0" w:after="0"/>
        <w:ind w:left="0" w:right="0" w:hanging="0"/>
        <w:jc w:val="left"/>
        <w:rPr>
          <w:bdr w:val="single" w:sz="24" w:space="1" w:color="000000"/>
        </w:rPr>
      </w:pPr>
      <w:r>
        <w:rPr>
          <w:bdr w:val="single" w:sz="24" w:space="1" w:color="000000"/>
        </w:rPr>
        <w:t>​</w:t>
      </w:r>
    </w:p>
    <w:p>
      <w:pPr>
        <w:pStyle w:val="TextBody"/>
        <w:bidi w:val="0"/>
        <w:spacing w:lineRule="auto" w:line="285" w:before="0" w:after="0"/>
        <w:ind w:left="0" w:right="0" w:hanging="0"/>
        <w:jc w:val="left"/>
        <w:rPr/>
      </w:pPr>
      <w:r>
        <w:rPr/>
        <w:t>​</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0"/>
        <w:ind w:left="0" w:right="0" w:hanging="0"/>
        <w:jc w:val="center"/>
        <w:rPr>
          <w:rFonts w:ascii="Arial;Helvetica;sans-serif" w:hAnsi="Arial;Helvetica;sans-serif"/>
          <w:b/>
          <w:sz w:val="20"/>
        </w:rPr>
      </w:pPr>
      <w:bookmarkStart w:id="30" w:name="_c178a801_22cf_41af_8f91_41b97f8f0cf0"/>
      <w:bookmarkEnd w:id="30"/>
      <w:r>
        <w:rPr>
          <w:rFonts w:ascii="Arial;Helvetica;sans-serif" w:hAnsi="Arial;Helvetica;sans-serif"/>
          <w:b/>
          <w:sz w:val="20"/>
        </w:rPr>
        <w:t>TTEC HOLDINGS, INC. AND SUBSIDIARIES</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JUNE 30, 2026 FORM 10-Q</w:t>
      </w:r>
    </w:p>
    <w:p>
      <w:pPr>
        <w:pStyle w:val="TextBody"/>
        <w:bidi w:val="0"/>
        <w:spacing w:lineRule="auto" w:line="285" w:before="0" w:after="0"/>
        <w:ind w:left="0" w:right="0" w:hanging="0"/>
        <w:jc w:val="center"/>
        <w:rPr>
          <w:rFonts w:ascii="Arial;Helvetica;sans-serif" w:hAnsi="Arial;Helvetica;sans-serif"/>
          <w:b/>
          <w:sz w:val="20"/>
        </w:rPr>
      </w:pPr>
      <w:bookmarkStart w:id="31" w:name="Toc"/>
      <w:bookmarkEnd w:id="31"/>
      <w:r>
        <w:rPr>
          <w:rFonts w:ascii="Arial;Helvetica;sans-serif" w:hAnsi="Arial;Helvetica;sans-serif"/>
          <w:b/>
          <w:sz w:val="20"/>
        </w:rPr>
        <w:t>TABLE OF CONTENTS</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71"/>
        <w:gridCol w:w="8343"/>
        <w:gridCol w:w="991"/>
      </w:tblGrid>
      <w:tr>
        <w:trPr/>
        <w:tc>
          <w:tcPr>
            <w:tcW w:w="871" w:type="dxa"/>
            <w:tcBorders/>
            <w:vAlign w:val="center"/>
          </w:tcPr>
          <w:p>
            <w:pPr>
              <w:pStyle w:val="TableContents"/>
              <w:bidi w:val="0"/>
              <w:spacing w:lineRule="auto" w:line="285" w:before="0" w:after="0"/>
              <w:ind w:left="0" w:right="0" w:hanging="0"/>
              <w:jc w:val="left"/>
              <w:rPr/>
            </w:pPr>
            <w:r>
              <w:rPr/>
              <w:t>​</w:t>
            </w:r>
          </w:p>
        </w:tc>
        <w:tc>
          <w:tcPr>
            <w:tcW w:w="8343" w:type="dxa"/>
            <w:tcBorders/>
            <w:vAlign w:val="center"/>
          </w:tcPr>
          <w:p>
            <w:pPr>
              <w:pStyle w:val="TableContents"/>
              <w:bidi w:val="0"/>
              <w:spacing w:lineRule="auto" w:line="285" w:before="0" w:after="0"/>
              <w:ind w:left="0" w:right="0" w:hanging="0"/>
              <w:jc w:val="left"/>
              <w:rPr/>
            </w:pPr>
            <w:r>
              <w:rPr/>
              <w:t>​</w: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29285" cy="175260"/>
                      <wp:effectExtent l="0" t="0" r="0" b="0"/>
                      <wp:wrapNone/>
                      <wp:docPr id="3" name="Frame3"/>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871" w:type="dxa"/>
            <w:tcBorders/>
            <w:vAlign w:val="center"/>
          </w:tcPr>
          <w:p>
            <w:pPr>
              <w:pStyle w:val="TableContents"/>
              <w:bidi w:val="0"/>
              <w:spacing w:lineRule="auto" w:line="285" w:before="0" w:after="0"/>
              <w:ind w:left="0" w:right="0" w:hanging="0"/>
              <w:jc w:val="left"/>
              <w:rPr/>
            </w:pPr>
            <w:r>
              <w:rPr/>
              <w:t>​</w:t>
            </w:r>
          </w:p>
        </w:tc>
        <w:tc>
          <w:tcPr>
            <w:tcW w:w="8343" w:type="dxa"/>
            <w:tcBorders/>
            <w:vAlign w:val="center"/>
          </w:tcPr>
          <w:p>
            <w:pPr>
              <w:pStyle w:val="TableContents"/>
              <w:bidi w:val="0"/>
              <w:spacing w:lineRule="auto" w:line="285" w:before="0" w:after="0"/>
              <w:ind w:left="0" w:right="0" w:hanging="0"/>
              <w:jc w:val="left"/>
              <w:rPr/>
            </w:pPr>
            <w:r>
              <w:rPr/>
              <w:t>​</w:t>
            </w:r>
          </w:p>
        </w:tc>
        <w:tc>
          <w:tcPr>
            <w:tcW w:w="991" w:type="dxa"/>
            <w:tcBorders/>
            <w:vAlign w:val="center"/>
          </w:tcPr>
          <w:p>
            <w:pPr>
              <w:pStyle w:val="TableContents"/>
              <w:bidi w:val="0"/>
              <w:spacing w:lineRule="auto" w:line="285" w:before="0" w:after="0"/>
              <w:ind w:left="0" w:right="0" w:hanging="0"/>
              <w:jc w:val="right"/>
              <w:rPr>
                <w:rFonts w:ascii="Arial;Helvetica;sans-serif" w:hAnsi="Arial;Helvetica;sans-serif"/>
                <w:b/>
                <w:sz w:val="20"/>
              </w:rPr>
            </w:pPr>
            <w:r>
              <w:rPr>
                <w:rFonts w:ascii="Arial;Helvetica;sans-serif" w:hAnsi="Arial;Helvetica;sans-serif"/>
                <w:b/>
                <w:sz w:val="20"/>
              </w:rPr>
              <w:t>Page No.</w:t>
            </w:r>
          </w:p>
        </w:tc>
      </w:tr>
      <w:tr>
        <w:trPr/>
        <w:tc>
          <w:tcPr>
            <w:tcW w:w="871" w:type="dxa"/>
            <w:tcBorders/>
            <w:vAlign w:val="center"/>
          </w:tcPr>
          <w:p>
            <w:pPr>
              <w:pStyle w:val="TableContents"/>
              <w:bidi w:val="0"/>
              <w:spacing w:lineRule="auto" w:line="285" w:before="0" w:after="0"/>
              <w:ind w:left="0" w:right="0" w:hanging="0"/>
              <w:jc w:val="left"/>
              <w:rPr/>
            </w:pPr>
            <w:r>
              <w:rPr/>
              <w:t>​</w:t>
            </w:r>
          </w:p>
        </w:tc>
        <w:tc>
          <w:tcPr>
            <w:tcW w:w="8343" w:type="dxa"/>
            <w:tcBorders/>
            <w:vAlign w:val="center"/>
          </w:tcPr>
          <w:p>
            <w:pPr>
              <w:pStyle w:val="TableContents"/>
              <w:bidi w:val="0"/>
              <w:spacing w:lineRule="auto" w:line="285" w:before="0" w:after="0"/>
              <w:ind w:left="0" w:right="0" w:hanging="0"/>
              <w:jc w:val="left"/>
              <w:rPr/>
            </w:pPr>
            <w:r>
              <w:rPr/>
              <w:t>​</w:t>
            </w:r>
          </w:p>
        </w:tc>
        <w:tc>
          <w:tcPr>
            <w:tcW w:w="991" w:type="dxa"/>
            <w:tcBorders/>
            <w:vAlign w:val="center"/>
          </w:tcPr>
          <w:p>
            <w:pPr>
              <w:pStyle w:val="TableContents"/>
              <w:bidi w:val="0"/>
              <w:spacing w:lineRule="auto" w:line="285" w:before="0" w:after="0"/>
              <w:ind w:left="0" w:right="0" w:hanging="0"/>
              <w:jc w:val="right"/>
              <w:rPr/>
            </w:pPr>
            <w:r>
              <w:rPr/>
              <w:t>​</w:t>
            </w:r>
          </w:p>
        </w:tc>
      </w:tr>
      <w:tr>
        <w:trPr/>
        <w:tc>
          <w:tcPr>
            <w:tcW w:w="9214" w:type="dxa"/>
            <w:gridSpan w:val="2"/>
            <w:tcBorders/>
            <w:vAlign w:val="center"/>
          </w:tcPr>
          <w:p>
            <w:pPr>
              <w:pStyle w:val="TableContents"/>
              <w:pBdr/>
              <w:bidi w:val="0"/>
              <w:spacing w:lineRule="auto" w:line="285" w:before="0" w:after="0"/>
              <w:ind w:left="0" w:right="0" w:hanging="0"/>
              <w:jc w:val="left"/>
              <w:rPr/>
            </w:pPr>
            <w:hyperlink w:anchor="PARTI_FINANCIALINFORMATION_121954">
              <w:r>
                <w:rPr>
                  <w:rStyle w:val="InternetLink"/>
                  <w:rFonts w:ascii="Arial;Helvetica;sans-serif" w:hAnsi="Arial;Helvetica;sans-serif"/>
                  <w:b/>
                  <w:i w:val="false"/>
                  <w:caps w:val="false"/>
                  <w:smallCaps w:val="false"/>
                  <w:sz w:val="20"/>
                </w:rPr>
                <w:t>PART I. FINANCIAL INFORMATION</w:t>
              </w:r>
            </w:hyperlink>
          </w:p>
        </w:tc>
        <w:tc>
          <w:tcPr>
            <w:tcW w:w="991" w:type="dxa"/>
            <w:tcBorders/>
            <w:vAlign w:val="center"/>
          </w:tcPr>
          <w:p>
            <w:pPr>
              <w:pStyle w:val="TableContents"/>
              <w:bidi w:val="0"/>
              <w:spacing w:lineRule="auto" w:line="285" w:before="0" w:after="0"/>
              <w:ind w:left="0" w:right="0" w:hanging="0"/>
              <w:jc w:val="right"/>
              <w:rPr/>
            </w:pPr>
            <w:r>
              <w:rPr/>
              <w:t>​</w:t>
            </w:r>
          </w:p>
        </w:tc>
      </w:tr>
      <w:tr>
        <w:trPr/>
        <w:tc>
          <w:tcPr>
            <w:tcW w:w="871" w:type="dxa"/>
            <w:tcBorders/>
            <w:vAlign w:val="center"/>
          </w:tcPr>
          <w:p>
            <w:pPr>
              <w:pStyle w:val="TableContents"/>
              <w:bidi w:val="0"/>
              <w:spacing w:lineRule="auto" w:line="285" w:before="0" w:after="0"/>
              <w:ind w:left="0" w:right="0" w:hanging="0"/>
              <w:jc w:val="left"/>
              <w:rPr/>
            </w:pPr>
            <w:r>
              <w:rPr/>
              <w:t>​</w:t>
            </w:r>
          </w:p>
        </w:tc>
        <w:tc>
          <w:tcPr>
            <w:tcW w:w="8343" w:type="dxa"/>
            <w:tcBorders/>
            <w:vAlign w:val="center"/>
          </w:tcPr>
          <w:p>
            <w:pPr>
              <w:pStyle w:val="TableContents"/>
              <w:bidi w:val="0"/>
              <w:spacing w:lineRule="auto" w:line="285" w:before="0" w:after="0"/>
              <w:ind w:left="0" w:right="0" w:hanging="0"/>
              <w:jc w:val="left"/>
              <w:rPr/>
            </w:pPr>
            <w:r>
              <w:rPr/>
              <w:t>​</w:t>
            </w:r>
          </w:p>
        </w:tc>
        <w:tc>
          <w:tcPr>
            <w:tcW w:w="991" w:type="dxa"/>
            <w:tcBorders/>
            <w:vAlign w:val="center"/>
          </w:tcPr>
          <w:p>
            <w:pPr>
              <w:pStyle w:val="TableContents"/>
              <w:bidi w:val="0"/>
              <w:spacing w:lineRule="auto" w:line="285" w:before="0" w:after="0"/>
              <w:ind w:left="0" w:right="0" w:hanging="0"/>
              <w:jc w:val="right"/>
              <w:rPr/>
            </w:pPr>
            <w:r>
              <w:rPr/>
              <w:t>​</w:t>
            </w:r>
          </w:p>
        </w:tc>
      </w:tr>
      <w:tr>
        <w:trPr/>
        <w:tc>
          <w:tcPr>
            <w:tcW w:w="871" w:type="dxa"/>
            <w:tcBorders/>
            <w:vAlign w:val="center"/>
          </w:tcPr>
          <w:p>
            <w:pPr>
              <w:pStyle w:val="TableContents"/>
              <w:pBdr/>
              <w:bidi w:val="0"/>
              <w:spacing w:lineRule="auto" w:line="285" w:before="0" w:after="0"/>
              <w:ind w:left="0" w:right="0" w:hanging="0"/>
              <w:jc w:val="left"/>
              <w:rPr/>
            </w:pPr>
            <w:hyperlink w:anchor="ITEM1_FINANCIALSTATEMENTS_121955">
              <w:r>
                <w:rPr>
                  <w:rStyle w:val="InternetLink"/>
                  <w:rFonts w:ascii="Arial;Helvetica;sans-serif" w:hAnsi="Arial;Helvetica;sans-serif"/>
                  <w:b w:val="false"/>
                  <w:i w:val="false"/>
                  <w:caps w:val="false"/>
                  <w:smallCaps w:val="false"/>
                  <w:sz w:val="20"/>
                </w:rPr>
                <w:t>Item 1.</w:t>
              </w:r>
            </w:hyperlink>
          </w:p>
        </w:tc>
        <w:tc>
          <w:tcPr>
            <w:tcW w:w="8343" w:type="dxa"/>
            <w:tcBorders/>
            <w:vAlign w:val="center"/>
          </w:tcPr>
          <w:p>
            <w:pPr>
              <w:pStyle w:val="TableContents"/>
              <w:bidi w:val="0"/>
              <w:spacing w:lineRule="auto" w:line="285" w:before="0" w:after="0"/>
              <w:ind w:left="0" w:right="0" w:hanging="0"/>
              <w:jc w:val="left"/>
              <w:rPr/>
            </w:pPr>
            <w:hyperlink w:anchor="ITEM1_FINANCIALSTATEMENTS_121955">
              <w:r>
                <w:rPr>
                  <w:rStyle w:val="InternetLink"/>
                  <w:rFonts w:ascii="Arial;Helvetica;sans-serif" w:hAnsi="Arial;Helvetica;sans-serif"/>
                  <w:b w:val="false"/>
                  <w:i w:val="false"/>
                  <w:caps w:val="false"/>
                  <w:smallCaps w:val="false"/>
                  <w:sz w:val="20"/>
                </w:rPr>
                <w:t>Financial Statements</w:t>
              </w:r>
            </w:hyperlink>
          </w:p>
        </w:tc>
        <w:tc>
          <w:tcPr>
            <w:tcW w:w="991" w:type="dxa"/>
            <w:tcBorders/>
            <w:vAlign w:val="center"/>
          </w:tcPr>
          <w:p>
            <w:pPr>
              <w:pStyle w:val="TableContents"/>
              <w:bidi w:val="0"/>
              <w:spacing w:lineRule="auto" w:line="285" w:before="0" w:after="0"/>
              <w:ind w:left="0" w:right="0" w:hanging="0"/>
              <w:jc w:val="right"/>
              <w:rPr/>
            </w:pPr>
            <w:r>
              <w:rPr/>
              <w:t>​</w:t>
            </w:r>
          </w:p>
        </w:tc>
      </w:tr>
      <w:tr>
        <w:trPr/>
        <w:tc>
          <w:tcPr>
            <w:tcW w:w="871" w:type="dxa"/>
            <w:tcBorders/>
            <w:vAlign w:val="center"/>
          </w:tcPr>
          <w:p>
            <w:pPr>
              <w:pStyle w:val="TableContents"/>
              <w:bidi w:val="0"/>
              <w:spacing w:lineRule="auto" w:line="285" w:before="0" w:after="0"/>
              <w:ind w:left="0" w:right="0" w:hanging="0"/>
              <w:jc w:val="left"/>
              <w:rPr/>
            </w:pPr>
            <w:r>
              <w:rPr/>
              <w:t>​</w:t>
            </w:r>
          </w:p>
        </w:tc>
        <w:tc>
          <w:tcPr>
            <w:tcW w:w="8343" w:type="dxa"/>
            <w:tcBorders/>
            <w:vAlign w:val="center"/>
          </w:tcPr>
          <w:p>
            <w:pPr>
              <w:pStyle w:val="TableContents"/>
              <w:bidi w:val="0"/>
              <w:spacing w:lineRule="auto" w:line="285" w:before="0" w:after="0"/>
              <w:ind w:left="0" w:right="0" w:hanging="0"/>
              <w:jc w:val="left"/>
              <w:rPr/>
            </w:pPr>
            <w:r>
              <w:rPr/>
              <w:t>​</w:t>
            </w:r>
          </w:p>
        </w:tc>
        <w:tc>
          <w:tcPr>
            <w:tcW w:w="991" w:type="dxa"/>
            <w:tcBorders/>
            <w:vAlign w:val="center"/>
          </w:tcPr>
          <w:p>
            <w:pPr>
              <w:pStyle w:val="TableContents"/>
              <w:bidi w:val="0"/>
              <w:spacing w:lineRule="auto" w:line="285" w:before="0" w:after="0"/>
              <w:ind w:left="0" w:right="0" w:hanging="0"/>
              <w:jc w:val="right"/>
              <w:rPr/>
            </w:pPr>
            <w:r>
              <w:rPr/>
              <w:t>​</w:t>
            </w:r>
          </w:p>
        </w:tc>
      </w:tr>
      <w:tr>
        <w:trPr/>
        <w:tc>
          <w:tcPr>
            <w:tcW w:w="871" w:type="dxa"/>
            <w:tcBorders/>
            <w:vAlign w:val="center"/>
          </w:tcPr>
          <w:p>
            <w:pPr>
              <w:pStyle w:val="TableContents"/>
              <w:bidi w:val="0"/>
              <w:spacing w:lineRule="auto" w:line="285" w:before="0" w:after="0"/>
              <w:ind w:left="0" w:right="0" w:hanging="0"/>
              <w:jc w:val="left"/>
              <w:rPr/>
            </w:pPr>
            <w:r>
              <w:rPr/>
              <w:t>​</w:t>
            </w:r>
          </w:p>
        </w:tc>
        <w:tc>
          <w:tcPr>
            <w:tcW w:w="8343" w:type="dxa"/>
            <w:tcBorders/>
            <w:vAlign w:val="center"/>
          </w:tcPr>
          <w:p>
            <w:pPr>
              <w:pStyle w:val="TableContents"/>
              <w:pBdr/>
              <w:bidi w:val="0"/>
              <w:spacing w:lineRule="auto" w:line="285" w:before="0" w:after="0"/>
              <w:ind w:left="0" w:right="0" w:hanging="0"/>
              <w:jc w:val="left"/>
              <w:rPr/>
            </w:pPr>
            <w:hyperlink w:anchor="ConsolidatedBalanceSheets_110353">
              <w:r>
                <w:rPr>
                  <w:rStyle w:val="InternetLink"/>
                  <w:rFonts w:ascii="Arial;Helvetica;sans-serif" w:hAnsi="Arial;Helvetica;sans-serif"/>
                  <w:b w:val="false"/>
                  <w:i w:val="false"/>
                  <w:caps w:val="false"/>
                  <w:smallCaps w:val="false"/>
                  <w:sz w:val="20"/>
                </w:rPr>
                <w:t>Consolidated Balance Sheets as of June 30, 2026 and December 31, 2025 (unaudited)</w:t>
              </w:r>
            </w:hyperlink>
          </w:p>
        </w:tc>
        <w:tc>
          <w:tcPr>
            <w:tcW w:w="991" w:type="dxa"/>
            <w:tcBorders/>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1</w:t>
            </w:r>
          </w:p>
        </w:tc>
      </w:tr>
      <w:tr>
        <w:trPr/>
        <w:tc>
          <w:tcPr>
            <w:tcW w:w="871" w:type="dxa"/>
            <w:tcBorders/>
            <w:vAlign w:val="center"/>
          </w:tcPr>
          <w:p>
            <w:pPr>
              <w:pStyle w:val="TableContents"/>
              <w:bidi w:val="0"/>
              <w:spacing w:lineRule="auto" w:line="285" w:before="0" w:after="0"/>
              <w:ind w:left="0" w:right="0" w:hanging="0"/>
              <w:jc w:val="left"/>
              <w:rPr/>
            </w:pPr>
            <w:r>
              <w:rPr/>
              <w:t>​</w:t>
            </w:r>
          </w:p>
        </w:tc>
        <w:tc>
          <w:tcPr>
            <w:tcW w:w="8343" w:type="dxa"/>
            <w:tcBorders/>
            <w:vAlign w:val="center"/>
          </w:tcPr>
          <w:p>
            <w:pPr>
              <w:pStyle w:val="TableContents"/>
              <w:bidi w:val="0"/>
              <w:spacing w:lineRule="auto" w:line="285" w:before="0" w:after="0"/>
              <w:ind w:left="0" w:right="0" w:hanging="0"/>
              <w:jc w:val="left"/>
              <w:rPr/>
            </w:pPr>
            <w:r>
              <w:rPr/>
              <w:t>​</w:t>
            </w:r>
          </w:p>
        </w:tc>
        <w:tc>
          <w:tcPr>
            <w:tcW w:w="991" w:type="dxa"/>
            <w:tcBorders/>
            <w:vAlign w:val="center"/>
          </w:tcPr>
          <w:p>
            <w:pPr>
              <w:pStyle w:val="TableContents"/>
              <w:bidi w:val="0"/>
              <w:spacing w:lineRule="auto" w:line="285" w:before="0" w:after="0"/>
              <w:ind w:left="0" w:right="0" w:hanging="0"/>
              <w:jc w:val="right"/>
              <w:rPr/>
            </w:pPr>
            <w:r>
              <w:rPr/>
              <w:t>​</w:t>
            </w:r>
          </w:p>
        </w:tc>
      </w:tr>
      <w:tr>
        <w:trPr/>
        <w:tc>
          <w:tcPr>
            <w:tcW w:w="871" w:type="dxa"/>
            <w:tcBorders/>
            <w:vAlign w:val="center"/>
          </w:tcPr>
          <w:p>
            <w:pPr>
              <w:pStyle w:val="TableContents"/>
              <w:bidi w:val="0"/>
              <w:spacing w:lineRule="auto" w:line="285" w:before="0" w:after="0"/>
              <w:ind w:left="0" w:right="0" w:hanging="0"/>
              <w:jc w:val="left"/>
              <w:rPr/>
            </w:pPr>
            <w:r>
              <w:rPr/>
              <w:t>​</w:t>
            </w:r>
          </w:p>
        </w:tc>
        <w:tc>
          <w:tcPr>
            <w:tcW w:w="8343" w:type="dxa"/>
            <w:tcBorders/>
            <w:vAlign w:val="center"/>
          </w:tcPr>
          <w:p>
            <w:pPr>
              <w:pStyle w:val="TableContents"/>
              <w:pBdr/>
              <w:bidi w:val="0"/>
              <w:spacing w:lineRule="auto" w:line="285" w:before="0" w:after="0"/>
              <w:ind w:left="0" w:right="0" w:hanging="0"/>
              <w:jc w:val="left"/>
              <w:rPr/>
            </w:pPr>
            <w:hyperlink w:anchor="ConsolidatedStatementsofComprehe_110355">
              <w:r>
                <w:rPr>
                  <w:rStyle w:val="InternetLink"/>
                  <w:rFonts w:ascii="Arial;Helvetica;sans-serif" w:hAnsi="Arial;Helvetica;sans-serif"/>
                  <w:b w:val="false"/>
                  <w:i w:val="false"/>
                  <w:caps w:val="false"/>
                  <w:smallCaps w:val="false"/>
                  <w:sz w:val="20"/>
                </w:rPr>
                <w:t>Consolidated Statements of Comprehensive Income (Loss) for the three and six months ended June 30, 2026 and 2025 (unaudited)</w:t>
              </w:r>
            </w:hyperlink>
          </w:p>
        </w:tc>
        <w:tc>
          <w:tcPr>
            <w:tcW w:w="991" w:type="dxa"/>
            <w:tcBorders/>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2</w:t>
            </w:r>
          </w:p>
        </w:tc>
      </w:tr>
      <w:tr>
        <w:trPr/>
        <w:tc>
          <w:tcPr>
            <w:tcW w:w="871" w:type="dxa"/>
            <w:tcBorders/>
            <w:vAlign w:val="center"/>
          </w:tcPr>
          <w:p>
            <w:pPr>
              <w:pStyle w:val="TableContents"/>
              <w:bidi w:val="0"/>
              <w:spacing w:lineRule="auto" w:line="285" w:before="0" w:after="0"/>
              <w:ind w:left="0" w:right="0" w:hanging="0"/>
              <w:jc w:val="left"/>
              <w:rPr/>
            </w:pPr>
            <w:r>
              <w:rPr/>
              <w:t>​</w:t>
            </w:r>
          </w:p>
        </w:tc>
        <w:tc>
          <w:tcPr>
            <w:tcW w:w="8343" w:type="dxa"/>
            <w:tcBorders/>
            <w:vAlign w:val="center"/>
          </w:tcPr>
          <w:p>
            <w:pPr>
              <w:pStyle w:val="TableContents"/>
              <w:bidi w:val="0"/>
              <w:spacing w:lineRule="auto" w:line="285" w:before="0" w:after="0"/>
              <w:ind w:left="0" w:right="0" w:hanging="0"/>
              <w:jc w:val="left"/>
              <w:rPr/>
            </w:pPr>
            <w:r>
              <w:rPr/>
              <w:t>​</w:t>
            </w:r>
          </w:p>
        </w:tc>
        <w:tc>
          <w:tcPr>
            <w:tcW w:w="991" w:type="dxa"/>
            <w:tcBorders/>
            <w:vAlign w:val="center"/>
          </w:tcPr>
          <w:p>
            <w:pPr>
              <w:pStyle w:val="TableContents"/>
              <w:bidi w:val="0"/>
              <w:spacing w:lineRule="auto" w:line="285" w:before="0" w:after="0"/>
              <w:ind w:left="0" w:right="0" w:hanging="0"/>
              <w:jc w:val="right"/>
              <w:rPr/>
            </w:pPr>
            <w:r>
              <w:rPr/>
              <w:t>​</w:t>
            </w:r>
          </w:p>
        </w:tc>
      </w:tr>
      <w:tr>
        <w:trPr/>
        <w:tc>
          <w:tcPr>
            <w:tcW w:w="871" w:type="dxa"/>
            <w:tcBorders/>
            <w:vAlign w:val="center"/>
          </w:tcPr>
          <w:p>
            <w:pPr>
              <w:pStyle w:val="TableContents"/>
              <w:bidi w:val="0"/>
              <w:spacing w:lineRule="auto" w:line="285" w:before="0" w:after="0"/>
              <w:ind w:left="0" w:right="0" w:hanging="0"/>
              <w:jc w:val="left"/>
              <w:rPr/>
            </w:pPr>
            <w:r>
              <w:rPr/>
              <w:t>​</w:t>
            </w:r>
          </w:p>
        </w:tc>
        <w:tc>
          <w:tcPr>
            <w:tcW w:w="8343" w:type="dxa"/>
            <w:tcBorders/>
            <w:vAlign w:val="center"/>
          </w:tcPr>
          <w:p>
            <w:pPr>
              <w:pStyle w:val="TableContents"/>
              <w:pBdr/>
              <w:bidi w:val="0"/>
              <w:spacing w:lineRule="auto" w:line="285" w:before="0" w:after="0"/>
              <w:ind w:left="0" w:right="0" w:hanging="0"/>
              <w:jc w:val="left"/>
              <w:rPr/>
            </w:pPr>
            <w:hyperlink w:anchor="ConsolidatedStatementofStockhold_111529">
              <w:r>
                <w:rPr>
                  <w:rStyle w:val="InternetLink"/>
                  <w:rFonts w:ascii="Arial;Helvetica;sans-serif" w:hAnsi="Arial;Helvetica;sans-serif"/>
                  <w:b w:val="false"/>
                  <w:i w:val="false"/>
                  <w:caps w:val="false"/>
                  <w:smallCaps w:val="false"/>
                  <w:sz w:val="20"/>
                </w:rPr>
                <w:t>Consolidated Statements of Stockholders’ Equity as of and for the three and six months ended June 30, 2026 and 2025 (unaudited)</w:t>
              </w:r>
            </w:hyperlink>
          </w:p>
        </w:tc>
        <w:tc>
          <w:tcPr>
            <w:tcW w:w="991" w:type="dxa"/>
            <w:tcBorders/>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3</w:t>
            </w:r>
          </w:p>
        </w:tc>
      </w:tr>
      <w:tr>
        <w:trPr/>
        <w:tc>
          <w:tcPr>
            <w:tcW w:w="871" w:type="dxa"/>
            <w:tcBorders/>
            <w:vAlign w:val="center"/>
          </w:tcPr>
          <w:p>
            <w:pPr>
              <w:pStyle w:val="TableContents"/>
              <w:bidi w:val="0"/>
              <w:spacing w:lineRule="auto" w:line="285" w:before="0" w:after="0"/>
              <w:ind w:left="0" w:right="0" w:hanging="0"/>
              <w:jc w:val="left"/>
              <w:rPr/>
            </w:pPr>
            <w:r>
              <w:rPr/>
              <w:t>​</w:t>
            </w:r>
          </w:p>
        </w:tc>
        <w:tc>
          <w:tcPr>
            <w:tcW w:w="8343" w:type="dxa"/>
            <w:tcBorders/>
            <w:vAlign w:val="center"/>
          </w:tcPr>
          <w:p>
            <w:pPr>
              <w:pStyle w:val="TableContents"/>
              <w:bidi w:val="0"/>
              <w:spacing w:lineRule="auto" w:line="285" w:before="0" w:after="0"/>
              <w:ind w:left="0" w:right="0" w:hanging="0"/>
              <w:jc w:val="left"/>
              <w:rPr/>
            </w:pPr>
            <w:r>
              <w:rPr/>
              <w:t>​</w:t>
            </w:r>
          </w:p>
        </w:tc>
        <w:tc>
          <w:tcPr>
            <w:tcW w:w="991" w:type="dxa"/>
            <w:tcBorders/>
            <w:vAlign w:val="center"/>
          </w:tcPr>
          <w:p>
            <w:pPr>
              <w:pStyle w:val="TableContents"/>
              <w:bidi w:val="0"/>
              <w:spacing w:lineRule="auto" w:line="285" w:before="0" w:after="0"/>
              <w:ind w:left="0" w:right="0" w:hanging="0"/>
              <w:jc w:val="right"/>
              <w:rPr/>
            </w:pPr>
            <w:r>
              <w:rPr/>
              <w:t>​</w:t>
            </w:r>
          </w:p>
        </w:tc>
      </w:tr>
      <w:tr>
        <w:trPr/>
        <w:tc>
          <w:tcPr>
            <w:tcW w:w="871" w:type="dxa"/>
            <w:tcBorders/>
            <w:vAlign w:val="center"/>
          </w:tcPr>
          <w:p>
            <w:pPr>
              <w:pStyle w:val="TableContents"/>
              <w:bidi w:val="0"/>
              <w:spacing w:lineRule="auto" w:line="285" w:before="0" w:after="0"/>
              <w:ind w:left="0" w:right="0" w:hanging="0"/>
              <w:jc w:val="left"/>
              <w:rPr/>
            </w:pPr>
            <w:r>
              <w:rPr/>
              <w:t>​</w:t>
            </w:r>
          </w:p>
        </w:tc>
        <w:tc>
          <w:tcPr>
            <w:tcW w:w="8343" w:type="dxa"/>
            <w:tcBorders/>
            <w:vAlign w:val="center"/>
          </w:tcPr>
          <w:p>
            <w:pPr>
              <w:pStyle w:val="TableContents"/>
              <w:pBdr/>
              <w:bidi w:val="0"/>
              <w:spacing w:lineRule="auto" w:line="285" w:before="0" w:after="0"/>
              <w:ind w:left="0" w:right="0" w:hanging="0"/>
              <w:jc w:val="left"/>
              <w:rPr/>
            </w:pPr>
            <w:hyperlink w:anchor="ConsolidatedStatementsofCashFlow_112435">
              <w:r>
                <w:rPr>
                  <w:rStyle w:val="InternetLink"/>
                  <w:rFonts w:ascii="Arial;Helvetica;sans-serif" w:hAnsi="Arial;Helvetica;sans-serif"/>
                  <w:b w:val="false"/>
                  <w:i w:val="false"/>
                  <w:caps w:val="false"/>
                  <w:smallCaps w:val="false"/>
                  <w:sz w:val="20"/>
                </w:rPr>
                <w:t>Consolidated Statements of Cash Flows for the six months ended June 30, 2026 and 2025 (unaudited)</w:t>
              </w:r>
            </w:hyperlink>
          </w:p>
        </w:tc>
        <w:tc>
          <w:tcPr>
            <w:tcW w:w="991" w:type="dxa"/>
            <w:tcBorders/>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4</w:t>
            </w:r>
          </w:p>
        </w:tc>
      </w:tr>
      <w:tr>
        <w:trPr/>
        <w:tc>
          <w:tcPr>
            <w:tcW w:w="871" w:type="dxa"/>
            <w:tcBorders/>
            <w:vAlign w:val="center"/>
          </w:tcPr>
          <w:p>
            <w:pPr>
              <w:pStyle w:val="TableContents"/>
              <w:bidi w:val="0"/>
              <w:spacing w:lineRule="auto" w:line="285" w:before="0" w:after="0"/>
              <w:ind w:left="0" w:right="0" w:hanging="0"/>
              <w:jc w:val="left"/>
              <w:rPr/>
            </w:pPr>
            <w:r>
              <w:rPr/>
              <w:t>​</w:t>
            </w:r>
          </w:p>
        </w:tc>
        <w:tc>
          <w:tcPr>
            <w:tcW w:w="8343" w:type="dxa"/>
            <w:tcBorders/>
            <w:vAlign w:val="center"/>
          </w:tcPr>
          <w:p>
            <w:pPr>
              <w:pStyle w:val="TableContents"/>
              <w:bidi w:val="0"/>
              <w:spacing w:lineRule="auto" w:line="285" w:before="0" w:after="0"/>
              <w:ind w:left="0" w:right="0" w:hanging="0"/>
              <w:jc w:val="left"/>
              <w:rPr/>
            </w:pPr>
            <w:r>
              <w:rPr/>
              <w:t>​</w:t>
            </w:r>
          </w:p>
        </w:tc>
        <w:tc>
          <w:tcPr>
            <w:tcW w:w="991" w:type="dxa"/>
            <w:tcBorders/>
            <w:vAlign w:val="center"/>
          </w:tcPr>
          <w:p>
            <w:pPr>
              <w:pStyle w:val="TableContents"/>
              <w:bidi w:val="0"/>
              <w:spacing w:lineRule="auto" w:line="285" w:before="0" w:after="0"/>
              <w:ind w:left="0" w:right="0" w:hanging="0"/>
              <w:jc w:val="right"/>
              <w:rPr/>
            </w:pPr>
            <w:r>
              <w:rPr/>
              <w:t>​</w:t>
            </w:r>
          </w:p>
        </w:tc>
      </w:tr>
      <w:tr>
        <w:trPr/>
        <w:tc>
          <w:tcPr>
            <w:tcW w:w="871" w:type="dxa"/>
            <w:tcBorders/>
            <w:vAlign w:val="center"/>
          </w:tcPr>
          <w:p>
            <w:pPr>
              <w:pStyle w:val="TableContents"/>
              <w:bidi w:val="0"/>
              <w:spacing w:lineRule="auto" w:line="285" w:before="0" w:after="0"/>
              <w:ind w:left="0" w:right="0" w:hanging="0"/>
              <w:jc w:val="left"/>
              <w:rPr/>
            </w:pPr>
            <w:r>
              <w:rPr/>
              <w:t>​</w:t>
            </w:r>
          </w:p>
        </w:tc>
        <w:tc>
          <w:tcPr>
            <w:tcW w:w="8343" w:type="dxa"/>
            <w:tcBorders/>
            <w:vAlign w:val="center"/>
          </w:tcPr>
          <w:p>
            <w:pPr>
              <w:pStyle w:val="TableContents"/>
              <w:bidi w:val="0"/>
              <w:spacing w:lineRule="auto" w:line="285" w:before="0" w:after="0"/>
              <w:ind w:left="0" w:right="0" w:hanging="0"/>
              <w:jc w:val="left"/>
              <w:rPr/>
            </w:pPr>
            <w:hyperlink w:anchor="NOTESTOCONSOLIDATEDFINANCIALSTATEMENT">
              <w:r>
                <w:rPr>
                  <w:rStyle w:val="InternetLink"/>
                  <w:rFonts w:ascii="Arial;Helvetica;sans-serif" w:hAnsi="Arial;Helvetica;sans-serif"/>
                  <w:b w:val="false"/>
                  <w:i w:val="false"/>
                  <w:caps w:val="false"/>
                  <w:smallCaps w:val="false"/>
                  <w:sz w:val="20"/>
                </w:rPr>
                <w:t>Notes to the Consolidated Financial Statements (unaudited)</w:t>
              </w:r>
            </w:hyperlink>
          </w:p>
        </w:tc>
        <w:tc>
          <w:tcPr>
            <w:tcW w:w="991" w:type="dxa"/>
            <w:tcBorders/>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5</w:t>
            </w:r>
          </w:p>
        </w:tc>
      </w:tr>
      <w:tr>
        <w:trPr/>
        <w:tc>
          <w:tcPr>
            <w:tcW w:w="871" w:type="dxa"/>
            <w:tcBorders/>
            <w:vAlign w:val="center"/>
          </w:tcPr>
          <w:p>
            <w:pPr>
              <w:pStyle w:val="TableContents"/>
              <w:bidi w:val="0"/>
              <w:spacing w:lineRule="auto" w:line="285" w:before="0" w:after="0"/>
              <w:ind w:left="0" w:right="0" w:hanging="0"/>
              <w:jc w:val="left"/>
              <w:rPr/>
            </w:pPr>
            <w:r>
              <w:rPr/>
              <w:t>​</w:t>
            </w:r>
          </w:p>
        </w:tc>
        <w:tc>
          <w:tcPr>
            <w:tcW w:w="8343" w:type="dxa"/>
            <w:tcBorders/>
            <w:vAlign w:val="center"/>
          </w:tcPr>
          <w:p>
            <w:pPr>
              <w:pStyle w:val="TableContents"/>
              <w:bidi w:val="0"/>
              <w:spacing w:lineRule="auto" w:line="285" w:before="0" w:after="0"/>
              <w:ind w:left="0" w:right="0" w:hanging="0"/>
              <w:jc w:val="left"/>
              <w:rPr/>
            </w:pPr>
            <w:r>
              <w:rPr/>
              <w:t>​</w:t>
            </w:r>
          </w:p>
        </w:tc>
        <w:tc>
          <w:tcPr>
            <w:tcW w:w="991" w:type="dxa"/>
            <w:tcBorders/>
            <w:vAlign w:val="center"/>
          </w:tcPr>
          <w:p>
            <w:pPr>
              <w:pStyle w:val="TableContents"/>
              <w:bidi w:val="0"/>
              <w:spacing w:lineRule="auto" w:line="285" w:before="0" w:after="0"/>
              <w:ind w:left="0" w:right="0" w:hanging="0"/>
              <w:jc w:val="right"/>
              <w:rPr/>
            </w:pPr>
            <w:r>
              <w:rPr/>
              <w:t>​</w:t>
            </w:r>
          </w:p>
        </w:tc>
      </w:tr>
      <w:tr>
        <w:trPr/>
        <w:tc>
          <w:tcPr>
            <w:tcW w:w="871" w:type="dxa"/>
            <w:tcBorders/>
            <w:vAlign w:val="center"/>
          </w:tcPr>
          <w:p>
            <w:pPr>
              <w:pStyle w:val="TableContents"/>
              <w:pBdr/>
              <w:bidi w:val="0"/>
              <w:spacing w:lineRule="auto" w:line="285" w:before="0" w:after="0"/>
              <w:ind w:left="0" w:right="0" w:hanging="0"/>
              <w:jc w:val="left"/>
              <w:rPr/>
            </w:pPr>
            <w:hyperlink w:anchor="ITEM2_MANAGEMENTSDISCUSSIONANDAN_112048">
              <w:r>
                <w:rPr>
                  <w:rStyle w:val="InternetLink"/>
                  <w:rFonts w:ascii="Arial;Helvetica;sans-serif" w:hAnsi="Arial;Helvetica;sans-serif"/>
                  <w:b w:val="false"/>
                  <w:i w:val="false"/>
                  <w:caps w:val="false"/>
                  <w:smallCaps w:val="false"/>
                  <w:sz w:val="20"/>
                </w:rPr>
                <w:t>Item 2.</w:t>
              </w:r>
            </w:hyperlink>
          </w:p>
        </w:tc>
        <w:tc>
          <w:tcPr>
            <w:tcW w:w="8343" w:type="dxa"/>
            <w:tcBorders/>
            <w:vAlign w:val="center"/>
          </w:tcPr>
          <w:p>
            <w:pPr>
              <w:pStyle w:val="TableContents"/>
              <w:bidi w:val="0"/>
              <w:spacing w:lineRule="auto" w:line="285" w:before="0" w:after="0"/>
              <w:ind w:left="0" w:right="0" w:hanging="0"/>
              <w:jc w:val="left"/>
              <w:rPr/>
            </w:pPr>
            <w:hyperlink w:anchor="ITEM2_MANAGEMENTSDISCUSSIONANDAN_112048">
              <w:r>
                <w:rPr>
                  <w:rStyle w:val="InternetLink"/>
                  <w:rFonts w:ascii="Arial;Helvetica;sans-serif" w:hAnsi="Arial;Helvetica;sans-serif"/>
                  <w:b w:val="false"/>
                  <w:i w:val="false"/>
                  <w:caps w:val="false"/>
                  <w:smallCaps w:val="false"/>
                  <w:sz w:val="20"/>
                </w:rPr>
                <w:t>Management’s Discussion and Analysis of Financial Condition and Results of Operations</w:t>
              </w:r>
            </w:hyperlink>
          </w:p>
        </w:tc>
        <w:tc>
          <w:tcPr>
            <w:tcW w:w="991" w:type="dxa"/>
            <w:tcBorders/>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28</w:t>
            </w:r>
          </w:p>
        </w:tc>
      </w:tr>
      <w:tr>
        <w:trPr/>
        <w:tc>
          <w:tcPr>
            <w:tcW w:w="871" w:type="dxa"/>
            <w:tcBorders/>
            <w:vAlign w:val="center"/>
          </w:tcPr>
          <w:p>
            <w:pPr>
              <w:pStyle w:val="TableContents"/>
              <w:bidi w:val="0"/>
              <w:spacing w:lineRule="auto" w:line="285" w:before="0" w:after="0"/>
              <w:ind w:left="0" w:right="0" w:hanging="0"/>
              <w:jc w:val="left"/>
              <w:rPr/>
            </w:pPr>
            <w:r>
              <w:rPr/>
              <w:t>​</w:t>
            </w:r>
          </w:p>
        </w:tc>
        <w:tc>
          <w:tcPr>
            <w:tcW w:w="8343" w:type="dxa"/>
            <w:tcBorders/>
            <w:vAlign w:val="center"/>
          </w:tcPr>
          <w:p>
            <w:pPr>
              <w:pStyle w:val="TableContents"/>
              <w:bidi w:val="0"/>
              <w:spacing w:lineRule="auto" w:line="285" w:before="0" w:after="0"/>
              <w:ind w:left="0" w:right="0" w:hanging="0"/>
              <w:jc w:val="left"/>
              <w:rPr/>
            </w:pPr>
            <w:r>
              <w:rPr/>
              <w:t>​</w:t>
            </w:r>
          </w:p>
        </w:tc>
        <w:tc>
          <w:tcPr>
            <w:tcW w:w="991" w:type="dxa"/>
            <w:tcBorders/>
            <w:vAlign w:val="center"/>
          </w:tcPr>
          <w:p>
            <w:pPr>
              <w:pStyle w:val="TableContents"/>
              <w:bidi w:val="0"/>
              <w:spacing w:lineRule="auto" w:line="285" w:before="0" w:after="0"/>
              <w:ind w:left="0" w:right="0" w:hanging="0"/>
              <w:jc w:val="right"/>
              <w:rPr/>
            </w:pPr>
            <w:r>
              <w:rPr/>
              <w:t>​</w:t>
            </w:r>
          </w:p>
        </w:tc>
      </w:tr>
      <w:tr>
        <w:trPr/>
        <w:tc>
          <w:tcPr>
            <w:tcW w:w="871" w:type="dxa"/>
            <w:tcBorders/>
            <w:vAlign w:val="center"/>
          </w:tcPr>
          <w:p>
            <w:pPr>
              <w:pStyle w:val="TableContents"/>
              <w:pBdr/>
              <w:bidi w:val="0"/>
              <w:spacing w:lineRule="auto" w:line="285" w:before="0" w:after="0"/>
              <w:ind w:left="0" w:right="0" w:hanging="0"/>
              <w:jc w:val="left"/>
              <w:rPr/>
            </w:pPr>
            <w:hyperlink w:anchor="ITEM3_QUANTITATIVEANDQUALITATIVE_034322">
              <w:r>
                <w:rPr>
                  <w:rStyle w:val="InternetLink"/>
                  <w:rFonts w:ascii="Arial;Helvetica;sans-serif" w:hAnsi="Arial;Helvetica;sans-serif"/>
                  <w:b w:val="false"/>
                  <w:i w:val="false"/>
                  <w:caps w:val="false"/>
                  <w:smallCaps w:val="false"/>
                  <w:sz w:val="20"/>
                </w:rPr>
                <w:t>Item 3.</w:t>
              </w:r>
            </w:hyperlink>
          </w:p>
        </w:tc>
        <w:tc>
          <w:tcPr>
            <w:tcW w:w="8343" w:type="dxa"/>
            <w:tcBorders/>
            <w:vAlign w:val="center"/>
          </w:tcPr>
          <w:p>
            <w:pPr>
              <w:pStyle w:val="TableContents"/>
              <w:bidi w:val="0"/>
              <w:spacing w:lineRule="auto" w:line="285" w:before="0" w:after="0"/>
              <w:ind w:left="0" w:right="0" w:hanging="0"/>
              <w:jc w:val="left"/>
              <w:rPr/>
            </w:pPr>
            <w:hyperlink w:anchor="ITEM3_QUANTITATIVEANDQUALITATIVE_034322">
              <w:r>
                <w:rPr>
                  <w:rStyle w:val="InternetLink"/>
                  <w:rFonts w:ascii="Arial;Helvetica;sans-serif" w:hAnsi="Arial;Helvetica;sans-serif"/>
                  <w:b w:val="false"/>
                  <w:i w:val="false"/>
                  <w:caps w:val="false"/>
                  <w:smallCaps w:val="false"/>
                  <w:sz w:val="20"/>
                </w:rPr>
                <w:t>Quantitative and Qualitative Disclosures about Market Risk</w:t>
              </w:r>
            </w:hyperlink>
          </w:p>
        </w:tc>
        <w:tc>
          <w:tcPr>
            <w:tcW w:w="991" w:type="dxa"/>
            <w:tcBorders/>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35</w:t>
            </w:r>
          </w:p>
        </w:tc>
      </w:tr>
      <w:tr>
        <w:trPr/>
        <w:tc>
          <w:tcPr>
            <w:tcW w:w="871" w:type="dxa"/>
            <w:tcBorders/>
            <w:vAlign w:val="center"/>
          </w:tcPr>
          <w:p>
            <w:pPr>
              <w:pStyle w:val="TableContents"/>
              <w:bidi w:val="0"/>
              <w:spacing w:lineRule="auto" w:line="285" w:before="0" w:after="0"/>
              <w:ind w:left="0" w:right="0" w:hanging="0"/>
              <w:jc w:val="left"/>
              <w:rPr/>
            </w:pPr>
            <w:r>
              <w:rPr/>
              <w:t>​</w:t>
            </w:r>
          </w:p>
        </w:tc>
        <w:tc>
          <w:tcPr>
            <w:tcW w:w="8343" w:type="dxa"/>
            <w:tcBorders/>
            <w:vAlign w:val="center"/>
          </w:tcPr>
          <w:p>
            <w:pPr>
              <w:pStyle w:val="TableContents"/>
              <w:bidi w:val="0"/>
              <w:spacing w:lineRule="auto" w:line="285" w:before="0" w:after="0"/>
              <w:ind w:left="0" w:right="0" w:hanging="0"/>
              <w:jc w:val="left"/>
              <w:rPr/>
            </w:pPr>
            <w:r>
              <w:rPr/>
              <w:t>​</w:t>
            </w:r>
          </w:p>
        </w:tc>
        <w:tc>
          <w:tcPr>
            <w:tcW w:w="991" w:type="dxa"/>
            <w:tcBorders/>
            <w:vAlign w:val="center"/>
          </w:tcPr>
          <w:p>
            <w:pPr>
              <w:pStyle w:val="TableContents"/>
              <w:bidi w:val="0"/>
              <w:spacing w:lineRule="auto" w:line="285" w:before="0" w:after="0"/>
              <w:ind w:left="0" w:right="0" w:hanging="0"/>
              <w:jc w:val="right"/>
              <w:rPr/>
            </w:pPr>
            <w:r>
              <w:rPr/>
              <w:t>​</w:t>
            </w:r>
          </w:p>
        </w:tc>
      </w:tr>
      <w:tr>
        <w:trPr/>
        <w:tc>
          <w:tcPr>
            <w:tcW w:w="871" w:type="dxa"/>
            <w:tcBorders/>
            <w:vAlign w:val="center"/>
          </w:tcPr>
          <w:p>
            <w:pPr>
              <w:pStyle w:val="TableContents"/>
              <w:pBdr/>
              <w:bidi w:val="0"/>
              <w:spacing w:lineRule="auto" w:line="285" w:before="0" w:after="0"/>
              <w:ind w:left="0" w:right="0" w:hanging="0"/>
              <w:jc w:val="left"/>
              <w:rPr/>
            </w:pPr>
            <w:hyperlink w:anchor="ITEM4_CONTROLSANDPROCEDURES_121019">
              <w:r>
                <w:rPr>
                  <w:rStyle w:val="InternetLink"/>
                  <w:rFonts w:ascii="Arial;Helvetica;sans-serif" w:hAnsi="Arial;Helvetica;sans-serif"/>
                  <w:b w:val="false"/>
                  <w:i w:val="false"/>
                  <w:caps w:val="false"/>
                  <w:smallCaps w:val="false"/>
                  <w:sz w:val="20"/>
                </w:rPr>
                <w:t>Item 4.</w:t>
              </w:r>
            </w:hyperlink>
          </w:p>
        </w:tc>
        <w:tc>
          <w:tcPr>
            <w:tcW w:w="8343" w:type="dxa"/>
            <w:tcBorders/>
            <w:vAlign w:val="center"/>
          </w:tcPr>
          <w:p>
            <w:pPr>
              <w:pStyle w:val="TableContents"/>
              <w:bidi w:val="0"/>
              <w:spacing w:lineRule="auto" w:line="285" w:before="0" w:after="0"/>
              <w:ind w:left="0" w:right="0" w:hanging="0"/>
              <w:jc w:val="left"/>
              <w:rPr/>
            </w:pPr>
            <w:hyperlink w:anchor="ITEM4_CONTROLSANDPROCEDURES_121019">
              <w:r>
                <w:rPr>
                  <w:rStyle w:val="InternetLink"/>
                  <w:rFonts w:ascii="Arial;Helvetica;sans-serif" w:hAnsi="Arial;Helvetica;sans-serif"/>
                  <w:b w:val="false"/>
                  <w:i w:val="false"/>
                  <w:caps w:val="false"/>
                  <w:smallCaps w:val="false"/>
                  <w:sz w:val="20"/>
                </w:rPr>
                <w:t>Controls and Procedures</w:t>
              </w:r>
            </w:hyperlink>
          </w:p>
        </w:tc>
        <w:tc>
          <w:tcPr>
            <w:tcW w:w="991" w:type="dxa"/>
            <w:tcBorders/>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37</w:t>
            </w:r>
          </w:p>
        </w:tc>
      </w:tr>
      <w:tr>
        <w:trPr/>
        <w:tc>
          <w:tcPr>
            <w:tcW w:w="871" w:type="dxa"/>
            <w:tcBorders/>
            <w:vAlign w:val="center"/>
          </w:tcPr>
          <w:p>
            <w:pPr>
              <w:pStyle w:val="TableContents"/>
              <w:bidi w:val="0"/>
              <w:spacing w:lineRule="auto" w:line="285" w:before="0" w:after="0"/>
              <w:ind w:left="0" w:right="0" w:hanging="0"/>
              <w:jc w:val="left"/>
              <w:rPr/>
            </w:pPr>
            <w:r>
              <w:rPr/>
              <w:t>​</w:t>
            </w:r>
          </w:p>
        </w:tc>
        <w:tc>
          <w:tcPr>
            <w:tcW w:w="8343" w:type="dxa"/>
            <w:tcBorders/>
            <w:vAlign w:val="center"/>
          </w:tcPr>
          <w:p>
            <w:pPr>
              <w:pStyle w:val="TableContents"/>
              <w:bidi w:val="0"/>
              <w:spacing w:lineRule="auto" w:line="285" w:before="0" w:after="0"/>
              <w:ind w:left="0" w:right="0" w:hanging="0"/>
              <w:jc w:val="left"/>
              <w:rPr/>
            </w:pPr>
            <w:r>
              <w:rPr/>
              <w:t>​</w:t>
            </w:r>
          </w:p>
        </w:tc>
        <w:tc>
          <w:tcPr>
            <w:tcW w:w="991" w:type="dxa"/>
            <w:tcBorders/>
            <w:vAlign w:val="center"/>
          </w:tcPr>
          <w:p>
            <w:pPr>
              <w:pStyle w:val="TableContents"/>
              <w:bidi w:val="0"/>
              <w:spacing w:lineRule="auto" w:line="285" w:before="0" w:after="0"/>
              <w:ind w:left="0" w:right="0" w:hanging="0"/>
              <w:jc w:val="right"/>
              <w:rPr/>
            </w:pPr>
            <w:r>
              <w:rPr/>
              <w:t>​</w:t>
            </w:r>
          </w:p>
        </w:tc>
      </w:tr>
      <w:tr>
        <w:trPr/>
        <w:tc>
          <w:tcPr>
            <w:tcW w:w="9214" w:type="dxa"/>
            <w:gridSpan w:val="2"/>
            <w:tcBorders/>
            <w:vAlign w:val="center"/>
          </w:tcPr>
          <w:p>
            <w:pPr>
              <w:pStyle w:val="TableContents"/>
              <w:pBdr/>
              <w:bidi w:val="0"/>
              <w:spacing w:lineRule="auto" w:line="285" w:before="0" w:after="0"/>
              <w:ind w:left="0" w:right="0" w:hanging="0"/>
              <w:jc w:val="left"/>
              <w:rPr/>
            </w:pPr>
            <w:hyperlink w:anchor="PARTII_OTHERINFORMATION_121023">
              <w:r>
                <w:rPr>
                  <w:rStyle w:val="InternetLink"/>
                  <w:rFonts w:ascii="Arial;Helvetica;sans-serif" w:hAnsi="Arial;Helvetica;sans-serif"/>
                  <w:b/>
                  <w:i w:val="false"/>
                  <w:caps w:val="false"/>
                  <w:smallCaps w:val="false"/>
                  <w:sz w:val="20"/>
                </w:rPr>
                <w:t>PART II. OTHER INFORMATION</w:t>
              </w:r>
            </w:hyperlink>
          </w:p>
        </w:tc>
        <w:tc>
          <w:tcPr>
            <w:tcW w:w="991" w:type="dxa"/>
            <w:tcBorders/>
            <w:vAlign w:val="center"/>
          </w:tcPr>
          <w:p>
            <w:pPr>
              <w:pStyle w:val="TableContents"/>
              <w:bidi w:val="0"/>
              <w:spacing w:lineRule="auto" w:line="285" w:before="0" w:after="0"/>
              <w:ind w:left="0" w:right="0" w:hanging="0"/>
              <w:jc w:val="right"/>
              <w:rPr/>
            </w:pPr>
            <w:r>
              <w:rPr/>
              <w:t>​</w:t>
            </w:r>
          </w:p>
        </w:tc>
      </w:tr>
      <w:tr>
        <w:trPr/>
        <w:tc>
          <w:tcPr>
            <w:tcW w:w="871" w:type="dxa"/>
            <w:tcBorders/>
            <w:vAlign w:val="center"/>
          </w:tcPr>
          <w:p>
            <w:pPr>
              <w:pStyle w:val="TableContents"/>
              <w:bidi w:val="0"/>
              <w:spacing w:lineRule="auto" w:line="285" w:before="0" w:after="0"/>
              <w:ind w:left="0" w:right="0" w:hanging="0"/>
              <w:jc w:val="left"/>
              <w:rPr/>
            </w:pPr>
            <w:r>
              <w:rPr/>
              <w:t>​</w:t>
            </w:r>
          </w:p>
        </w:tc>
        <w:tc>
          <w:tcPr>
            <w:tcW w:w="8343" w:type="dxa"/>
            <w:tcBorders/>
            <w:vAlign w:val="center"/>
          </w:tcPr>
          <w:p>
            <w:pPr>
              <w:pStyle w:val="TableContents"/>
              <w:bidi w:val="0"/>
              <w:spacing w:lineRule="auto" w:line="285" w:before="0" w:after="0"/>
              <w:ind w:left="0" w:right="0" w:hanging="0"/>
              <w:jc w:val="left"/>
              <w:rPr/>
            </w:pPr>
            <w:r>
              <w:rPr/>
              <w:t>​</w:t>
            </w:r>
          </w:p>
        </w:tc>
        <w:tc>
          <w:tcPr>
            <w:tcW w:w="991" w:type="dxa"/>
            <w:tcBorders/>
            <w:vAlign w:val="center"/>
          </w:tcPr>
          <w:p>
            <w:pPr>
              <w:pStyle w:val="TableContents"/>
              <w:bidi w:val="0"/>
              <w:spacing w:lineRule="auto" w:line="285" w:before="0" w:after="0"/>
              <w:ind w:left="0" w:right="0" w:hanging="0"/>
              <w:jc w:val="right"/>
              <w:rPr/>
            </w:pPr>
            <w:r>
              <w:rPr/>
              <w:t>​</w:t>
            </w:r>
          </w:p>
        </w:tc>
      </w:tr>
      <w:tr>
        <w:trPr/>
        <w:tc>
          <w:tcPr>
            <w:tcW w:w="871" w:type="dxa"/>
            <w:tcBorders/>
            <w:vAlign w:val="center"/>
          </w:tcPr>
          <w:p>
            <w:pPr>
              <w:pStyle w:val="TableContents"/>
              <w:pBdr/>
              <w:bidi w:val="0"/>
              <w:spacing w:lineRule="auto" w:line="285" w:before="0" w:after="0"/>
              <w:ind w:left="0" w:right="0" w:hanging="0"/>
              <w:jc w:val="left"/>
              <w:rPr/>
            </w:pPr>
            <w:hyperlink w:anchor="ITEM1_LEGALPROCEEDINGS_121025">
              <w:r>
                <w:rPr>
                  <w:rStyle w:val="InternetLink"/>
                  <w:rFonts w:ascii="Arial;Helvetica;sans-serif" w:hAnsi="Arial;Helvetica;sans-serif"/>
                  <w:b w:val="false"/>
                  <w:i w:val="false"/>
                  <w:caps w:val="false"/>
                  <w:smallCaps w:val="false"/>
                  <w:sz w:val="20"/>
                </w:rPr>
                <w:t>Item 1.</w:t>
              </w:r>
            </w:hyperlink>
          </w:p>
        </w:tc>
        <w:tc>
          <w:tcPr>
            <w:tcW w:w="8343" w:type="dxa"/>
            <w:tcBorders/>
            <w:vAlign w:val="center"/>
          </w:tcPr>
          <w:p>
            <w:pPr>
              <w:pStyle w:val="TableContents"/>
              <w:bidi w:val="0"/>
              <w:spacing w:lineRule="auto" w:line="285" w:before="0" w:after="0"/>
              <w:ind w:left="0" w:right="0" w:hanging="0"/>
              <w:jc w:val="left"/>
              <w:rPr/>
            </w:pPr>
            <w:hyperlink w:anchor="ITEM1_LEGALPROCEEDINGS_121025">
              <w:r>
                <w:rPr>
                  <w:rStyle w:val="InternetLink"/>
                  <w:rFonts w:ascii="Arial;Helvetica;sans-serif" w:hAnsi="Arial;Helvetica;sans-serif"/>
                  <w:b w:val="false"/>
                  <w:i w:val="false"/>
                  <w:caps w:val="false"/>
                  <w:smallCaps w:val="false"/>
                  <w:sz w:val="20"/>
                </w:rPr>
                <w:t>Legal Proceedings</w:t>
              </w:r>
            </w:hyperlink>
          </w:p>
        </w:tc>
        <w:tc>
          <w:tcPr>
            <w:tcW w:w="991" w:type="dxa"/>
            <w:tcBorders/>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38</w:t>
            </w:r>
          </w:p>
        </w:tc>
      </w:tr>
      <w:tr>
        <w:trPr/>
        <w:tc>
          <w:tcPr>
            <w:tcW w:w="871" w:type="dxa"/>
            <w:tcBorders/>
            <w:vAlign w:val="center"/>
          </w:tcPr>
          <w:p>
            <w:pPr>
              <w:pStyle w:val="TableContents"/>
              <w:bidi w:val="0"/>
              <w:spacing w:lineRule="auto" w:line="285" w:before="0" w:after="0"/>
              <w:ind w:left="0" w:right="0" w:hanging="0"/>
              <w:jc w:val="left"/>
              <w:rPr/>
            </w:pPr>
            <w:r>
              <w:rPr/>
              <w:t>​</w:t>
            </w:r>
          </w:p>
        </w:tc>
        <w:tc>
          <w:tcPr>
            <w:tcW w:w="8343" w:type="dxa"/>
            <w:tcBorders/>
            <w:vAlign w:val="center"/>
          </w:tcPr>
          <w:p>
            <w:pPr>
              <w:pStyle w:val="TableContents"/>
              <w:bidi w:val="0"/>
              <w:spacing w:lineRule="auto" w:line="285" w:before="0" w:after="0"/>
              <w:ind w:left="0" w:right="0" w:hanging="0"/>
              <w:jc w:val="left"/>
              <w:rPr/>
            </w:pPr>
            <w:r>
              <w:rPr/>
              <w:t>​</w:t>
            </w:r>
          </w:p>
        </w:tc>
        <w:tc>
          <w:tcPr>
            <w:tcW w:w="991" w:type="dxa"/>
            <w:tcBorders/>
            <w:vAlign w:val="center"/>
          </w:tcPr>
          <w:p>
            <w:pPr>
              <w:pStyle w:val="TableContents"/>
              <w:bidi w:val="0"/>
              <w:spacing w:lineRule="auto" w:line="285" w:before="0" w:after="0"/>
              <w:ind w:left="0" w:right="0" w:hanging="0"/>
              <w:jc w:val="right"/>
              <w:rPr/>
            </w:pPr>
            <w:r>
              <w:rPr/>
              <w:t>​</w:t>
            </w:r>
          </w:p>
        </w:tc>
      </w:tr>
      <w:tr>
        <w:trPr/>
        <w:tc>
          <w:tcPr>
            <w:tcW w:w="871" w:type="dxa"/>
            <w:tcBorders/>
            <w:vAlign w:val="center"/>
          </w:tcPr>
          <w:p>
            <w:pPr>
              <w:pStyle w:val="TableContents"/>
              <w:pBdr/>
              <w:bidi w:val="0"/>
              <w:spacing w:lineRule="auto" w:line="285" w:before="0" w:after="0"/>
              <w:ind w:left="0" w:right="0" w:hanging="0"/>
              <w:jc w:val="left"/>
              <w:rPr/>
            </w:pPr>
            <w:hyperlink w:anchor="ITEM1A_RISKFACTORS_121028">
              <w:r>
                <w:rPr>
                  <w:rStyle w:val="InternetLink"/>
                  <w:rFonts w:ascii="Arial;Helvetica;sans-serif" w:hAnsi="Arial;Helvetica;sans-serif"/>
                  <w:b w:val="false"/>
                  <w:i w:val="false"/>
                  <w:caps w:val="false"/>
                  <w:smallCaps w:val="false"/>
                  <w:sz w:val="20"/>
                </w:rPr>
                <w:t>Item 1A.</w:t>
              </w:r>
            </w:hyperlink>
          </w:p>
        </w:tc>
        <w:tc>
          <w:tcPr>
            <w:tcW w:w="8343" w:type="dxa"/>
            <w:tcBorders/>
            <w:vAlign w:val="center"/>
          </w:tcPr>
          <w:p>
            <w:pPr>
              <w:pStyle w:val="TableContents"/>
              <w:bidi w:val="0"/>
              <w:spacing w:lineRule="auto" w:line="285" w:before="0" w:after="0"/>
              <w:ind w:left="0" w:right="0" w:hanging="0"/>
              <w:jc w:val="left"/>
              <w:rPr/>
            </w:pPr>
            <w:hyperlink w:anchor="ITEM1A_RISKFACTORS_121028">
              <w:r>
                <w:rPr>
                  <w:rStyle w:val="InternetLink"/>
                  <w:rFonts w:ascii="Arial;Helvetica;sans-serif" w:hAnsi="Arial;Helvetica;sans-serif"/>
                  <w:b w:val="false"/>
                  <w:i w:val="false"/>
                  <w:caps w:val="false"/>
                  <w:smallCaps w:val="false"/>
                  <w:sz w:val="20"/>
                </w:rPr>
                <w:t>Risk Factors</w:t>
              </w:r>
            </w:hyperlink>
          </w:p>
        </w:tc>
        <w:tc>
          <w:tcPr>
            <w:tcW w:w="991" w:type="dxa"/>
            <w:tcBorders/>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38</w:t>
            </w:r>
          </w:p>
        </w:tc>
      </w:tr>
      <w:tr>
        <w:trPr/>
        <w:tc>
          <w:tcPr>
            <w:tcW w:w="871" w:type="dxa"/>
            <w:tcBorders/>
            <w:vAlign w:val="center"/>
          </w:tcPr>
          <w:p>
            <w:pPr>
              <w:pStyle w:val="TableContents"/>
              <w:bidi w:val="0"/>
              <w:spacing w:lineRule="auto" w:line="285" w:before="0" w:after="0"/>
              <w:ind w:left="0" w:right="0" w:hanging="0"/>
              <w:jc w:val="left"/>
              <w:rPr/>
            </w:pPr>
            <w:r>
              <w:rPr/>
              <w:t>​</w:t>
            </w:r>
          </w:p>
        </w:tc>
        <w:tc>
          <w:tcPr>
            <w:tcW w:w="8343" w:type="dxa"/>
            <w:tcBorders/>
            <w:vAlign w:val="center"/>
          </w:tcPr>
          <w:p>
            <w:pPr>
              <w:pStyle w:val="TableContents"/>
              <w:bidi w:val="0"/>
              <w:spacing w:lineRule="auto" w:line="285" w:before="0" w:after="0"/>
              <w:ind w:left="0" w:right="0" w:hanging="0"/>
              <w:jc w:val="left"/>
              <w:rPr/>
            </w:pPr>
            <w:r>
              <w:rPr/>
              <w:t>​</w:t>
            </w:r>
          </w:p>
        </w:tc>
        <w:tc>
          <w:tcPr>
            <w:tcW w:w="991" w:type="dxa"/>
            <w:tcBorders/>
            <w:vAlign w:val="center"/>
          </w:tcPr>
          <w:p>
            <w:pPr>
              <w:pStyle w:val="TableContents"/>
              <w:bidi w:val="0"/>
              <w:spacing w:lineRule="auto" w:line="285" w:before="0" w:after="0"/>
              <w:ind w:left="0" w:right="0" w:hanging="0"/>
              <w:jc w:val="right"/>
              <w:rPr/>
            </w:pPr>
            <w:r>
              <w:rPr/>
              <w:t>​</w:t>
            </w:r>
          </w:p>
        </w:tc>
      </w:tr>
      <w:tr>
        <w:trPr/>
        <w:tc>
          <w:tcPr>
            <w:tcW w:w="871" w:type="dxa"/>
            <w:tcBorders/>
            <w:vAlign w:val="center"/>
          </w:tcPr>
          <w:p>
            <w:pPr>
              <w:pStyle w:val="TableContents"/>
              <w:pBdr/>
              <w:bidi w:val="0"/>
              <w:spacing w:lineRule="auto" w:line="285" w:before="0" w:after="0"/>
              <w:ind w:left="0" w:right="0" w:hanging="0"/>
              <w:jc w:val="left"/>
              <w:rPr/>
            </w:pPr>
            <w:hyperlink w:anchor="ITEM5OTHERINFORMATION_469585">
              <w:r>
                <w:rPr>
                  <w:rStyle w:val="InternetLink"/>
                  <w:rFonts w:ascii="Arial;Helvetica;sans-serif" w:hAnsi="Arial;Helvetica;sans-serif"/>
                  <w:b w:val="false"/>
                  <w:i w:val="false"/>
                  <w:caps w:val="false"/>
                  <w:smallCaps w:val="false"/>
                  <w:sz w:val="20"/>
                </w:rPr>
                <w:t>Item 5.</w:t>
              </w:r>
            </w:hyperlink>
          </w:p>
        </w:tc>
        <w:tc>
          <w:tcPr>
            <w:tcW w:w="8343" w:type="dxa"/>
            <w:tcBorders/>
            <w:vAlign w:val="center"/>
          </w:tcPr>
          <w:p>
            <w:pPr>
              <w:pStyle w:val="TableContents"/>
              <w:bidi w:val="0"/>
              <w:spacing w:lineRule="auto" w:line="285" w:before="0" w:after="0"/>
              <w:ind w:left="0" w:right="0" w:hanging="0"/>
              <w:jc w:val="left"/>
              <w:rPr/>
            </w:pPr>
            <w:hyperlink w:anchor="ITEM5OTHERINFORMATION_469585">
              <w:r>
                <w:rPr>
                  <w:rStyle w:val="InternetLink"/>
                  <w:rFonts w:ascii="Arial;Helvetica;sans-serif" w:hAnsi="Arial;Helvetica;sans-serif"/>
                  <w:b w:val="false"/>
                  <w:i w:val="false"/>
                  <w:caps w:val="false"/>
                  <w:smallCaps w:val="false"/>
                  <w:sz w:val="20"/>
                </w:rPr>
                <w:t>Other Information</w:t>
              </w:r>
            </w:hyperlink>
          </w:p>
        </w:tc>
        <w:tc>
          <w:tcPr>
            <w:tcW w:w="991" w:type="dxa"/>
            <w:tcBorders/>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38</w:t>
            </w:r>
          </w:p>
        </w:tc>
      </w:tr>
      <w:tr>
        <w:trPr/>
        <w:tc>
          <w:tcPr>
            <w:tcW w:w="871" w:type="dxa"/>
            <w:tcBorders/>
            <w:vAlign w:val="center"/>
          </w:tcPr>
          <w:p>
            <w:pPr>
              <w:pStyle w:val="TableContents"/>
              <w:bidi w:val="0"/>
              <w:spacing w:lineRule="auto" w:line="285" w:before="0" w:after="0"/>
              <w:ind w:left="0" w:right="0" w:hanging="0"/>
              <w:jc w:val="left"/>
              <w:rPr/>
            </w:pPr>
            <w:r>
              <w:rPr/>
              <w:t>​</w:t>
            </w:r>
          </w:p>
        </w:tc>
        <w:tc>
          <w:tcPr>
            <w:tcW w:w="8343" w:type="dxa"/>
            <w:tcBorders/>
            <w:vAlign w:val="center"/>
          </w:tcPr>
          <w:p>
            <w:pPr>
              <w:pStyle w:val="TableContents"/>
              <w:bidi w:val="0"/>
              <w:spacing w:lineRule="auto" w:line="285" w:before="0" w:after="0"/>
              <w:ind w:left="0" w:right="0" w:hanging="0"/>
              <w:jc w:val="left"/>
              <w:rPr/>
            </w:pPr>
            <w:r>
              <w:rPr/>
              <w:t>​</w:t>
            </w:r>
          </w:p>
        </w:tc>
        <w:tc>
          <w:tcPr>
            <w:tcW w:w="991" w:type="dxa"/>
            <w:tcBorders/>
            <w:vAlign w:val="center"/>
          </w:tcPr>
          <w:p>
            <w:pPr>
              <w:pStyle w:val="TableContents"/>
              <w:bidi w:val="0"/>
              <w:spacing w:lineRule="auto" w:line="285" w:before="0" w:after="0"/>
              <w:ind w:left="0" w:right="0" w:hanging="0"/>
              <w:jc w:val="right"/>
              <w:rPr/>
            </w:pPr>
            <w:r>
              <w:rPr/>
              <w:t>​</w:t>
            </w:r>
          </w:p>
        </w:tc>
      </w:tr>
      <w:tr>
        <w:trPr/>
        <w:tc>
          <w:tcPr>
            <w:tcW w:w="871" w:type="dxa"/>
            <w:tcBorders/>
            <w:vAlign w:val="center"/>
          </w:tcPr>
          <w:p>
            <w:pPr>
              <w:pStyle w:val="TableContents"/>
              <w:pBdr/>
              <w:bidi w:val="0"/>
              <w:spacing w:lineRule="auto" w:line="285" w:before="0" w:after="0"/>
              <w:ind w:left="0" w:right="0" w:hanging="0"/>
              <w:jc w:val="left"/>
              <w:rPr/>
            </w:pPr>
            <w:hyperlink w:anchor="ITEM6_EXHIBITS_121036">
              <w:r>
                <w:rPr>
                  <w:rStyle w:val="InternetLink"/>
                  <w:rFonts w:ascii="Arial;Helvetica;sans-serif" w:hAnsi="Arial;Helvetica;sans-serif"/>
                  <w:b w:val="false"/>
                  <w:i w:val="false"/>
                  <w:caps w:val="false"/>
                  <w:smallCaps w:val="false"/>
                  <w:sz w:val="20"/>
                </w:rPr>
                <w:t>Item 6.</w:t>
              </w:r>
            </w:hyperlink>
          </w:p>
        </w:tc>
        <w:tc>
          <w:tcPr>
            <w:tcW w:w="8343" w:type="dxa"/>
            <w:tcBorders/>
            <w:vAlign w:val="center"/>
          </w:tcPr>
          <w:p>
            <w:pPr>
              <w:pStyle w:val="TableContents"/>
              <w:bidi w:val="0"/>
              <w:spacing w:lineRule="auto" w:line="285" w:before="0" w:after="0"/>
              <w:ind w:left="0" w:right="0" w:hanging="0"/>
              <w:jc w:val="left"/>
              <w:rPr/>
            </w:pPr>
            <w:hyperlink w:anchor="ITEM6_EXHIBITS_121036">
              <w:r>
                <w:rPr>
                  <w:rStyle w:val="InternetLink"/>
                  <w:rFonts w:ascii="Arial;Helvetica;sans-serif" w:hAnsi="Arial;Helvetica;sans-serif"/>
                  <w:b w:val="false"/>
                  <w:i w:val="false"/>
                  <w:caps w:val="false"/>
                  <w:smallCaps w:val="false"/>
                  <w:sz w:val="20"/>
                </w:rPr>
                <w:t>Exhibits</w:t>
              </w:r>
            </w:hyperlink>
          </w:p>
        </w:tc>
        <w:tc>
          <w:tcPr>
            <w:tcW w:w="991" w:type="dxa"/>
            <w:tcBorders/>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40</w:t>
            </w:r>
          </w:p>
        </w:tc>
      </w:tr>
      <w:tr>
        <w:trPr/>
        <w:tc>
          <w:tcPr>
            <w:tcW w:w="871" w:type="dxa"/>
            <w:tcBorders/>
            <w:vAlign w:val="center"/>
          </w:tcPr>
          <w:p>
            <w:pPr>
              <w:pStyle w:val="TableContents"/>
              <w:bidi w:val="0"/>
              <w:spacing w:lineRule="auto" w:line="285" w:before="0" w:after="0"/>
              <w:ind w:left="0" w:right="0" w:hanging="0"/>
              <w:jc w:val="left"/>
              <w:rPr/>
            </w:pPr>
            <w:r>
              <w:rPr/>
              <w:t>​</w:t>
            </w:r>
          </w:p>
        </w:tc>
        <w:tc>
          <w:tcPr>
            <w:tcW w:w="8343" w:type="dxa"/>
            <w:tcBorders/>
            <w:vAlign w:val="center"/>
          </w:tcPr>
          <w:p>
            <w:pPr>
              <w:pStyle w:val="TableContents"/>
              <w:bidi w:val="0"/>
              <w:spacing w:lineRule="auto" w:line="285" w:before="0" w:after="0"/>
              <w:ind w:left="0" w:right="0" w:hanging="0"/>
              <w:jc w:val="left"/>
              <w:rPr/>
            </w:pPr>
            <w:r>
              <w:rPr/>
              <w:t>​</w:t>
            </w:r>
          </w:p>
        </w:tc>
        <w:tc>
          <w:tcPr>
            <w:tcW w:w="991" w:type="dxa"/>
            <w:tcBorders/>
            <w:vAlign w:val="center"/>
          </w:tcPr>
          <w:p>
            <w:pPr>
              <w:pStyle w:val="TableContents"/>
              <w:bidi w:val="0"/>
              <w:spacing w:lineRule="auto" w:line="285" w:before="0" w:after="0"/>
              <w:ind w:left="0" w:right="0" w:hanging="0"/>
              <w:jc w:val="right"/>
              <w:rPr/>
            </w:pPr>
            <w:r>
              <w:rPr/>
              <w:t>​</w:t>
            </w:r>
          </w:p>
        </w:tc>
      </w:tr>
      <w:tr>
        <w:trPr/>
        <w:tc>
          <w:tcPr>
            <w:tcW w:w="9214" w:type="dxa"/>
            <w:gridSpan w:val="2"/>
            <w:tcBorders/>
            <w:vAlign w:val="center"/>
          </w:tcPr>
          <w:p>
            <w:pPr>
              <w:pStyle w:val="TableContents"/>
              <w:pBdr/>
              <w:bidi w:val="0"/>
              <w:spacing w:lineRule="auto" w:line="285" w:before="0" w:after="0"/>
              <w:ind w:left="0" w:right="0" w:hanging="0"/>
              <w:jc w:val="left"/>
              <w:rPr/>
            </w:pPr>
            <w:hyperlink w:anchor="SIGNATURES_121810">
              <w:r>
                <w:rPr>
                  <w:rStyle w:val="InternetLink"/>
                  <w:rFonts w:ascii="Arial;Helvetica;sans-serif" w:hAnsi="Arial;Helvetica;sans-serif"/>
                  <w:b/>
                  <w:i w:val="false"/>
                  <w:caps w:val="false"/>
                  <w:smallCaps w:val="false"/>
                  <w:sz w:val="20"/>
                </w:rPr>
                <w:t>SIGNATURES</w:t>
              </w:r>
            </w:hyperlink>
          </w:p>
        </w:tc>
        <w:tc>
          <w:tcPr>
            <w:tcW w:w="991" w:type="dxa"/>
            <w:tcBorders/>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41</w:t>
            </w:r>
          </w:p>
        </w:tc>
      </w:tr>
      <w:tr>
        <w:trPr/>
        <w:tc>
          <w:tcPr>
            <w:tcW w:w="871" w:type="dxa"/>
            <w:tcBorders/>
            <w:vAlign w:val="center"/>
          </w:tcPr>
          <w:p>
            <w:pPr>
              <w:pStyle w:val="TableContents"/>
              <w:bidi w:val="0"/>
              <w:spacing w:lineRule="auto" w:line="285" w:before="0" w:after="0"/>
              <w:ind w:left="0" w:right="0" w:hanging="0"/>
              <w:jc w:val="left"/>
              <w:rPr/>
            </w:pPr>
            <w:r>
              <w:rPr/>
              <w:t>​</w:t>
            </w:r>
          </w:p>
        </w:tc>
        <w:tc>
          <w:tcPr>
            <w:tcW w:w="8343" w:type="dxa"/>
            <w:tcBorders/>
            <w:vAlign w:val="center"/>
          </w:tcPr>
          <w:p>
            <w:pPr>
              <w:pStyle w:val="TableContents"/>
              <w:bidi w:val="0"/>
              <w:spacing w:lineRule="auto" w:line="285" w:before="0" w:after="0"/>
              <w:ind w:left="0" w:right="0" w:hanging="0"/>
              <w:jc w:val="left"/>
              <w:rPr/>
            </w:pPr>
            <w:r>
              <w:rPr/>
              <w:t>​</w:t>
            </w:r>
          </w:p>
        </w:tc>
        <w:tc>
          <w:tcPr>
            <w:tcW w:w="991" w:type="dxa"/>
            <w:tcBorders/>
            <w:vAlign w:val="center"/>
          </w:tcPr>
          <w:p>
            <w:pPr>
              <w:pStyle w:val="TableContents"/>
              <w:bidi w:val="0"/>
              <w:spacing w:lineRule="auto" w:line="285" w:before="0" w:after="0"/>
              <w:ind w:left="0" w:right="0" w:hanging="0"/>
              <w:jc w:val="right"/>
              <w:rPr/>
            </w:pPr>
            <w:r>
              <w:rPr/>
              <w:t>​</w:t>
            </w:r>
          </w:p>
        </w:tc>
      </w:tr>
      <w:tr>
        <w:trPr/>
        <w:tc>
          <w:tcPr>
            <w:tcW w:w="9214" w:type="dxa"/>
            <w:gridSpan w:val="2"/>
            <w:tcBorders/>
            <w:vAlign w:val="center"/>
          </w:tcPr>
          <w:p>
            <w:pPr>
              <w:pStyle w:val="TableContents"/>
              <w:pBdr/>
              <w:bidi w:val="0"/>
              <w:spacing w:lineRule="auto" w:line="285" w:before="0" w:after="0"/>
              <w:ind w:left="0" w:right="0" w:hanging="0"/>
              <w:jc w:val="left"/>
              <w:rPr/>
            </w:pPr>
            <w:r>
              <w:rPr/>
              <w:t>​</w:t>
            </w:r>
          </w:p>
        </w:tc>
        <w:tc>
          <w:tcPr>
            <w:tcW w:w="991" w:type="dxa"/>
            <w:tcBorders/>
            <w:vAlign w:val="center"/>
          </w:tcPr>
          <w:p>
            <w:pPr>
              <w:pStyle w:val="TableContents"/>
              <w:bidi w:val="0"/>
              <w:spacing w:lineRule="auto" w:line="285" w:before="0" w:after="0"/>
              <w:ind w:left="0" w:right="0" w:hanging="0"/>
              <w:jc w:val="righ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0"/>
        <w:ind w:left="0" w:right="0" w:hanging="0"/>
        <w:jc w:val="center"/>
        <w:rPr>
          <w:rFonts w:ascii="Arial;Helvetica;sans-serif" w:hAnsi="Arial;Helvetica;sans-serif"/>
          <w:b/>
          <w:sz w:val="18"/>
        </w:rPr>
      </w:pPr>
      <w:bookmarkStart w:id="32" w:name="PARTI_FINANCIALINFORMATION_121954"/>
      <w:bookmarkStart w:id="33" w:name="_44fe45de_94e6_4dea_b86d_2173252e9ccc"/>
      <w:bookmarkEnd w:id="32"/>
      <w:bookmarkEnd w:id="33"/>
      <w:r>
        <w:rPr>
          <w:rFonts w:ascii="Arial;Helvetica;sans-serif" w:hAnsi="Arial;Helvetica;sans-serif"/>
          <w:b/>
          <w:sz w:val="18"/>
        </w:rPr>
        <w:t>PART I. FINANCIAL INFORMATION</w:t>
      </w:r>
    </w:p>
    <w:p>
      <w:pPr>
        <w:pStyle w:val="TextBody"/>
        <w:bidi w:val="0"/>
        <w:spacing w:lineRule="auto" w:line="285" w:before="0" w:after="0"/>
        <w:ind w:left="0" w:right="0" w:hanging="0"/>
        <w:jc w:val="center"/>
        <w:rPr>
          <w:rFonts w:ascii="Arial;Helvetica;sans-serif" w:hAnsi="Arial;Helvetica;sans-serif"/>
          <w:b/>
          <w:sz w:val="18"/>
        </w:rPr>
      </w:pPr>
      <w:bookmarkStart w:id="34" w:name="ITEM1_FINANCIALSTATEMENTS_121955"/>
      <w:bookmarkEnd w:id="34"/>
      <w:r>
        <w:rPr>
          <w:rFonts w:ascii="Arial;Helvetica;sans-serif" w:hAnsi="Arial;Helvetica;sans-serif"/>
          <w:b/>
          <w:sz w:val="18"/>
        </w:rPr>
        <w:t>ITEM 1. FINANCIAL STATEMENTS</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TTEC HOLDINGS, INC. AND SUBSIDIARIES</w:t>
      </w:r>
    </w:p>
    <w:p>
      <w:pPr>
        <w:pStyle w:val="TextBody"/>
        <w:bidi w:val="0"/>
        <w:spacing w:lineRule="auto" w:line="285" w:before="0" w:after="0"/>
        <w:ind w:left="0" w:right="0" w:hanging="0"/>
        <w:jc w:val="center"/>
        <w:rPr>
          <w:rFonts w:ascii="Arial;Helvetica;sans-serif" w:hAnsi="Arial;Helvetica;sans-serif"/>
          <w:b/>
          <w:sz w:val="18"/>
        </w:rPr>
      </w:pPr>
      <w:bookmarkStart w:id="35" w:name="ConsolidatedBalanceSheets_110353"/>
      <w:bookmarkEnd w:id="35"/>
      <w:r>
        <w:rPr>
          <w:rFonts w:ascii="Arial;Helvetica;sans-serif" w:hAnsi="Arial;Helvetica;sans-serif"/>
          <w:b/>
          <w:sz w:val="18"/>
        </w:rPr>
        <w:t>Consolidated Balance Sheets</w:t>
      </w:r>
    </w:p>
    <w:p>
      <w:pPr>
        <w:pStyle w:val="TextBody"/>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(Amounts in thousands, except share amounts)</w:t>
      </w:r>
    </w:p>
    <w:p>
      <w:pPr>
        <w:pStyle w:val="TextBody"/>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bidi w:val="0"/>
        <w:spacing w:lineRule="auto" w:line="285" w:before="0" w:after="0"/>
        <w:ind w:left="0" w:right="0" w:hanging="0"/>
        <w:jc w:val="center"/>
        <w:rPr/>
      </w:pPr>
      <w:r>
        <w:rPr/>
        <w:t>​</w:t>
      </w:r>
    </w:p>
    <w:p>
      <w:pPr>
        <w:pStyle w:val="Normal"/>
        <w:bidi w:val="0"/>
        <w:spacing w:before="0" w:after="0"/>
        <w:jc w:val="left"/>
        <w:rPr>
          <w:sz w:val="4"/>
          <w:szCs w:val="4"/>
        </w:rPr>
      </w:pPr>
      <w:r>
        <w:rPr>
          <w:sz w:val="4"/>
          <w:szCs w:val="4"/>
        </w:rPr>
      </w:r>
      <w:bookmarkStart w:id="36" w:name="Tc_Oa1z7U6b8kW2ymtGx06KDQ_53_5"/>
      <w:bookmarkStart w:id="37" w:name="Tc_47GT2oCeB0GdXUfEK5cnmQ_53_2"/>
      <w:bookmarkStart w:id="38" w:name="Tc_4O-K-B1IoUeprNbCrNzGPQ_53_0"/>
      <w:bookmarkStart w:id="39" w:name="Tc_hlC12MOPa0Scrru8-NutPw_52_0"/>
      <w:bookmarkStart w:id="40" w:name="Tc_HxlZuYcxpUuzHFyS7IAPXA_51_0"/>
      <w:bookmarkStart w:id="41" w:name="Tc_oqL_hAhjUUqIgPhFwJZwlQ_50_0"/>
      <w:bookmarkStart w:id="42" w:name="Tc_seIBG6naNEuI6cuHxlwubg_49_0"/>
      <w:bookmarkStart w:id="43" w:name="Tc_z0vHibYcYk-4RlEFCo4GaQ_48_0"/>
      <w:bookmarkStart w:id="44" w:name="Tc_90sCJoIwIE-_j3b0ie2tdQ_47_0"/>
      <w:bookmarkStart w:id="45" w:name="Tc_U0mCCLmDSE2jt7sw1qRV0A_46_0"/>
      <w:bookmarkStart w:id="46" w:name="Tc_wkaVbHNoi0e3ZdxD-gkKHA_45_0"/>
      <w:bookmarkStart w:id="47" w:name="Tc_Sh94PyTpPEaEsytKzoBcSQ_44_0"/>
      <w:bookmarkStart w:id="48" w:name="Tc_H9i6nbDUpEeEU4MHnhd9mA_42_0"/>
      <w:bookmarkStart w:id="49" w:name="Tc_0ivRLNQFFEO9v2t4TxBUxg_40_0"/>
      <w:bookmarkStart w:id="50" w:name="Tc_TIXBSmWLL0mCARUfqBSTcw_39_0"/>
      <w:bookmarkStart w:id="51" w:name="Tc_9yGAeZaNC0qUBDLvmh_Gyw_38_0"/>
      <w:bookmarkStart w:id="52" w:name="Tc_I-QlXHoaRUSIJj7MqheHGg_37_0"/>
      <w:bookmarkStart w:id="53" w:name="Tc_jaWetYmWzUCHSjOMS7RZJQ_36_0"/>
      <w:bookmarkStart w:id="54" w:name="Tc_X3UWr6zYM0KSay_dp6oTIg_35_0"/>
      <w:bookmarkStart w:id="55" w:name="Tc_fdJJYmrTs0yjYjSDu1mSVw_34_0"/>
      <w:bookmarkStart w:id="56" w:name="Tc_Kb3-FW2Lf0eBZZPJWgIzoQ_33_0"/>
      <w:bookmarkStart w:id="57" w:name="Tc_7YNXb2RgikGOB0nK2UBTfw_31_0"/>
      <w:bookmarkStart w:id="58" w:name="Tc_PIQmsn8DV0eYFN0dEgPX5Q_30_0"/>
      <w:bookmarkStart w:id="59" w:name="Tc_x69oIpMqs0iTabMUyxFQTw_29_0"/>
      <w:bookmarkStart w:id="60" w:name="Tc__ZDmX7qbJ02izaxFVne9UA_28_0"/>
      <w:bookmarkStart w:id="61" w:name="Tc_pA_5NrX7KUaknz5SIRAdCA_27_0"/>
      <w:bookmarkStart w:id="62" w:name="Tc_AqSDCij0k0KqeqkDxrPfcg_26_0"/>
      <w:bookmarkStart w:id="63" w:name="Tc_8kad3po3fEKFqnqqmGWHJw_25_0"/>
      <w:bookmarkStart w:id="64" w:name="Tc_ujhjsxdAakGDVOrZ7ZMnSw_24_5"/>
      <w:bookmarkStart w:id="65" w:name="Tc_l3PRxcIlw0awk5UaegfKRQ_24_2"/>
      <w:bookmarkStart w:id="66" w:name="Tc_u72cBELQZUqaKvUTZyrf8g_24_0"/>
      <w:bookmarkStart w:id="67" w:name="Tc_sFt2FAgFCk25l4g23FncEw_23_0"/>
      <w:bookmarkStart w:id="68" w:name="Tc_yPfV_f_IjkiCshztFTcguA_22_0"/>
      <w:bookmarkStart w:id="69" w:name="Tc_yyQmcuQnlU2Lgy5yRgFIqA_20_5"/>
      <w:bookmarkStart w:id="70" w:name="Tc_epkrkcH6rkKrAY-5PpmcpA_20_2"/>
      <w:bookmarkStart w:id="71" w:name="Tc_JZph6_4KhkqrZsekZ28IBA_20_0"/>
      <w:bookmarkStart w:id="72" w:name="Tc_ceneaazBiEajeClVjRMkmQ_19_0"/>
      <w:bookmarkStart w:id="73" w:name="Tc_IzZ1TDLdcU6anbf_Hjhwmw_18_0"/>
      <w:bookmarkStart w:id="74" w:name="Tc_vLQ1_TJkY0WLm3L1eFeyPw_17_0"/>
      <w:bookmarkStart w:id="75" w:name="Tc_DhlNLM-Cf0Orvo-33N980g_16_0"/>
      <w:bookmarkStart w:id="76" w:name="Tc_XMhZjOBnRk-B2rLDO7I3jA_15_0"/>
      <w:bookmarkStart w:id="77" w:name="Tc_ZHC5Ev359UWlaNoeDrnSiw_14_0"/>
      <w:bookmarkStart w:id="78" w:name="Tc_IjG2KLMpDUGxyijzTNNlDg_13_0"/>
      <w:bookmarkStart w:id="79" w:name="Tc_CtGHUIB5IkqZxT6Nz1JRJw_12_0"/>
      <w:bookmarkStart w:id="80" w:name="Tc_dq5pnmz9YEm5WWn6a6orog_11_0"/>
      <w:bookmarkStart w:id="81" w:name="Tc_QQC2ta-FMEaXcQ_3GrkxQw_9_0"/>
      <w:bookmarkStart w:id="82" w:name="Tc_dBdRNS-Pb06mFtCkmD48ZA_8_0"/>
      <w:bookmarkStart w:id="83" w:name="Tc_3t7_1SF5Qk-zpCuu0YEsEg_7_0"/>
      <w:bookmarkStart w:id="84" w:name="Tc_K_bKP7LlcUaJSg4zGk1s_A_6_0"/>
      <w:bookmarkStart w:id="85" w:name="Tc_KIgRBWSzpkapOnfjfhFb5g_5_5"/>
      <w:bookmarkStart w:id="86" w:name="Tc_awOVxkD4t0SV1aFy0cn3GQ_5_2"/>
      <w:bookmarkStart w:id="87" w:name="Tc_2c2HylZa802SUonNQLTdKA_5_0"/>
      <w:bookmarkStart w:id="88" w:name="Tc_K-pjol8R20O318YvNSE7lw_4_0"/>
      <w:bookmarkStart w:id="89" w:name="Tc_hUco0i-rV0-TpmgIQgNsKA_3_0"/>
      <w:bookmarkStart w:id="90" w:name="Tc_L606qyqGnkaCgyh6bJAWlA_2_5"/>
      <w:bookmarkStart w:id="91" w:name="Tc_s2sXMi30skyu1v63g907QA_2_2"/>
      <w:bookmarkStart w:id="92" w:name="Tc_VKDmXaVDzUeipm5AgtAPIA_1_5"/>
      <w:bookmarkStart w:id="93" w:name="Tc_t1MRo6hVo0-wH95KiwG9Wg_1_2"/>
      <w:bookmarkStart w:id="94" w:name="_62f6e044_215d_41e1_ad4f_59ce9b3b012e"/>
      <w:bookmarkStart w:id="95" w:name="_tblColumn_1_1"/>
      <w:bookmarkStart w:id="96" w:name="_tblInd_1_0"/>
      <w:bookmarkStart w:id="97" w:name="Tc_Oa1z7U6b8kW2ymtGx06KDQ_53_5"/>
      <w:bookmarkStart w:id="98" w:name="Tc_47GT2oCeB0GdXUfEK5cnmQ_53_2"/>
      <w:bookmarkStart w:id="99" w:name="Tc_4O-K-B1IoUeprNbCrNzGPQ_53_0"/>
      <w:bookmarkStart w:id="100" w:name="Tc_hlC12MOPa0Scrru8-NutPw_52_0"/>
      <w:bookmarkStart w:id="101" w:name="Tc_HxlZuYcxpUuzHFyS7IAPXA_51_0"/>
      <w:bookmarkStart w:id="102" w:name="Tc_oqL_hAhjUUqIgPhFwJZwlQ_50_0"/>
      <w:bookmarkStart w:id="103" w:name="Tc_seIBG6naNEuI6cuHxlwubg_49_0"/>
      <w:bookmarkStart w:id="104" w:name="Tc_z0vHibYcYk-4RlEFCo4GaQ_48_0"/>
      <w:bookmarkStart w:id="105" w:name="Tc_90sCJoIwIE-_j3b0ie2tdQ_47_0"/>
      <w:bookmarkStart w:id="106" w:name="Tc_U0mCCLmDSE2jt7sw1qRV0A_46_0"/>
      <w:bookmarkStart w:id="107" w:name="Tc_wkaVbHNoi0e3ZdxD-gkKHA_45_0"/>
      <w:bookmarkStart w:id="108" w:name="Tc_Sh94PyTpPEaEsytKzoBcSQ_44_0"/>
      <w:bookmarkStart w:id="109" w:name="Tc_H9i6nbDUpEeEU4MHnhd9mA_42_0"/>
      <w:bookmarkStart w:id="110" w:name="Tc_0ivRLNQFFEO9v2t4TxBUxg_40_0"/>
      <w:bookmarkStart w:id="111" w:name="Tc_TIXBSmWLL0mCARUfqBSTcw_39_0"/>
      <w:bookmarkStart w:id="112" w:name="Tc_9yGAeZaNC0qUBDLvmh_Gyw_38_0"/>
      <w:bookmarkStart w:id="113" w:name="Tc_I-QlXHoaRUSIJj7MqheHGg_37_0"/>
      <w:bookmarkStart w:id="114" w:name="Tc_jaWetYmWzUCHSjOMS7RZJQ_36_0"/>
      <w:bookmarkStart w:id="115" w:name="Tc_X3UWr6zYM0KSay_dp6oTIg_35_0"/>
      <w:bookmarkStart w:id="116" w:name="Tc_fdJJYmrTs0yjYjSDu1mSVw_34_0"/>
      <w:bookmarkStart w:id="117" w:name="Tc_Kb3-FW2Lf0eBZZPJWgIzoQ_33_0"/>
      <w:bookmarkStart w:id="118" w:name="Tc_7YNXb2RgikGOB0nK2UBTfw_31_0"/>
      <w:bookmarkStart w:id="119" w:name="Tc_PIQmsn8DV0eYFN0dEgPX5Q_30_0"/>
      <w:bookmarkStart w:id="120" w:name="Tc_x69oIpMqs0iTabMUyxFQTw_29_0"/>
      <w:bookmarkStart w:id="121" w:name="Tc__ZDmX7qbJ02izaxFVne9UA_28_0"/>
      <w:bookmarkStart w:id="122" w:name="Tc_pA_5NrX7KUaknz5SIRAdCA_27_0"/>
      <w:bookmarkStart w:id="123" w:name="Tc_AqSDCij0k0KqeqkDxrPfcg_26_0"/>
      <w:bookmarkStart w:id="124" w:name="Tc_8kad3po3fEKFqnqqmGWHJw_25_0"/>
      <w:bookmarkStart w:id="125" w:name="Tc_ujhjsxdAakGDVOrZ7ZMnSw_24_5"/>
      <w:bookmarkStart w:id="126" w:name="Tc_l3PRxcIlw0awk5UaegfKRQ_24_2"/>
      <w:bookmarkStart w:id="127" w:name="Tc_u72cBELQZUqaKvUTZyrf8g_24_0"/>
      <w:bookmarkStart w:id="128" w:name="Tc_sFt2FAgFCk25l4g23FncEw_23_0"/>
      <w:bookmarkStart w:id="129" w:name="Tc_yPfV_f_IjkiCshztFTcguA_22_0"/>
      <w:bookmarkStart w:id="130" w:name="Tc_yyQmcuQnlU2Lgy5yRgFIqA_20_5"/>
      <w:bookmarkStart w:id="131" w:name="Tc_epkrkcH6rkKrAY-5PpmcpA_20_2"/>
      <w:bookmarkStart w:id="132" w:name="Tc_JZph6_4KhkqrZsekZ28IBA_20_0"/>
      <w:bookmarkStart w:id="133" w:name="Tc_ceneaazBiEajeClVjRMkmQ_19_0"/>
      <w:bookmarkStart w:id="134" w:name="Tc_IzZ1TDLdcU6anbf_Hjhwmw_18_0"/>
      <w:bookmarkStart w:id="135" w:name="Tc_vLQ1_TJkY0WLm3L1eFeyPw_17_0"/>
      <w:bookmarkStart w:id="136" w:name="Tc_DhlNLM-Cf0Orvo-33N980g_16_0"/>
      <w:bookmarkStart w:id="137" w:name="Tc_XMhZjOBnRk-B2rLDO7I3jA_15_0"/>
      <w:bookmarkStart w:id="138" w:name="Tc_ZHC5Ev359UWlaNoeDrnSiw_14_0"/>
      <w:bookmarkStart w:id="139" w:name="Tc_IjG2KLMpDUGxyijzTNNlDg_13_0"/>
      <w:bookmarkStart w:id="140" w:name="Tc_CtGHUIB5IkqZxT6Nz1JRJw_12_0"/>
      <w:bookmarkStart w:id="141" w:name="Tc_dq5pnmz9YEm5WWn6a6orog_11_0"/>
      <w:bookmarkStart w:id="142" w:name="Tc_QQC2ta-FMEaXcQ_3GrkxQw_9_0"/>
      <w:bookmarkStart w:id="143" w:name="Tc_dBdRNS-Pb06mFtCkmD48ZA_8_0"/>
      <w:bookmarkStart w:id="144" w:name="Tc_3t7_1SF5Qk-zpCuu0YEsEg_7_0"/>
      <w:bookmarkStart w:id="145" w:name="Tc_K_bKP7LlcUaJSg4zGk1s_A_6_0"/>
      <w:bookmarkStart w:id="146" w:name="Tc_KIgRBWSzpkapOnfjfhFb5g_5_5"/>
      <w:bookmarkStart w:id="147" w:name="Tc_awOVxkD4t0SV1aFy0cn3GQ_5_2"/>
      <w:bookmarkStart w:id="148" w:name="Tc_2c2HylZa802SUonNQLTdKA_5_0"/>
      <w:bookmarkStart w:id="149" w:name="Tc_K-pjol8R20O318YvNSE7lw_4_0"/>
      <w:bookmarkStart w:id="150" w:name="Tc_hUco0i-rV0-TpmgIQgNsKA_3_0"/>
      <w:bookmarkStart w:id="151" w:name="Tc_L606qyqGnkaCgyh6bJAWlA_2_5"/>
      <w:bookmarkStart w:id="152" w:name="Tc_s2sXMi30skyu1v63g907QA_2_2"/>
      <w:bookmarkStart w:id="153" w:name="Tc_VKDmXaVDzUeipm5AgtAPIA_1_5"/>
      <w:bookmarkStart w:id="154" w:name="Tc_t1MRo6hVo0-wH95KiwG9Wg_1_2"/>
      <w:bookmarkStart w:id="155" w:name="_62f6e044_215d_41e1_ad4f_59ce9b3b012e"/>
      <w:bookmarkStart w:id="156" w:name="_tblColumn_1_1"/>
      <w:bookmarkStart w:id="157" w:name="_tblInd_1_0"/>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tbl>
      <w:tblPr>
        <w:tblW w:w="10205" w:type="dxa"/>
        <w:jc w:val="left"/>
        <w:tblInd w:w="0" w:type="dxa"/>
        <w:tblLayout w:type="fixed"/>
        <w:tblCellMar>
          <w:top w:w="0" w:type="dxa"/>
          <w:left w:w="0" w:type="dxa"/>
          <w:bottom w:w="0" w:type="dxa"/>
          <w:right w:w="0" w:type="dxa"/>
        </w:tblCellMar>
      </w:tblPr>
      <w:tblGrid>
        <w:gridCol w:w="7128"/>
        <w:gridCol w:w="346"/>
        <w:gridCol w:w="196"/>
        <w:gridCol w:w="826"/>
        <w:gridCol w:w="346"/>
        <w:gridCol w:w="223"/>
        <w:gridCol w:w="948"/>
        <w:gridCol w:w="192"/>
      </w:tblGrid>
      <w:tr>
        <w:trPr/>
        <w:tc>
          <w:tcPr>
            <w:tcW w:w="71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4526280" cy="175260"/>
                      <wp:effectExtent l="0" t="0" r="0" b="0"/>
                      <wp:wrapNone/>
                      <wp:docPr id="4" name="Frame4"/>
                      <a:graphic xmlns:a="http://schemas.openxmlformats.org/drawingml/2006/main">
                        <a:graphicData uri="http://schemas.microsoft.com/office/word/2010/wordprocessingShape">
                          <wps:wsp>
                            <wps:cNvSpPr txBox="1"/>
                            <wps:spPr>
                              <a:xfrm>
                                <a:off x="0" y="0"/>
                                <a:ext cx="45262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24460" cy="175260"/>
                      <wp:effectExtent l="0" t="0" r="0" b="0"/>
                      <wp:wrapNone/>
                      <wp:docPr id="6" name="Frame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24510" cy="175260"/>
                      <wp:effectExtent l="0" t="0" r="0" b="0"/>
                      <wp:wrapNone/>
                      <wp:docPr id="7" name="Frame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8"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41605" cy="175260"/>
                      <wp:effectExtent l="0" t="0" r="0" b="0"/>
                      <wp:wrapNone/>
                      <wp:docPr id="9" name="Frame9"/>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01980" cy="175260"/>
                      <wp:effectExtent l="0" t="0" r="0" b="0"/>
                      <wp:wrapNone/>
                      <wp:docPr id="10" name="Frame10"/>
                      <a:graphic xmlns:a="http://schemas.openxmlformats.org/drawingml/2006/main">
                        <a:graphicData uri="http://schemas.microsoft.com/office/word/2010/wordprocessingShape">
                          <wps:wsp>
                            <wps:cNvSpPr txBox="1"/>
                            <wps:spPr>
                              <a:xfrm>
                                <a:off x="0" y="0"/>
                                <a:ext cx="6019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21920" cy="175260"/>
                      <wp:effectExtent l="0" t="0" r="0" b="0"/>
                      <wp:wrapNone/>
                      <wp:docPr id="11" name="Frame11"/>
                      <a:graphic xmlns:a="http://schemas.openxmlformats.org/drawingml/2006/main">
                        <a:graphicData uri="http://schemas.microsoft.com/office/word/2010/wordprocessingShape">
                          <wps:wsp>
                            <wps:cNvSpPr txBox="1"/>
                            <wps:spPr>
                              <a:xfrm>
                                <a:off x="0" y="0"/>
                                <a:ext cx="1219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7128"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022"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7"/>
              </w:rPr>
            </w:pPr>
            <w:r>
              <w:rPr>
                <w:rFonts w:ascii="Arial;Helvetica;sans-serif" w:hAnsi="Arial;Helvetica;sans-serif"/>
                <w:b/>
                <w:sz w:val="17"/>
              </w:rPr>
              <w:t xml:space="preserve">June 30, </w:t>
            </w:r>
          </w:p>
        </w:tc>
        <w:tc>
          <w:tcPr>
            <w:tcW w:w="346" w:type="dxa"/>
            <w:tcBorders/>
            <w:vAlign w:val="center"/>
          </w:tcPr>
          <w:p>
            <w:pPr>
              <w:pStyle w:val="TableContents"/>
              <w:bidi w:val="0"/>
              <w:spacing w:lineRule="auto" w:line="285" w:before="0" w:after="0"/>
              <w:ind w:left="0" w:right="0" w:hanging="0"/>
              <w:jc w:val="left"/>
              <w:rPr/>
            </w:pPr>
            <w:r>
              <w:rPr/>
              <w:t>​</w:t>
            </w:r>
          </w:p>
        </w:tc>
        <w:tc>
          <w:tcPr>
            <w:tcW w:w="1171"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7"/>
              </w:rPr>
            </w:pPr>
            <w:r>
              <w:rPr>
                <w:rFonts w:ascii="Arial;Helvetica;sans-serif" w:hAnsi="Arial;Helvetica;sans-serif"/>
                <w:b/>
                <w:sz w:val="17"/>
              </w:rPr>
              <w:t xml:space="preserve">December 31, </w:t>
            </w:r>
          </w:p>
        </w:tc>
        <w:tc>
          <w:tcPr>
            <w:tcW w:w="192" w:type="dxa"/>
            <w:tcBorders/>
            <w:vAlign w:val="center"/>
          </w:tcPr>
          <w:p>
            <w:pPr>
              <w:pStyle w:val="TableContents"/>
              <w:bidi w:val="0"/>
              <w:spacing w:lineRule="auto" w:line="285" w:before="0" w:after="0"/>
              <w:ind w:left="0" w:right="0" w:hanging="0"/>
              <w:jc w:val="center"/>
              <w:rPr/>
            </w:pPr>
            <w:r>
              <w:rPr/>
              <w:t> </w:t>
            </w:r>
          </w:p>
        </w:tc>
      </w:tr>
      <w:tr>
        <w:trPr/>
        <w:tc>
          <w:tcPr>
            <w:tcW w:w="7128"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7"/>
              </w:rPr>
            </w:pPr>
            <w:r>
              <w:rPr>
                <w:rFonts w:ascii="Arial;Helvetica;sans-serif" w:hAnsi="Arial;Helvetica;sans-serif"/>
                <w:b/>
                <w:sz w:val="17"/>
              </w:rPr>
              <w:t>2026</w:t>
            </w:r>
          </w:p>
        </w:tc>
        <w:tc>
          <w:tcPr>
            <w:tcW w:w="346" w:type="dxa"/>
            <w:tcBorders/>
            <w:vAlign w:val="center"/>
          </w:tcPr>
          <w:p>
            <w:pPr>
              <w:pStyle w:val="TableContents"/>
              <w:bidi w:val="0"/>
              <w:spacing w:lineRule="auto" w:line="285" w:before="0" w:after="0"/>
              <w:ind w:left="0" w:right="0" w:hanging="0"/>
              <w:jc w:val="center"/>
              <w:rPr/>
            </w:pPr>
            <w:r>
              <w:rPr/>
              <w:t>  ​ ​ ​</w:t>
            </w:r>
          </w:p>
        </w:tc>
        <w:tc>
          <w:tcPr>
            <w:tcW w:w="11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7"/>
              </w:rPr>
            </w:pPr>
            <w:r>
              <w:rPr>
                <w:rFonts w:ascii="Arial;Helvetica;sans-serif" w:hAnsi="Arial;Helvetica;sans-serif"/>
                <w:b/>
                <w:sz w:val="17"/>
              </w:rPr>
              <w:t>2025</w:t>
            </w:r>
          </w:p>
        </w:tc>
        <w:tc>
          <w:tcPr>
            <w:tcW w:w="192" w:type="dxa"/>
            <w:tcBorders/>
            <w:vAlign w:val="center"/>
          </w:tcPr>
          <w:p>
            <w:pPr>
              <w:pStyle w:val="TableContents"/>
              <w:bidi w:val="0"/>
              <w:spacing w:lineRule="auto" w:line="285" w:before="0" w:after="0"/>
              <w:ind w:left="0" w:right="0" w:hanging="0"/>
              <w:jc w:val="center"/>
              <w:rPr/>
            </w:pPr>
            <w:r>
              <w:rPr/>
              <w:t> </w:t>
            </w:r>
          </w:p>
        </w:tc>
      </w:tr>
      <w:tr>
        <w:trPr/>
        <w:tc>
          <w:tcPr>
            <w:tcW w:w="7128"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7"/>
              </w:rPr>
            </w:pPr>
            <w:r>
              <w:rPr>
                <w:rFonts w:ascii="Arial;Helvetica;sans-serif" w:hAnsi="Arial;Helvetica;sans-serif"/>
                <w:b/>
                <w:sz w:val="17"/>
              </w:rPr>
              <w:t>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82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right"/>
              <w:rPr/>
            </w:pPr>
            <w:r>
              <w:rPr/>
              <w:t>​</w:t>
            </w:r>
          </w:p>
        </w:tc>
        <w:tc>
          <w:tcPr>
            <w:tcW w:w="948" w:type="dxa"/>
            <w:tcBorders/>
            <w:shd w:fill="CCEEFF" w:val="clear"/>
            <w:vAlign w:val="center"/>
          </w:tcPr>
          <w:p>
            <w:pPr>
              <w:pStyle w:val="TableContents"/>
              <w:bidi w:val="0"/>
              <w:spacing w:lineRule="auto" w:line="285" w:before="0" w:after="0"/>
              <w:ind w:left="0" w:right="0" w:hanging="0"/>
              <w:jc w:val="right"/>
              <w:rPr/>
            </w:pPr>
            <w:r>
              <w:rPr/>
              <w:t>​</w:t>
            </w:r>
          </w:p>
        </w:tc>
        <w:tc>
          <w:tcPr>
            <w:tcW w:w="192" w:type="dxa"/>
            <w:tcBorders/>
            <w:shd w:fill="CCEEFF" w:val="clear"/>
            <w:vAlign w:val="center"/>
          </w:tcPr>
          <w:p>
            <w:pPr>
              <w:pStyle w:val="TableContents"/>
              <w:bidi w:val="0"/>
              <w:spacing w:lineRule="auto" w:line="285" w:before="0" w:after="0"/>
              <w:ind w:left="0" w:right="0" w:hanging="0"/>
              <w:jc w:val="left"/>
              <w:rPr/>
            </w:pPr>
            <w:r>
              <w:rPr/>
              <w:t>​</w:t>
            </w:r>
          </w:p>
        </w:tc>
      </w:tr>
      <w:tr>
        <w:trPr/>
        <w:tc>
          <w:tcPr>
            <w:tcW w:w="7128" w:type="dxa"/>
            <w:tcBorders/>
            <w:vAlign w:val="center"/>
          </w:tcPr>
          <w:p>
            <w:pPr>
              <w:pStyle w:val="TableContents"/>
              <w:bidi w:val="0"/>
              <w:spacing w:lineRule="auto" w:line="285" w:before="0" w:after="0"/>
              <w:ind w:left="0" w:right="0" w:hanging="0"/>
              <w:jc w:val="left"/>
              <w:rPr>
                <w:rFonts w:ascii="Arial;Helvetica;sans-serif" w:hAnsi="Arial;Helvetica;sans-serif"/>
                <w:b/>
                <w:sz w:val="17"/>
              </w:rPr>
            </w:pPr>
            <w:r>
              <w:rPr>
                <w:rFonts w:ascii="Arial;Helvetica;sans-serif" w:hAnsi="Arial;Helvetica;sans-serif"/>
                <w:b/>
                <w:sz w:val="17"/>
              </w:rPr>
              <w:t>Current assets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82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right"/>
              <w:rPr/>
            </w:pPr>
            <w:r>
              <w:rPr/>
              <w:t>​</w:t>
            </w:r>
          </w:p>
        </w:tc>
        <w:tc>
          <w:tcPr>
            <w:tcW w:w="948" w:type="dxa"/>
            <w:tcBorders/>
            <w:vAlign w:val="center"/>
          </w:tcPr>
          <w:p>
            <w:pPr>
              <w:pStyle w:val="TableContents"/>
              <w:bidi w:val="0"/>
              <w:spacing w:lineRule="auto" w:line="285" w:before="0" w:after="0"/>
              <w:ind w:left="0" w:right="0" w:hanging="0"/>
              <w:jc w:val="right"/>
              <w:rPr/>
            </w:pPr>
            <w:r>
              <w:rPr/>
              <w:t>​</w:t>
            </w:r>
          </w:p>
        </w:tc>
        <w:tc>
          <w:tcPr>
            <w:tcW w:w="192" w:type="dxa"/>
            <w:tcBorders/>
            <w:vAlign w:val="center"/>
          </w:tcPr>
          <w:p>
            <w:pPr>
              <w:pStyle w:val="TableContents"/>
              <w:bidi w:val="0"/>
              <w:spacing w:lineRule="auto" w:line="285" w:before="0" w:after="0"/>
              <w:ind w:left="0" w:right="0" w:hanging="0"/>
              <w:jc w:val="left"/>
              <w:rPr/>
            </w:pPr>
            <w:r>
              <w:rPr/>
              <w:t>​</w:t>
            </w:r>
          </w:p>
        </w:tc>
      </w:tr>
      <w:tr>
        <w:trPr/>
        <w:tc>
          <w:tcPr>
            <w:tcW w:w="7128"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Cash and cash equivalents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w:t>
            </w:r>
          </w:p>
        </w:tc>
        <w:tc>
          <w:tcPr>
            <w:tcW w:w="82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93,869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w:t>
            </w:r>
          </w:p>
        </w:tc>
        <w:tc>
          <w:tcPr>
            <w:tcW w:w="948"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82,901</w:t>
            </w:r>
          </w:p>
        </w:tc>
        <w:tc>
          <w:tcPr>
            <w:tcW w:w="192" w:type="dxa"/>
            <w:tcBorders/>
            <w:shd w:fill="CCEEFF" w:val="clear"/>
            <w:vAlign w:val="center"/>
          </w:tcPr>
          <w:p>
            <w:pPr>
              <w:pStyle w:val="TableContents"/>
              <w:bidi w:val="0"/>
              <w:spacing w:lineRule="auto" w:line="285" w:before="0" w:after="0"/>
              <w:ind w:left="0" w:right="0" w:hanging="0"/>
              <w:jc w:val="left"/>
              <w:rPr/>
            </w:pPr>
            <w:r>
              <w:rPr/>
              <w:t>​</w:t>
            </w:r>
          </w:p>
        </w:tc>
      </w:tr>
      <w:tr>
        <w:trPr/>
        <w:tc>
          <w:tcPr>
            <w:tcW w:w="7128" w:type="dxa"/>
            <w:tcBorders/>
            <w:vAlign w:val="center"/>
          </w:tcPr>
          <w:p>
            <w:pPr>
              <w:pStyle w:val="TableContents"/>
              <w:bidi w:val="0"/>
              <w:spacing w:lineRule="auto" w:line="285" w:before="0" w:after="0"/>
              <w:ind w:left="0" w:right="0" w:hanging="0"/>
              <w:jc w:val="left"/>
              <w:rPr>
                <w:rFonts w:ascii="Arial;Helvetica;sans-serif" w:hAnsi="Arial;Helvetica;sans-serif"/>
                <w:sz w:val="16"/>
              </w:rPr>
            </w:pPr>
            <w:r>
              <w:rPr>
                <w:rFonts w:ascii="Arial;Helvetica;sans-serif" w:hAnsi="Arial;Helvetica;sans-serif"/>
                <w:sz w:val="17"/>
              </w:rPr>
              <w:t>Accounts receivable, net of allowance of $1,890</w:t>
            </w:r>
            <w:r>
              <w:rPr>
                <w:rFonts w:ascii="Arial;Helvetica;sans-serif" w:hAnsi="Arial;Helvetica;sans-serif"/>
                <w:sz w:val="16"/>
              </w:rPr>
              <w:t xml:space="preserve"> </w:t>
            </w:r>
            <w:r>
              <w:rPr>
                <w:rFonts w:ascii="Arial;Helvetica;sans-serif" w:hAnsi="Arial;Helvetica;sans-serif"/>
                <w:sz w:val="17"/>
              </w:rPr>
              <w:t>and $4,908</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826"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396,188</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right"/>
              <w:rPr/>
            </w:pPr>
            <w:r>
              <w:rPr/>
              <w:t> </w:t>
            </w:r>
          </w:p>
        </w:tc>
        <w:tc>
          <w:tcPr>
            <w:tcW w:w="948"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455,829</w:t>
            </w:r>
          </w:p>
        </w:tc>
        <w:tc>
          <w:tcPr>
            <w:tcW w:w="192" w:type="dxa"/>
            <w:tcBorders/>
            <w:vAlign w:val="center"/>
          </w:tcPr>
          <w:p>
            <w:pPr>
              <w:pStyle w:val="TableContents"/>
              <w:bidi w:val="0"/>
              <w:spacing w:lineRule="auto" w:line="285" w:before="0" w:after="0"/>
              <w:ind w:left="0" w:right="0" w:hanging="0"/>
              <w:jc w:val="left"/>
              <w:rPr/>
            </w:pPr>
            <w:r>
              <w:rPr/>
              <w:t>​</w:t>
            </w:r>
          </w:p>
        </w:tc>
      </w:tr>
      <w:tr>
        <w:trPr/>
        <w:tc>
          <w:tcPr>
            <w:tcW w:w="7128"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Prepaids and other current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82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89,068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right"/>
              <w:rPr/>
            </w:pPr>
            <w:r>
              <w:rPr/>
              <w:t> </w:t>
            </w:r>
          </w:p>
        </w:tc>
        <w:tc>
          <w:tcPr>
            <w:tcW w:w="948"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124,006</w:t>
            </w:r>
          </w:p>
        </w:tc>
        <w:tc>
          <w:tcPr>
            <w:tcW w:w="192" w:type="dxa"/>
            <w:tcBorders/>
            <w:shd w:fill="CCEEFF" w:val="clear"/>
            <w:vAlign w:val="center"/>
          </w:tcPr>
          <w:p>
            <w:pPr>
              <w:pStyle w:val="TableContents"/>
              <w:bidi w:val="0"/>
              <w:spacing w:lineRule="auto" w:line="285" w:before="0" w:after="0"/>
              <w:ind w:left="0" w:right="0" w:hanging="0"/>
              <w:jc w:val="left"/>
              <w:rPr/>
            </w:pPr>
            <w:r>
              <w:rPr/>
              <w:t>​</w:t>
            </w:r>
          </w:p>
        </w:tc>
      </w:tr>
      <w:tr>
        <w:trPr/>
        <w:tc>
          <w:tcPr>
            <w:tcW w:w="7128" w:type="dxa"/>
            <w:tcBorders/>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Income and other tax receivables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13,041</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94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10,615</w:t>
            </w:r>
          </w:p>
        </w:tc>
        <w:tc>
          <w:tcPr>
            <w:tcW w:w="192" w:type="dxa"/>
            <w:tcBorders/>
            <w:vAlign w:val="center"/>
          </w:tcPr>
          <w:p>
            <w:pPr>
              <w:pStyle w:val="TableContents"/>
              <w:bidi w:val="0"/>
              <w:spacing w:lineRule="auto" w:line="285" w:before="0" w:after="0"/>
              <w:ind w:left="0" w:right="0" w:hanging="0"/>
              <w:jc w:val="left"/>
              <w:rPr/>
            </w:pPr>
            <w:r>
              <w:rPr/>
              <w:t>​</w:t>
            </w:r>
          </w:p>
        </w:tc>
      </w:tr>
      <w:tr>
        <w:trPr/>
        <w:tc>
          <w:tcPr>
            <w:tcW w:w="7128"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Total current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82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592,166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right"/>
              <w:rPr/>
            </w:pPr>
            <w:r>
              <w:rPr/>
              <w:t> </w:t>
            </w:r>
          </w:p>
        </w:tc>
        <w:tc>
          <w:tcPr>
            <w:tcW w:w="948"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673,351</w:t>
            </w:r>
          </w:p>
        </w:tc>
        <w:tc>
          <w:tcPr>
            <w:tcW w:w="192" w:type="dxa"/>
            <w:tcBorders/>
            <w:shd w:fill="CCEEFF" w:val="clear"/>
            <w:vAlign w:val="center"/>
          </w:tcPr>
          <w:p>
            <w:pPr>
              <w:pStyle w:val="TableContents"/>
              <w:bidi w:val="0"/>
              <w:spacing w:lineRule="auto" w:line="285" w:before="0" w:after="0"/>
              <w:ind w:left="0" w:right="0" w:hanging="0"/>
              <w:jc w:val="left"/>
              <w:rPr/>
            </w:pPr>
            <w:r>
              <w:rPr/>
              <w:t>​</w:t>
            </w:r>
          </w:p>
        </w:tc>
      </w:tr>
      <w:tr>
        <w:trPr/>
        <w:tc>
          <w:tcPr>
            <w:tcW w:w="7128"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82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right"/>
              <w:rPr/>
            </w:pPr>
            <w:r>
              <w:rPr/>
              <w:t>​</w:t>
            </w:r>
          </w:p>
        </w:tc>
        <w:tc>
          <w:tcPr>
            <w:tcW w:w="948" w:type="dxa"/>
            <w:tcBorders/>
            <w:vAlign w:val="center"/>
          </w:tcPr>
          <w:p>
            <w:pPr>
              <w:pStyle w:val="TableContents"/>
              <w:bidi w:val="0"/>
              <w:spacing w:lineRule="auto" w:line="285" w:before="0" w:after="0"/>
              <w:ind w:left="0" w:right="0" w:hanging="0"/>
              <w:jc w:val="right"/>
              <w:rPr/>
            </w:pPr>
            <w:r>
              <w:rPr/>
              <w:t>​</w:t>
            </w:r>
          </w:p>
        </w:tc>
        <w:tc>
          <w:tcPr>
            <w:tcW w:w="192" w:type="dxa"/>
            <w:tcBorders/>
            <w:vAlign w:val="center"/>
          </w:tcPr>
          <w:p>
            <w:pPr>
              <w:pStyle w:val="TableContents"/>
              <w:bidi w:val="0"/>
              <w:spacing w:lineRule="auto" w:line="285" w:before="0" w:after="0"/>
              <w:ind w:left="0" w:right="0" w:hanging="0"/>
              <w:jc w:val="left"/>
              <w:rPr/>
            </w:pPr>
            <w:r>
              <w:rPr/>
              <w:t>​</w:t>
            </w:r>
          </w:p>
        </w:tc>
      </w:tr>
      <w:tr>
        <w:trPr/>
        <w:tc>
          <w:tcPr>
            <w:tcW w:w="7128"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7"/>
              </w:rPr>
            </w:pPr>
            <w:r>
              <w:rPr>
                <w:rFonts w:ascii="Arial;Helvetica;sans-serif" w:hAnsi="Arial;Helvetica;sans-serif"/>
                <w:b/>
                <w:sz w:val="17"/>
              </w:rPr>
              <w:t>Long-term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82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right"/>
              <w:rPr/>
            </w:pPr>
            <w:r>
              <w:rPr/>
              <w:t>​</w:t>
            </w:r>
          </w:p>
        </w:tc>
        <w:tc>
          <w:tcPr>
            <w:tcW w:w="948" w:type="dxa"/>
            <w:tcBorders/>
            <w:shd w:fill="CCEEFF" w:val="clear"/>
            <w:vAlign w:val="center"/>
          </w:tcPr>
          <w:p>
            <w:pPr>
              <w:pStyle w:val="TableContents"/>
              <w:bidi w:val="0"/>
              <w:spacing w:lineRule="auto" w:line="285" w:before="0" w:after="0"/>
              <w:ind w:left="0" w:right="0" w:hanging="0"/>
              <w:jc w:val="right"/>
              <w:rPr/>
            </w:pPr>
            <w:r>
              <w:rPr/>
              <w:t>​</w:t>
            </w:r>
          </w:p>
        </w:tc>
        <w:tc>
          <w:tcPr>
            <w:tcW w:w="192" w:type="dxa"/>
            <w:tcBorders/>
            <w:shd w:fill="CCEEFF" w:val="clear"/>
            <w:vAlign w:val="center"/>
          </w:tcPr>
          <w:p>
            <w:pPr>
              <w:pStyle w:val="TableContents"/>
              <w:bidi w:val="0"/>
              <w:spacing w:lineRule="auto" w:line="285" w:before="0" w:after="0"/>
              <w:ind w:left="0" w:right="0" w:hanging="0"/>
              <w:jc w:val="left"/>
              <w:rPr/>
            </w:pPr>
            <w:r>
              <w:rPr/>
              <w:t>​</w:t>
            </w:r>
          </w:p>
        </w:tc>
      </w:tr>
      <w:tr>
        <w:trPr/>
        <w:tc>
          <w:tcPr>
            <w:tcW w:w="7128" w:type="dxa"/>
            <w:tcBorders/>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Property, plant and equipment, net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826"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104,685</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right"/>
              <w:rPr/>
            </w:pPr>
            <w:r>
              <w:rPr/>
              <w:t> </w:t>
            </w:r>
          </w:p>
        </w:tc>
        <w:tc>
          <w:tcPr>
            <w:tcW w:w="948"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111,778</w:t>
            </w:r>
          </w:p>
        </w:tc>
        <w:tc>
          <w:tcPr>
            <w:tcW w:w="192" w:type="dxa"/>
            <w:tcBorders/>
            <w:vAlign w:val="center"/>
          </w:tcPr>
          <w:p>
            <w:pPr>
              <w:pStyle w:val="TableContents"/>
              <w:bidi w:val="0"/>
              <w:spacing w:lineRule="auto" w:line="285" w:before="0" w:after="0"/>
              <w:ind w:left="0" w:right="0" w:hanging="0"/>
              <w:jc w:val="left"/>
              <w:rPr/>
            </w:pPr>
            <w:r>
              <w:rPr/>
              <w:t>​</w:t>
            </w:r>
          </w:p>
        </w:tc>
      </w:tr>
      <w:tr>
        <w:trPr/>
        <w:tc>
          <w:tcPr>
            <w:tcW w:w="7128"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Operating lease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82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69,676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right"/>
              <w:rPr/>
            </w:pPr>
            <w:r>
              <w:rPr/>
              <w:t>​</w:t>
            </w:r>
          </w:p>
        </w:tc>
        <w:tc>
          <w:tcPr>
            <w:tcW w:w="948"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86,064</w:t>
            </w:r>
          </w:p>
        </w:tc>
        <w:tc>
          <w:tcPr>
            <w:tcW w:w="192" w:type="dxa"/>
            <w:tcBorders/>
            <w:shd w:fill="CCEEFF" w:val="clear"/>
            <w:vAlign w:val="center"/>
          </w:tcPr>
          <w:p>
            <w:pPr>
              <w:pStyle w:val="TableContents"/>
              <w:bidi w:val="0"/>
              <w:spacing w:lineRule="auto" w:line="285" w:before="0" w:after="0"/>
              <w:ind w:left="0" w:right="0" w:hanging="0"/>
              <w:jc w:val="left"/>
              <w:rPr/>
            </w:pPr>
            <w:r>
              <w:rPr/>
              <w:t>​</w:t>
            </w:r>
          </w:p>
        </w:tc>
      </w:tr>
      <w:tr>
        <w:trPr/>
        <w:tc>
          <w:tcPr>
            <w:tcW w:w="7128" w:type="dxa"/>
            <w:tcBorders/>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Goodwill</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826"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367,902</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right"/>
              <w:rPr/>
            </w:pPr>
            <w:r>
              <w:rPr/>
              <w:t> </w:t>
            </w:r>
          </w:p>
        </w:tc>
        <w:tc>
          <w:tcPr>
            <w:tcW w:w="948"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368,678</w:t>
            </w:r>
          </w:p>
        </w:tc>
        <w:tc>
          <w:tcPr>
            <w:tcW w:w="192" w:type="dxa"/>
            <w:tcBorders/>
            <w:vAlign w:val="center"/>
          </w:tcPr>
          <w:p>
            <w:pPr>
              <w:pStyle w:val="TableContents"/>
              <w:bidi w:val="0"/>
              <w:spacing w:lineRule="auto" w:line="285" w:before="0" w:after="0"/>
              <w:ind w:left="0" w:right="0" w:hanging="0"/>
              <w:jc w:val="left"/>
              <w:rPr/>
            </w:pPr>
            <w:r>
              <w:rPr/>
              <w:t>​</w:t>
            </w:r>
          </w:p>
        </w:tc>
      </w:tr>
      <w:tr>
        <w:trPr/>
        <w:tc>
          <w:tcPr>
            <w:tcW w:w="7128"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Deferred tax assets,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82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6,665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right"/>
              <w:rPr/>
            </w:pPr>
            <w:r>
              <w:rPr/>
              <w:t> </w:t>
            </w:r>
          </w:p>
        </w:tc>
        <w:tc>
          <w:tcPr>
            <w:tcW w:w="948"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6,581</w:t>
            </w:r>
          </w:p>
        </w:tc>
        <w:tc>
          <w:tcPr>
            <w:tcW w:w="192" w:type="dxa"/>
            <w:tcBorders/>
            <w:shd w:fill="CCEEFF" w:val="clear"/>
            <w:vAlign w:val="center"/>
          </w:tcPr>
          <w:p>
            <w:pPr>
              <w:pStyle w:val="TableContents"/>
              <w:bidi w:val="0"/>
              <w:spacing w:lineRule="auto" w:line="285" w:before="0" w:after="0"/>
              <w:ind w:left="0" w:right="0" w:hanging="0"/>
              <w:jc w:val="left"/>
              <w:rPr/>
            </w:pPr>
            <w:r>
              <w:rPr/>
              <w:t>​</w:t>
            </w:r>
          </w:p>
        </w:tc>
      </w:tr>
      <w:tr>
        <w:trPr/>
        <w:tc>
          <w:tcPr>
            <w:tcW w:w="7128" w:type="dxa"/>
            <w:tcBorders/>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Other intangible assets, net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826"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117,909</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right"/>
              <w:rPr/>
            </w:pPr>
            <w:r>
              <w:rPr/>
              <w:t> </w:t>
            </w:r>
          </w:p>
        </w:tc>
        <w:tc>
          <w:tcPr>
            <w:tcW w:w="948"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133,688</w:t>
            </w:r>
          </w:p>
        </w:tc>
        <w:tc>
          <w:tcPr>
            <w:tcW w:w="192" w:type="dxa"/>
            <w:tcBorders/>
            <w:vAlign w:val="center"/>
          </w:tcPr>
          <w:p>
            <w:pPr>
              <w:pStyle w:val="TableContents"/>
              <w:bidi w:val="0"/>
              <w:spacing w:lineRule="auto" w:line="285" w:before="0" w:after="0"/>
              <w:ind w:left="0" w:right="0" w:hanging="0"/>
              <w:jc w:val="left"/>
              <w:rPr/>
            </w:pPr>
            <w:r>
              <w:rPr/>
              <w:t>​</w:t>
            </w:r>
          </w:p>
        </w:tc>
      </w:tr>
      <w:tr>
        <w:trPr/>
        <w:tc>
          <w:tcPr>
            <w:tcW w:w="7128"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Income and other tax receivables, long-term</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82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9,171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right"/>
              <w:rPr/>
            </w:pPr>
            <w:r>
              <w:rPr/>
              <w:t>​</w:t>
            </w:r>
          </w:p>
        </w:tc>
        <w:tc>
          <w:tcPr>
            <w:tcW w:w="948"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8,595</w:t>
            </w:r>
          </w:p>
        </w:tc>
        <w:tc>
          <w:tcPr>
            <w:tcW w:w="192" w:type="dxa"/>
            <w:tcBorders/>
            <w:shd w:fill="CCEEFF" w:val="clear"/>
            <w:vAlign w:val="center"/>
          </w:tcPr>
          <w:p>
            <w:pPr>
              <w:pStyle w:val="TableContents"/>
              <w:bidi w:val="0"/>
              <w:spacing w:lineRule="auto" w:line="285" w:before="0" w:after="0"/>
              <w:ind w:left="0" w:right="0" w:hanging="0"/>
              <w:jc w:val="left"/>
              <w:rPr/>
            </w:pPr>
            <w:r>
              <w:rPr/>
              <w:t>​</w:t>
            </w:r>
          </w:p>
        </w:tc>
      </w:tr>
      <w:tr>
        <w:trPr/>
        <w:tc>
          <w:tcPr>
            <w:tcW w:w="7128" w:type="dxa"/>
            <w:tcBorders/>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Other long-term assets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105,473</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94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110,347</w:t>
            </w:r>
          </w:p>
        </w:tc>
        <w:tc>
          <w:tcPr>
            <w:tcW w:w="192" w:type="dxa"/>
            <w:tcBorders/>
            <w:vAlign w:val="center"/>
          </w:tcPr>
          <w:p>
            <w:pPr>
              <w:pStyle w:val="TableContents"/>
              <w:bidi w:val="0"/>
              <w:spacing w:lineRule="auto" w:line="285" w:before="0" w:after="0"/>
              <w:ind w:left="0" w:right="0" w:hanging="0"/>
              <w:jc w:val="left"/>
              <w:rPr/>
            </w:pPr>
            <w:r>
              <w:rPr/>
              <w:t>​</w:t>
            </w:r>
          </w:p>
        </w:tc>
      </w:tr>
      <w:tr>
        <w:trPr/>
        <w:tc>
          <w:tcPr>
            <w:tcW w:w="7128"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Total long-term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781,481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4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825,731</w:t>
            </w:r>
          </w:p>
        </w:tc>
        <w:tc>
          <w:tcPr>
            <w:tcW w:w="192" w:type="dxa"/>
            <w:tcBorders/>
            <w:shd w:fill="CCEEFF" w:val="clear"/>
            <w:vAlign w:val="center"/>
          </w:tcPr>
          <w:p>
            <w:pPr>
              <w:pStyle w:val="TableContents"/>
              <w:bidi w:val="0"/>
              <w:spacing w:lineRule="auto" w:line="285" w:before="0" w:after="0"/>
              <w:ind w:left="0" w:right="0" w:hanging="0"/>
              <w:jc w:val="left"/>
              <w:rPr/>
            </w:pPr>
            <w:r>
              <w:rPr/>
              <w:t>​</w:t>
            </w:r>
          </w:p>
        </w:tc>
      </w:tr>
      <w:tr>
        <w:trPr/>
        <w:tc>
          <w:tcPr>
            <w:tcW w:w="7128" w:type="dxa"/>
            <w:tcBorders/>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Total assets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w:t>
            </w:r>
          </w:p>
        </w:tc>
        <w:tc>
          <w:tcPr>
            <w:tcW w:w="82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1,373,647</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w:t>
            </w:r>
          </w:p>
        </w:tc>
        <w:tc>
          <w:tcPr>
            <w:tcW w:w="948"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1,499,082</w:t>
            </w:r>
          </w:p>
        </w:tc>
        <w:tc>
          <w:tcPr>
            <w:tcW w:w="192" w:type="dxa"/>
            <w:tcBorders/>
            <w:vAlign w:val="center"/>
          </w:tcPr>
          <w:p>
            <w:pPr>
              <w:pStyle w:val="TableContents"/>
              <w:bidi w:val="0"/>
              <w:spacing w:lineRule="auto" w:line="285" w:before="0" w:after="0"/>
              <w:ind w:left="0" w:right="0" w:hanging="0"/>
              <w:jc w:val="left"/>
              <w:rPr/>
            </w:pPr>
            <w:r>
              <w:rPr/>
              <w:t>​</w:t>
            </w:r>
          </w:p>
        </w:tc>
      </w:tr>
      <w:tr>
        <w:trPr/>
        <w:tc>
          <w:tcPr>
            <w:tcW w:w="7128"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82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right"/>
              <w:rPr/>
            </w:pPr>
            <w:r>
              <w:rPr/>
              <w:t>​</w:t>
            </w:r>
          </w:p>
        </w:tc>
        <w:tc>
          <w:tcPr>
            <w:tcW w:w="948" w:type="dxa"/>
            <w:tcBorders/>
            <w:shd w:fill="CCEEFF" w:val="clear"/>
            <w:vAlign w:val="center"/>
          </w:tcPr>
          <w:p>
            <w:pPr>
              <w:pStyle w:val="TableContents"/>
              <w:bidi w:val="0"/>
              <w:spacing w:lineRule="auto" w:line="285" w:before="0" w:after="0"/>
              <w:ind w:left="0" w:right="0" w:hanging="0"/>
              <w:jc w:val="right"/>
              <w:rPr/>
            </w:pPr>
            <w:r>
              <w:rPr/>
              <w:t>​</w:t>
            </w:r>
          </w:p>
        </w:tc>
        <w:tc>
          <w:tcPr>
            <w:tcW w:w="192" w:type="dxa"/>
            <w:tcBorders/>
            <w:shd w:fill="CCEEFF" w:val="clear"/>
            <w:vAlign w:val="center"/>
          </w:tcPr>
          <w:p>
            <w:pPr>
              <w:pStyle w:val="TableContents"/>
              <w:bidi w:val="0"/>
              <w:spacing w:lineRule="auto" w:line="285" w:before="0" w:after="0"/>
              <w:ind w:left="0" w:right="0" w:hanging="0"/>
              <w:jc w:val="left"/>
              <w:rPr/>
            </w:pPr>
            <w:r>
              <w:rPr/>
              <w:t>​</w:t>
            </w:r>
          </w:p>
        </w:tc>
      </w:tr>
      <w:tr>
        <w:trPr/>
        <w:tc>
          <w:tcPr>
            <w:tcW w:w="7128" w:type="dxa"/>
            <w:tcBorders/>
            <w:vAlign w:val="center"/>
          </w:tcPr>
          <w:p>
            <w:pPr>
              <w:pStyle w:val="TableContents"/>
              <w:bidi w:val="0"/>
              <w:spacing w:lineRule="auto" w:line="285" w:before="0" w:after="0"/>
              <w:ind w:left="0" w:right="0" w:hanging="0"/>
              <w:jc w:val="left"/>
              <w:rPr>
                <w:rFonts w:ascii="Arial;Helvetica;sans-serif" w:hAnsi="Arial;Helvetica;sans-serif"/>
                <w:b/>
                <w:sz w:val="17"/>
              </w:rPr>
            </w:pPr>
            <w:r>
              <w:rPr>
                <w:rFonts w:ascii="Arial;Helvetica;sans-serif" w:hAnsi="Arial;Helvetica;sans-serif"/>
                <w:b/>
                <w:sz w:val="17"/>
              </w:rPr>
              <w:t>LIABILITIES, STOCKHOLDERS’ EQUITY</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82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right"/>
              <w:rPr/>
            </w:pPr>
            <w:r>
              <w:rPr/>
              <w:t>​</w:t>
            </w:r>
          </w:p>
        </w:tc>
        <w:tc>
          <w:tcPr>
            <w:tcW w:w="948" w:type="dxa"/>
            <w:tcBorders/>
            <w:vAlign w:val="center"/>
          </w:tcPr>
          <w:p>
            <w:pPr>
              <w:pStyle w:val="TableContents"/>
              <w:bidi w:val="0"/>
              <w:spacing w:lineRule="auto" w:line="285" w:before="0" w:after="0"/>
              <w:ind w:left="0" w:right="0" w:hanging="0"/>
              <w:jc w:val="right"/>
              <w:rPr/>
            </w:pPr>
            <w:r>
              <w:rPr/>
              <w:t>​</w:t>
            </w:r>
          </w:p>
        </w:tc>
        <w:tc>
          <w:tcPr>
            <w:tcW w:w="192" w:type="dxa"/>
            <w:tcBorders/>
            <w:vAlign w:val="center"/>
          </w:tcPr>
          <w:p>
            <w:pPr>
              <w:pStyle w:val="TableContents"/>
              <w:bidi w:val="0"/>
              <w:spacing w:lineRule="auto" w:line="285" w:before="0" w:after="0"/>
              <w:ind w:left="0" w:right="0" w:hanging="0"/>
              <w:jc w:val="left"/>
              <w:rPr/>
            </w:pPr>
            <w:r>
              <w:rPr/>
              <w:t>​</w:t>
            </w:r>
          </w:p>
        </w:tc>
      </w:tr>
      <w:tr>
        <w:trPr/>
        <w:tc>
          <w:tcPr>
            <w:tcW w:w="7128"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7"/>
              </w:rPr>
            </w:pPr>
            <w:r>
              <w:rPr>
                <w:rFonts w:ascii="Arial;Helvetica;sans-serif" w:hAnsi="Arial;Helvetica;sans-serif"/>
                <w:b/>
                <w:sz w:val="17"/>
              </w:rPr>
              <w:t>Current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82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right"/>
              <w:rPr/>
            </w:pPr>
            <w:r>
              <w:rPr/>
              <w:t>​</w:t>
            </w:r>
          </w:p>
        </w:tc>
        <w:tc>
          <w:tcPr>
            <w:tcW w:w="948" w:type="dxa"/>
            <w:tcBorders/>
            <w:shd w:fill="CCEEFF" w:val="clear"/>
            <w:vAlign w:val="center"/>
          </w:tcPr>
          <w:p>
            <w:pPr>
              <w:pStyle w:val="TableContents"/>
              <w:bidi w:val="0"/>
              <w:spacing w:lineRule="auto" w:line="285" w:before="0" w:after="0"/>
              <w:ind w:left="0" w:right="0" w:hanging="0"/>
              <w:jc w:val="right"/>
              <w:rPr/>
            </w:pPr>
            <w:r>
              <w:rPr/>
              <w:t>​</w:t>
            </w:r>
          </w:p>
        </w:tc>
        <w:tc>
          <w:tcPr>
            <w:tcW w:w="192" w:type="dxa"/>
            <w:tcBorders/>
            <w:shd w:fill="CCEEFF" w:val="clear"/>
            <w:vAlign w:val="center"/>
          </w:tcPr>
          <w:p>
            <w:pPr>
              <w:pStyle w:val="TableContents"/>
              <w:bidi w:val="0"/>
              <w:spacing w:lineRule="auto" w:line="285" w:before="0" w:after="0"/>
              <w:ind w:left="0" w:right="0" w:hanging="0"/>
              <w:jc w:val="left"/>
              <w:rPr/>
            </w:pPr>
            <w:r>
              <w:rPr/>
              <w:t>​</w:t>
            </w:r>
          </w:p>
        </w:tc>
      </w:tr>
      <w:tr>
        <w:trPr/>
        <w:tc>
          <w:tcPr>
            <w:tcW w:w="7128" w:type="dxa"/>
            <w:tcBorders/>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Accounts payable</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w:t>
            </w:r>
          </w:p>
        </w:tc>
        <w:tc>
          <w:tcPr>
            <w:tcW w:w="826"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66,517</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w:t>
            </w:r>
          </w:p>
        </w:tc>
        <w:tc>
          <w:tcPr>
            <w:tcW w:w="948"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72,637</w:t>
            </w:r>
          </w:p>
        </w:tc>
        <w:tc>
          <w:tcPr>
            <w:tcW w:w="192" w:type="dxa"/>
            <w:tcBorders/>
            <w:vAlign w:val="center"/>
          </w:tcPr>
          <w:p>
            <w:pPr>
              <w:pStyle w:val="TableContents"/>
              <w:bidi w:val="0"/>
              <w:spacing w:lineRule="auto" w:line="285" w:before="0" w:after="0"/>
              <w:ind w:left="0" w:right="0" w:hanging="0"/>
              <w:jc w:val="left"/>
              <w:rPr/>
            </w:pPr>
            <w:r>
              <w:rPr/>
              <w:t>​</w:t>
            </w:r>
          </w:p>
        </w:tc>
      </w:tr>
      <w:tr>
        <w:trPr/>
        <w:tc>
          <w:tcPr>
            <w:tcW w:w="7128"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Accrued employee compensation and benefits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82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114,497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right"/>
              <w:rPr/>
            </w:pPr>
            <w:r>
              <w:rPr/>
              <w:t> </w:t>
            </w:r>
          </w:p>
        </w:tc>
        <w:tc>
          <w:tcPr>
            <w:tcW w:w="948"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155,400</w:t>
            </w:r>
          </w:p>
        </w:tc>
        <w:tc>
          <w:tcPr>
            <w:tcW w:w="192" w:type="dxa"/>
            <w:tcBorders/>
            <w:shd w:fill="CCEEFF" w:val="clear"/>
            <w:vAlign w:val="center"/>
          </w:tcPr>
          <w:p>
            <w:pPr>
              <w:pStyle w:val="TableContents"/>
              <w:bidi w:val="0"/>
              <w:spacing w:lineRule="auto" w:line="285" w:before="0" w:after="0"/>
              <w:ind w:left="0" w:right="0" w:hanging="0"/>
              <w:jc w:val="left"/>
              <w:rPr/>
            </w:pPr>
            <w:r>
              <w:rPr/>
              <w:t>​</w:t>
            </w:r>
          </w:p>
        </w:tc>
      </w:tr>
      <w:tr>
        <w:trPr/>
        <w:tc>
          <w:tcPr>
            <w:tcW w:w="7128" w:type="dxa"/>
            <w:tcBorders/>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Other accrued expenses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826"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20,741</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right"/>
              <w:rPr/>
            </w:pPr>
            <w:r>
              <w:rPr/>
              <w:t> </w:t>
            </w:r>
          </w:p>
        </w:tc>
        <w:tc>
          <w:tcPr>
            <w:tcW w:w="948"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19,674</w:t>
            </w:r>
          </w:p>
        </w:tc>
        <w:tc>
          <w:tcPr>
            <w:tcW w:w="192" w:type="dxa"/>
            <w:tcBorders/>
            <w:vAlign w:val="center"/>
          </w:tcPr>
          <w:p>
            <w:pPr>
              <w:pStyle w:val="TableContents"/>
              <w:bidi w:val="0"/>
              <w:spacing w:lineRule="auto" w:line="285" w:before="0" w:after="0"/>
              <w:ind w:left="0" w:right="0" w:hanging="0"/>
              <w:jc w:val="left"/>
              <w:rPr/>
            </w:pPr>
            <w:r>
              <w:rPr/>
              <w:t>​</w:t>
            </w:r>
          </w:p>
        </w:tc>
      </w:tr>
      <w:tr>
        <w:trPr/>
        <w:tc>
          <w:tcPr>
            <w:tcW w:w="7128"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Income tax payable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82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19,958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right"/>
              <w:rPr/>
            </w:pPr>
            <w:r>
              <w:rPr/>
              <w:t> </w:t>
            </w:r>
          </w:p>
        </w:tc>
        <w:tc>
          <w:tcPr>
            <w:tcW w:w="948"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11,959</w:t>
            </w:r>
          </w:p>
        </w:tc>
        <w:tc>
          <w:tcPr>
            <w:tcW w:w="192" w:type="dxa"/>
            <w:tcBorders/>
            <w:shd w:fill="CCEEFF" w:val="clear"/>
            <w:vAlign w:val="center"/>
          </w:tcPr>
          <w:p>
            <w:pPr>
              <w:pStyle w:val="TableContents"/>
              <w:bidi w:val="0"/>
              <w:spacing w:lineRule="auto" w:line="285" w:before="0" w:after="0"/>
              <w:ind w:left="0" w:right="0" w:hanging="0"/>
              <w:jc w:val="left"/>
              <w:rPr/>
            </w:pPr>
            <w:r>
              <w:rPr/>
              <w:t>​</w:t>
            </w:r>
          </w:p>
        </w:tc>
      </w:tr>
      <w:tr>
        <w:trPr/>
        <w:tc>
          <w:tcPr>
            <w:tcW w:w="7128" w:type="dxa"/>
            <w:tcBorders/>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Deferred revenue</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826"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59,564</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right"/>
              <w:rPr/>
            </w:pPr>
            <w:r>
              <w:rPr/>
              <w:t> </w:t>
            </w:r>
          </w:p>
        </w:tc>
        <w:tc>
          <w:tcPr>
            <w:tcW w:w="948"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58,828</w:t>
            </w:r>
          </w:p>
        </w:tc>
        <w:tc>
          <w:tcPr>
            <w:tcW w:w="192" w:type="dxa"/>
            <w:tcBorders/>
            <w:vAlign w:val="center"/>
          </w:tcPr>
          <w:p>
            <w:pPr>
              <w:pStyle w:val="TableContents"/>
              <w:bidi w:val="0"/>
              <w:spacing w:lineRule="auto" w:line="285" w:before="0" w:after="0"/>
              <w:ind w:left="0" w:right="0" w:hanging="0"/>
              <w:jc w:val="left"/>
              <w:rPr/>
            </w:pPr>
            <w:r>
              <w:rPr/>
              <w:t>​</w:t>
            </w:r>
          </w:p>
        </w:tc>
      </w:tr>
      <w:tr>
        <w:trPr/>
        <w:tc>
          <w:tcPr>
            <w:tcW w:w="7128"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Current operating lease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82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30,257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right"/>
              <w:rPr/>
            </w:pPr>
            <w:r>
              <w:rPr/>
              <w:t>​</w:t>
            </w:r>
          </w:p>
        </w:tc>
        <w:tc>
          <w:tcPr>
            <w:tcW w:w="948"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34,188</w:t>
            </w:r>
          </w:p>
        </w:tc>
        <w:tc>
          <w:tcPr>
            <w:tcW w:w="192" w:type="dxa"/>
            <w:tcBorders/>
            <w:shd w:fill="CCEEFF" w:val="clear"/>
            <w:vAlign w:val="center"/>
          </w:tcPr>
          <w:p>
            <w:pPr>
              <w:pStyle w:val="TableContents"/>
              <w:bidi w:val="0"/>
              <w:spacing w:lineRule="auto" w:line="285" w:before="0" w:after="0"/>
              <w:ind w:left="0" w:right="0" w:hanging="0"/>
              <w:jc w:val="left"/>
              <w:rPr/>
            </w:pPr>
            <w:r>
              <w:rPr/>
              <w:t>​</w:t>
            </w:r>
          </w:p>
        </w:tc>
      </w:tr>
      <w:tr>
        <w:trPr/>
        <w:tc>
          <w:tcPr>
            <w:tcW w:w="7128" w:type="dxa"/>
            <w:tcBorders/>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Other current liabilities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5,755</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94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3,266</w:t>
            </w:r>
          </w:p>
        </w:tc>
        <w:tc>
          <w:tcPr>
            <w:tcW w:w="192" w:type="dxa"/>
            <w:tcBorders/>
            <w:vAlign w:val="center"/>
          </w:tcPr>
          <w:p>
            <w:pPr>
              <w:pStyle w:val="TableContents"/>
              <w:bidi w:val="0"/>
              <w:spacing w:lineRule="auto" w:line="285" w:before="0" w:after="0"/>
              <w:ind w:left="0" w:right="0" w:hanging="0"/>
              <w:jc w:val="left"/>
              <w:rPr/>
            </w:pPr>
            <w:r>
              <w:rPr/>
              <w:t>​</w:t>
            </w:r>
          </w:p>
        </w:tc>
      </w:tr>
      <w:tr>
        <w:trPr/>
        <w:tc>
          <w:tcPr>
            <w:tcW w:w="7128"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Total current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82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317,289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right"/>
              <w:rPr/>
            </w:pPr>
            <w:r>
              <w:rPr/>
              <w:t> </w:t>
            </w:r>
          </w:p>
        </w:tc>
        <w:tc>
          <w:tcPr>
            <w:tcW w:w="948"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355,952</w:t>
            </w:r>
          </w:p>
        </w:tc>
        <w:tc>
          <w:tcPr>
            <w:tcW w:w="192" w:type="dxa"/>
            <w:tcBorders/>
            <w:shd w:fill="CCEEFF" w:val="clear"/>
            <w:vAlign w:val="center"/>
          </w:tcPr>
          <w:p>
            <w:pPr>
              <w:pStyle w:val="TableContents"/>
              <w:bidi w:val="0"/>
              <w:spacing w:lineRule="auto" w:line="285" w:before="0" w:after="0"/>
              <w:ind w:left="0" w:right="0" w:hanging="0"/>
              <w:jc w:val="left"/>
              <w:rPr/>
            </w:pPr>
            <w:r>
              <w:rPr/>
              <w:t>​</w:t>
            </w:r>
          </w:p>
        </w:tc>
      </w:tr>
      <w:tr>
        <w:trPr/>
        <w:tc>
          <w:tcPr>
            <w:tcW w:w="7128"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82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right"/>
              <w:rPr/>
            </w:pPr>
            <w:r>
              <w:rPr/>
              <w:t>​</w:t>
            </w:r>
          </w:p>
        </w:tc>
        <w:tc>
          <w:tcPr>
            <w:tcW w:w="948" w:type="dxa"/>
            <w:tcBorders/>
            <w:vAlign w:val="center"/>
          </w:tcPr>
          <w:p>
            <w:pPr>
              <w:pStyle w:val="TableContents"/>
              <w:bidi w:val="0"/>
              <w:spacing w:lineRule="auto" w:line="285" w:before="0" w:after="0"/>
              <w:ind w:left="0" w:right="0" w:hanging="0"/>
              <w:jc w:val="right"/>
              <w:rPr/>
            </w:pPr>
            <w:r>
              <w:rPr/>
              <w:t>​</w:t>
            </w:r>
          </w:p>
        </w:tc>
        <w:tc>
          <w:tcPr>
            <w:tcW w:w="192" w:type="dxa"/>
            <w:tcBorders/>
            <w:vAlign w:val="center"/>
          </w:tcPr>
          <w:p>
            <w:pPr>
              <w:pStyle w:val="TableContents"/>
              <w:bidi w:val="0"/>
              <w:spacing w:lineRule="auto" w:line="285" w:before="0" w:after="0"/>
              <w:ind w:left="0" w:right="0" w:hanging="0"/>
              <w:jc w:val="left"/>
              <w:rPr/>
            </w:pPr>
            <w:r>
              <w:rPr/>
              <w:t>​</w:t>
            </w:r>
          </w:p>
        </w:tc>
      </w:tr>
      <w:tr>
        <w:trPr/>
        <w:tc>
          <w:tcPr>
            <w:tcW w:w="7128"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7"/>
              </w:rPr>
            </w:pPr>
            <w:r>
              <w:rPr>
                <w:rFonts w:ascii="Arial;Helvetica;sans-serif" w:hAnsi="Arial;Helvetica;sans-serif"/>
                <w:b/>
                <w:sz w:val="17"/>
              </w:rPr>
              <w:t>Long-term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82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right"/>
              <w:rPr/>
            </w:pPr>
            <w:r>
              <w:rPr/>
              <w:t>​</w:t>
            </w:r>
          </w:p>
        </w:tc>
        <w:tc>
          <w:tcPr>
            <w:tcW w:w="948" w:type="dxa"/>
            <w:tcBorders/>
            <w:shd w:fill="CCEEFF" w:val="clear"/>
            <w:vAlign w:val="center"/>
          </w:tcPr>
          <w:p>
            <w:pPr>
              <w:pStyle w:val="TableContents"/>
              <w:bidi w:val="0"/>
              <w:spacing w:lineRule="auto" w:line="285" w:before="0" w:after="0"/>
              <w:ind w:left="0" w:right="0" w:hanging="0"/>
              <w:jc w:val="right"/>
              <w:rPr/>
            </w:pPr>
            <w:r>
              <w:rPr/>
              <w:t>​</w:t>
            </w:r>
          </w:p>
        </w:tc>
        <w:tc>
          <w:tcPr>
            <w:tcW w:w="192" w:type="dxa"/>
            <w:tcBorders/>
            <w:shd w:fill="CCEEFF" w:val="clear"/>
            <w:vAlign w:val="center"/>
          </w:tcPr>
          <w:p>
            <w:pPr>
              <w:pStyle w:val="TableContents"/>
              <w:bidi w:val="0"/>
              <w:spacing w:lineRule="auto" w:line="285" w:before="0" w:after="0"/>
              <w:ind w:left="0" w:right="0" w:hanging="0"/>
              <w:jc w:val="left"/>
              <w:rPr/>
            </w:pPr>
            <w:r>
              <w:rPr/>
              <w:t>​</w:t>
            </w:r>
          </w:p>
        </w:tc>
      </w:tr>
      <w:tr>
        <w:trPr/>
        <w:tc>
          <w:tcPr>
            <w:tcW w:w="7128" w:type="dxa"/>
            <w:tcBorders/>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Line of credit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826"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855,000</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right"/>
              <w:rPr/>
            </w:pPr>
            <w:r>
              <w:rPr/>
              <w:t> </w:t>
            </w:r>
          </w:p>
        </w:tc>
        <w:tc>
          <w:tcPr>
            <w:tcW w:w="948"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905,000</w:t>
            </w:r>
          </w:p>
        </w:tc>
        <w:tc>
          <w:tcPr>
            <w:tcW w:w="192" w:type="dxa"/>
            <w:tcBorders/>
            <w:vAlign w:val="center"/>
          </w:tcPr>
          <w:p>
            <w:pPr>
              <w:pStyle w:val="TableContents"/>
              <w:bidi w:val="0"/>
              <w:spacing w:lineRule="auto" w:line="285" w:before="0" w:after="0"/>
              <w:ind w:left="0" w:right="0" w:hanging="0"/>
              <w:jc w:val="left"/>
              <w:rPr/>
            </w:pPr>
            <w:r>
              <w:rPr/>
              <w:t>​</w:t>
            </w:r>
          </w:p>
        </w:tc>
      </w:tr>
      <w:tr>
        <w:trPr/>
        <w:tc>
          <w:tcPr>
            <w:tcW w:w="7128"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Deferred tax liabilities,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82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1,445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right"/>
              <w:rPr/>
            </w:pPr>
            <w:r>
              <w:rPr/>
              <w:t> </w:t>
            </w:r>
          </w:p>
        </w:tc>
        <w:tc>
          <w:tcPr>
            <w:tcW w:w="948"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1,225</w:t>
            </w:r>
          </w:p>
        </w:tc>
        <w:tc>
          <w:tcPr>
            <w:tcW w:w="192" w:type="dxa"/>
            <w:tcBorders/>
            <w:shd w:fill="CCEEFF" w:val="clear"/>
            <w:vAlign w:val="center"/>
          </w:tcPr>
          <w:p>
            <w:pPr>
              <w:pStyle w:val="TableContents"/>
              <w:bidi w:val="0"/>
              <w:spacing w:lineRule="auto" w:line="285" w:before="0" w:after="0"/>
              <w:ind w:left="0" w:right="0" w:hanging="0"/>
              <w:jc w:val="left"/>
              <w:rPr/>
            </w:pPr>
            <w:r>
              <w:rPr/>
              <w:t>​</w:t>
            </w:r>
          </w:p>
        </w:tc>
      </w:tr>
      <w:tr>
        <w:trPr/>
        <w:tc>
          <w:tcPr>
            <w:tcW w:w="7128" w:type="dxa"/>
            <w:tcBorders/>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Non-current income tax payable</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82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right"/>
              <w:rPr/>
            </w:pPr>
            <w:r>
              <w:rPr/>
              <w:t>​</w:t>
            </w:r>
          </w:p>
        </w:tc>
        <w:tc>
          <w:tcPr>
            <w:tcW w:w="948" w:type="dxa"/>
            <w:tcBorders/>
            <w:vAlign w:val="center"/>
          </w:tcPr>
          <w:p>
            <w:pPr>
              <w:pStyle w:val="TableContents"/>
              <w:bidi w:val="0"/>
              <w:spacing w:lineRule="auto" w:line="285" w:before="0" w:after="0"/>
              <w:ind w:left="0" w:right="0" w:hanging="0"/>
              <w:jc w:val="right"/>
              <w:rPr/>
            </w:pPr>
            <w:r>
              <w:rPr/>
              <w:t>—</w:t>
            </w:r>
          </w:p>
        </w:tc>
        <w:tc>
          <w:tcPr>
            <w:tcW w:w="192" w:type="dxa"/>
            <w:tcBorders/>
            <w:vAlign w:val="center"/>
          </w:tcPr>
          <w:p>
            <w:pPr>
              <w:pStyle w:val="TableContents"/>
              <w:bidi w:val="0"/>
              <w:spacing w:lineRule="auto" w:line="285" w:before="0" w:after="0"/>
              <w:ind w:left="0" w:right="0" w:hanging="0"/>
              <w:jc w:val="left"/>
              <w:rPr/>
            </w:pPr>
            <w:r>
              <w:rPr/>
              <w:t>​</w:t>
            </w:r>
          </w:p>
        </w:tc>
      </w:tr>
      <w:tr>
        <w:trPr/>
        <w:tc>
          <w:tcPr>
            <w:tcW w:w="7128"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Non-current operating lease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82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48,117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right"/>
              <w:rPr/>
            </w:pPr>
            <w:r>
              <w:rPr/>
              <w:t>​</w:t>
            </w:r>
          </w:p>
        </w:tc>
        <w:tc>
          <w:tcPr>
            <w:tcW w:w="948"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61,170</w:t>
            </w:r>
          </w:p>
        </w:tc>
        <w:tc>
          <w:tcPr>
            <w:tcW w:w="192" w:type="dxa"/>
            <w:tcBorders/>
            <w:shd w:fill="CCEEFF" w:val="clear"/>
            <w:vAlign w:val="center"/>
          </w:tcPr>
          <w:p>
            <w:pPr>
              <w:pStyle w:val="TableContents"/>
              <w:bidi w:val="0"/>
              <w:spacing w:lineRule="auto" w:line="285" w:before="0" w:after="0"/>
              <w:ind w:left="0" w:right="0" w:hanging="0"/>
              <w:jc w:val="left"/>
              <w:rPr/>
            </w:pPr>
            <w:r>
              <w:rPr/>
              <w:t>​</w:t>
            </w:r>
          </w:p>
        </w:tc>
      </w:tr>
      <w:tr>
        <w:trPr/>
        <w:tc>
          <w:tcPr>
            <w:tcW w:w="7128" w:type="dxa"/>
            <w:tcBorders/>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Other long-term liabilities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60,966</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94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62,832</w:t>
            </w:r>
          </w:p>
        </w:tc>
        <w:tc>
          <w:tcPr>
            <w:tcW w:w="192" w:type="dxa"/>
            <w:tcBorders/>
            <w:vAlign w:val="center"/>
          </w:tcPr>
          <w:p>
            <w:pPr>
              <w:pStyle w:val="TableContents"/>
              <w:bidi w:val="0"/>
              <w:spacing w:lineRule="auto" w:line="285" w:before="0" w:after="0"/>
              <w:ind w:left="0" w:right="0" w:hanging="0"/>
              <w:jc w:val="left"/>
              <w:rPr/>
            </w:pPr>
            <w:r>
              <w:rPr/>
              <w:t>​</w:t>
            </w:r>
          </w:p>
        </w:tc>
      </w:tr>
      <w:tr>
        <w:trPr/>
        <w:tc>
          <w:tcPr>
            <w:tcW w:w="7128"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Total long-term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965,528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4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1,030,227</w:t>
            </w:r>
          </w:p>
        </w:tc>
        <w:tc>
          <w:tcPr>
            <w:tcW w:w="192" w:type="dxa"/>
            <w:tcBorders/>
            <w:shd w:fill="CCEEFF" w:val="clear"/>
            <w:vAlign w:val="center"/>
          </w:tcPr>
          <w:p>
            <w:pPr>
              <w:pStyle w:val="TableContents"/>
              <w:bidi w:val="0"/>
              <w:spacing w:lineRule="auto" w:line="285" w:before="0" w:after="0"/>
              <w:ind w:left="0" w:right="0" w:hanging="0"/>
              <w:jc w:val="left"/>
              <w:rPr/>
            </w:pPr>
            <w:r>
              <w:rPr/>
              <w:t>​</w:t>
            </w:r>
          </w:p>
        </w:tc>
      </w:tr>
      <w:tr>
        <w:trPr/>
        <w:tc>
          <w:tcPr>
            <w:tcW w:w="7128" w:type="dxa"/>
            <w:tcBorders/>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Total liabilities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826"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1,282,817</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right"/>
              <w:rPr/>
            </w:pPr>
            <w:r>
              <w:rPr/>
              <w:t> </w:t>
            </w:r>
          </w:p>
        </w:tc>
        <w:tc>
          <w:tcPr>
            <w:tcW w:w="948"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1,386,179</w:t>
            </w:r>
          </w:p>
        </w:tc>
        <w:tc>
          <w:tcPr>
            <w:tcW w:w="192" w:type="dxa"/>
            <w:tcBorders/>
            <w:vAlign w:val="center"/>
          </w:tcPr>
          <w:p>
            <w:pPr>
              <w:pStyle w:val="TableContents"/>
              <w:bidi w:val="0"/>
              <w:spacing w:lineRule="auto" w:line="285" w:before="0" w:after="0"/>
              <w:ind w:left="0" w:right="0" w:hanging="0"/>
              <w:jc w:val="left"/>
              <w:rPr/>
            </w:pPr>
            <w:r>
              <w:rPr/>
              <w:t>​</w:t>
            </w:r>
          </w:p>
        </w:tc>
      </w:tr>
      <w:tr>
        <w:trPr/>
        <w:tc>
          <w:tcPr>
            <w:tcW w:w="7128"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82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right"/>
              <w:rPr/>
            </w:pPr>
            <w:r>
              <w:rPr/>
              <w:t>​</w:t>
            </w:r>
          </w:p>
        </w:tc>
        <w:tc>
          <w:tcPr>
            <w:tcW w:w="948" w:type="dxa"/>
            <w:tcBorders/>
            <w:shd w:fill="CCEEFF" w:val="clear"/>
            <w:vAlign w:val="center"/>
          </w:tcPr>
          <w:p>
            <w:pPr>
              <w:pStyle w:val="TableContents"/>
              <w:bidi w:val="0"/>
              <w:spacing w:lineRule="auto" w:line="285" w:before="0" w:after="0"/>
              <w:ind w:left="0" w:right="0" w:hanging="0"/>
              <w:jc w:val="right"/>
              <w:rPr/>
            </w:pPr>
            <w:r>
              <w:rPr/>
              <w:t>​</w:t>
            </w:r>
          </w:p>
        </w:tc>
        <w:tc>
          <w:tcPr>
            <w:tcW w:w="192" w:type="dxa"/>
            <w:tcBorders/>
            <w:shd w:fill="CCEEFF" w:val="clear"/>
            <w:vAlign w:val="center"/>
          </w:tcPr>
          <w:p>
            <w:pPr>
              <w:pStyle w:val="TableContents"/>
              <w:bidi w:val="0"/>
              <w:spacing w:lineRule="auto" w:line="285" w:before="0" w:after="0"/>
              <w:ind w:left="0" w:right="0" w:hanging="0"/>
              <w:jc w:val="left"/>
              <w:rPr/>
            </w:pPr>
            <w:r>
              <w:rPr/>
              <w:t>​</w:t>
            </w:r>
          </w:p>
        </w:tc>
      </w:tr>
      <w:tr>
        <w:trPr/>
        <w:tc>
          <w:tcPr>
            <w:tcW w:w="7128" w:type="dxa"/>
            <w:tcBorders/>
            <w:vAlign w:val="center"/>
          </w:tcPr>
          <w:p>
            <w:pPr>
              <w:pStyle w:val="TableContents"/>
              <w:bidi w:val="0"/>
              <w:spacing w:lineRule="auto" w:line="285" w:before="0" w:after="0"/>
              <w:ind w:left="0" w:right="0" w:hanging="0"/>
              <w:jc w:val="left"/>
              <w:rPr>
                <w:rFonts w:ascii="Arial;Helvetica;sans-serif" w:hAnsi="Arial;Helvetica;sans-serif"/>
                <w:b/>
                <w:sz w:val="17"/>
              </w:rPr>
            </w:pPr>
            <w:r>
              <w:rPr>
                <w:rFonts w:ascii="Arial;Helvetica;sans-serif" w:hAnsi="Arial;Helvetica;sans-serif"/>
                <w:b/>
                <w:sz w:val="17"/>
              </w:rPr>
              <w:t>Commitments and contingencies (Note 9)</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82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right"/>
              <w:rPr/>
            </w:pPr>
            <w:r>
              <w:rPr/>
              <w:t>​</w:t>
            </w:r>
          </w:p>
        </w:tc>
        <w:tc>
          <w:tcPr>
            <w:tcW w:w="948" w:type="dxa"/>
            <w:tcBorders/>
            <w:vAlign w:val="center"/>
          </w:tcPr>
          <w:p>
            <w:pPr>
              <w:pStyle w:val="TableContents"/>
              <w:bidi w:val="0"/>
              <w:spacing w:lineRule="auto" w:line="285" w:before="0" w:after="0"/>
              <w:ind w:left="0" w:right="0" w:hanging="0"/>
              <w:jc w:val="right"/>
              <w:rPr/>
            </w:pPr>
            <w:r>
              <w:rPr/>
              <w:t>​</w:t>
            </w:r>
          </w:p>
        </w:tc>
        <w:tc>
          <w:tcPr>
            <w:tcW w:w="192" w:type="dxa"/>
            <w:tcBorders/>
            <w:vAlign w:val="center"/>
          </w:tcPr>
          <w:p>
            <w:pPr>
              <w:pStyle w:val="TableContents"/>
              <w:bidi w:val="0"/>
              <w:spacing w:lineRule="auto" w:line="285" w:before="0" w:after="0"/>
              <w:ind w:left="0" w:right="0" w:hanging="0"/>
              <w:jc w:val="left"/>
              <w:rPr/>
            </w:pPr>
            <w:r>
              <w:rPr/>
              <w:t>​</w:t>
            </w:r>
          </w:p>
        </w:tc>
      </w:tr>
      <w:tr>
        <w:trPr/>
        <w:tc>
          <w:tcPr>
            <w:tcW w:w="7128"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82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right"/>
              <w:rPr/>
            </w:pPr>
            <w:r>
              <w:rPr/>
              <w:t>​</w:t>
            </w:r>
          </w:p>
        </w:tc>
        <w:tc>
          <w:tcPr>
            <w:tcW w:w="948" w:type="dxa"/>
            <w:tcBorders/>
            <w:shd w:fill="CCEEFF" w:val="clear"/>
            <w:vAlign w:val="center"/>
          </w:tcPr>
          <w:p>
            <w:pPr>
              <w:pStyle w:val="TableContents"/>
              <w:bidi w:val="0"/>
              <w:spacing w:lineRule="auto" w:line="285" w:before="0" w:after="0"/>
              <w:ind w:left="0" w:right="0" w:hanging="0"/>
              <w:jc w:val="right"/>
              <w:rPr/>
            </w:pPr>
            <w:r>
              <w:rPr/>
              <w:t>​</w:t>
            </w:r>
          </w:p>
        </w:tc>
        <w:tc>
          <w:tcPr>
            <w:tcW w:w="192" w:type="dxa"/>
            <w:tcBorders/>
            <w:shd w:fill="CCEEFF" w:val="clear"/>
            <w:vAlign w:val="center"/>
          </w:tcPr>
          <w:p>
            <w:pPr>
              <w:pStyle w:val="TableContents"/>
              <w:bidi w:val="0"/>
              <w:spacing w:lineRule="auto" w:line="285" w:before="0" w:after="0"/>
              <w:ind w:left="0" w:right="0" w:hanging="0"/>
              <w:jc w:val="left"/>
              <w:rPr/>
            </w:pPr>
            <w:r>
              <w:rPr/>
              <w:t>​</w:t>
            </w:r>
          </w:p>
        </w:tc>
      </w:tr>
      <w:tr>
        <w:trPr/>
        <w:tc>
          <w:tcPr>
            <w:tcW w:w="7128" w:type="dxa"/>
            <w:tcBorders/>
            <w:vAlign w:val="center"/>
          </w:tcPr>
          <w:p>
            <w:pPr>
              <w:pStyle w:val="TableContents"/>
              <w:bidi w:val="0"/>
              <w:spacing w:lineRule="auto" w:line="285" w:before="0" w:after="0"/>
              <w:ind w:left="0" w:right="0" w:hanging="0"/>
              <w:jc w:val="left"/>
              <w:rPr>
                <w:rFonts w:ascii="Arial;Helvetica;sans-serif" w:hAnsi="Arial;Helvetica;sans-serif"/>
                <w:b/>
                <w:sz w:val="17"/>
              </w:rPr>
            </w:pPr>
            <w:r>
              <w:rPr>
                <w:rFonts w:ascii="Arial;Helvetica;sans-serif" w:hAnsi="Arial;Helvetica;sans-serif"/>
                <w:b/>
                <w:sz w:val="17"/>
              </w:rPr>
              <w:t>Stockholders’ equity</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82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right"/>
              <w:rPr/>
            </w:pPr>
            <w:r>
              <w:rPr/>
              <w:t>​</w:t>
            </w:r>
          </w:p>
        </w:tc>
        <w:tc>
          <w:tcPr>
            <w:tcW w:w="948" w:type="dxa"/>
            <w:tcBorders/>
            <w:vAlign w:val="center"/>
          </w:tcPr>
          <w:p>
            <w:pPr>
              <w:pStyle w:val="TableContents"/>
              <w:bidi w:val="0"/>
              <w:spacing w:lineRule="auto" w:line="285" w:before="0" w:after="0"/>
              <w:ind w:left="0" w:right="0" w:hanging="0"/>
              <w:jc w:val="right"/>
              <w:rPr/>
            </w:pPr>
            <w:r>
              <w:rPr/>
              <w:t>​</w:t>
            </w:r>
          </w:p>
        </w:tc>
        <w:tc>
          <w:tcPr>
            <w:tcW w:w="192" w:type="dxa"/>
            <w:tcBorders/>
            <w:vAlign w:val="center"/>
          </w:tcPr>
          <w:p>
            <w:pPr>
              <w:pStyle w:val="TableContents"/>
              <w:bidi w:val="0"/>
              <w:spacing w:lineRule="auto" w:line="285" w:before="0" w:after="0"/>
              <w:ind w:left="0" w:right="0" w:hanging="0"/>
              <w:jc w:val="left"/>
              <w:rPr/>
            </w:pPr>
            <w:r>
              <w:rPr/>
              <w:t>​</w:t>
            </w:r>
          </w:p>
        </w:tc>
      </w:tr>
      <w:tr>
        <w:trPr/>
        <w:tc>
          <w:tcPr>
            <w:tcW w:w="7128"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6"/>
              </w:rPr>
            </w:pPr>
            <w:r>
              <w:rPr>
                <w:rFonts w:ascii="Arial;Helvetica;sans-serif" w:hAnsi="Arial;Helvetica;sans-serif"/>
                <w:sz w:val="17"/>
              </w:rPr>
              <w:t>Preferred stock; $0.01</w:t>
            </w:r>
            <w:r>
              <w:rPr>
                <w:rFonts w:ascii="Arial;Helvetica;sans-serif" w:hAnsi="Arial;Helvetica;sans-serif"/>
                <w:sz w:val="16"/>
              </w:rPr>
              <w:t xml:space="preserve"> </w:t>
            </w:r>
            <w:r>
              <w:rPr>
                <w:rFonts w:ascii="Arial;Helvetica;sans-serif" w:hAnsi="Arial;Helvetica;sans-serif"/>
                <w:sz w:val="17"/>
              </w:rPr>
              <w:t>par value; 10,000,000</w:t>
            </w:r>
            <w:r>
              <w:rPr>
                <w:rFonts w:ascii="Arial;Helvetica;sans-serif" w:hAnsi="Arial;Helvetica;sans-serif"/>
                <w:sz w:val="16"/>
              </w:rPr>
              <w:t xml:space="preserve"> </w:t>
            </w:r>
            <w:r>
              <w:rPr>
                <w:rFonts w:ascii="Arial;Helvetica;sans-serif" w:hAnsi="Arial;Helvetica;sans-serif"/>
                <w:sz w:val="17"/>
              </w:rPr>
              <w:t>shares authorized; zero</w:t>
            </w:r>
            <w:r>
              <w:rPr>
                <w:rFonts w:ascii="Arial;Helvetica;sans-serif" w:hAnsi="Arial;Helvetica;sans-serif"/>
                <w:sz w:val="16"/>
              </w:rPr>
              <w:t xml:space="preserve"> </w:t>
            </w:r>
            <w:r>
              <w:rPr>
                <w:rFonts w:ascii="Arial;Helvetica;sans-serif" w:hAnsi="Arial;Helvetica;sans-serif"/>
                <w:sz w:val="17"/>
              </w:rPr>
              <w:t>shares outstanding as of June 30, 2026 and December 31, 2025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82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right"/>
              <w:rPr/>
            </w:pPr>
            <w:r>
              <w:rPr/>
              <w:t>​</w:t>
            </w:r>
          </w:p>
        </w:tc>
        <w:tc>
          <w:tcPr>
            <w:tcW w:w="948" w:type="dxa"/>
            <w:tcBorders/>
            <w:shd w:fill="CCEEFF" w:val="clear"/>
            <w:vAlign w:val="center"/>
          </w:tcPr>
          <w:p>
            <w:pPr>
              <w:pStyle w:val="TableContents"/>
              <w:bidi w:val="0"/>
              <w:spacing w:lineRule="auto" w:line="285" w:before="0" w:after="0"/>
              <w:ind w:left="0" w:right="0" w:hanging="0"/>
              <w:jc w:val="right"/>
              <w:rPr/>
            </w:pPr>
            <w:r>
              <w:rPr/>
              <w:t>—</w:t>
            </w:r>
          </w:p>
        </w:tc>
        <w:tc>
          <w:tcPr>
            <w:tcW w:w="192" w:type="dxa"/>
            <w:tcBorders/>
            <w:shd w:fill="CCEEFF" w:val="clear"/>
            <w:vAlign w:val="center"/>
          </w:tcPr>
          <w:p>
            <w:pPr>
              <w:pStyle w:val="TableContents"/>
              <w:bidi w:val="0"/>
              <w:spacing w:lineRule="auto" w:line="285" w:before="0" w:after="0"/>
              <w:ind w:left="0" w:right="0" w:hanging="0"/>
              <w:jc w:val="left"/>
              <w:rPr/>
            </w:pPr>
            <w:r>
              <w:rPr/>
              <w:t>​</w:t>
            </w:r>
          </w:p>
        </w:tc>
      </w:tr>
      <w:tr>
        <w:trPr/>
        <w:tc>
          <w:tcPr>
            <w:tcW w:w="7128"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17"/>
              </w:rPr>
              <w:t>Common stock; $0.01</w:t>
            </w:r>
            <w:r>
              <w:rPr>
                <w:rFonts w:ascii="Arial;Helvetica;sans-serif" w:hAnsi="Arial;Helvetica;sans-serif"/>
                <w:sz w:val="20"/>
              </w:rPr>
              <w:t xml:space="preserve"> </w:t>
            </w:r>
            <w:r>
              <w:rPr>
                <w:rFonts w:ascii="Arial;Helvetica;sans-serif" w:hAnsi="Arial;Helvetica;sans-serif"/>
                <w:sz w:val="17"/>
              </w:rPr>
              <w:t>par value; 150,000,000</w:t>
            </w:r>
            <w:r>
              <w:rPr>
                <w:rFonts w:ascii="Arial;Helvetica;sans-serif" w:hAnsi="Arial;Helvetica;sans-serif"/>
                <w:sz w:val="20"/>
              </w:rPr>
              <w:t xml:space="preserve"> </w:t>
            </w:r>
            <w:r>
              <w:rPr>
                <w:rFonts w:ascii="Arial;Helvetica;sans-serif" w:hAnsi="Arial;Helvetica;sans-serif"/>
                <w:sz w:val="17"/>
              </w:rPr>
              <w:t>shares authorized; 49,254,514</w:t>
            </w:r>
            <w:r>
              <w:rPr>
                <w:rFonts w:ascii="Arial;Helvetica;sans-serif" w:hAnsi="Arial;Helvetica;sans-serif"/>
                <w:sz w:val="20"/>
              </w:rPr>
              <w:t xml:space="preserve"> </w:t>
            </w:r>
            <w:r>
              <w:rPr>
                <w:rFonts w:ascii="Arial;Helvetica;sans-serif" w:hAnsi="Arial;Helvetica;sans-serif"/>
                <w:sz w:val="17"/>
              </w:rPr>
              <w:t>and 48,560,973</w:t>
            </w:r>
            <w:r>
              <w:rPr>
                <w:rFonts w:ascii="Arial;Helvetica;sans-serif" w:hAnsi="Arial;Helvetica;sans-serif"/>
                <w:sz w:val="20"/>
              </w:rPr>
              <w:t xml:space="preserve"> </w:t>
            </w:r>
            <w:r>
              <w:rPr>
                <w:rFonts w:ascii="Arial;Helvetica;sans-serif" w:hAnsi="Arial;Helvetica;sans-serif"/>
                <w:sz w:val="17"/>
              </w:rPr>
              <w:t xml:space="preserve">shares outstanding as of </w:t>
            </w:r>
            <w:r>
              <w:rPr>
                <w:rFonts w:ascii="Arial;Helvetica;sans-serif" w:hAnsi="Arial;Helvetica;sans-serif"/>
                <w:b w:val="false"/>
                <w:i w:val="false"/>
                <w:caps w:val="false"/>
                <w:smallCaps w:val="false"/>
                <w:sz w:val="17"/>
              </w:rPr>
              <w:t>June 30, 2026</w:t>
            </w:r>
            <w:r>
              <w:rPr>
                <w:rFonts w:ascii="Arial;Helvetica;sans-serif" w:hAnsi="Arial;Helvetica;sans-serif"/>
                <w:sz w:val="20"/>
              </w:rPr>
              <w:t xml:space="preserve"> </w:t>
            </w:r>
            <w:r>
              <w:rPr>
                <w:rFonts w:ascii="Arial;Helvetica;sans-serif" w:hAnsi="Arial;Helvetica;sans-serif"/>
                <w:sz w:val="17"/>
              </w:rPr>
              <w:t xml:space="preserve">and </w:t>
            </w:r>
            <w:r>
              <w:rPr>
                <w:rFonts w:ascii="Arial;Helvetica;sans-serif" w:hAnsi="Arial;Helvetica;sans-serif"/>
                <w:b w:val="false"/>
                <w:i w:val="false"/>
                <w:caps w:val="false"/>
                <w:smallCaps w:val="false"/>
                <w:sz w:val="17"/>
              </w:rPr>
              <w:t>December 31, 2025</w:t>
            </w:r>
            <w:r>
              <w:rPr>
                <w:rFonts w:ascii="Arial;Helvetica;sans-serif" w:hAnsi="Arial;Helvetica;sans-serif"/>
                <w:sz w:val="17"/>
              </w:rPr>
              <w:t>, respectively</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826"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492</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right"/>
              <w:rPr/>
            </w:pPr>
            <w:r>
              <w:rPr/>
              <w:t> </w:t>
            </w:r>
          </w:p>
        </w:tc>
        <w:tc>
          <w:tcPr>
            <w:tcW w:w="948"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486</w:t>
            </w:r>
          </w:p>
        </w:tc>
        <w:tc>
          <w:tcPr>
            <w:tcW w:w="192" w:type="dxa"/>
            <w:tcBorders/>
            <w:vAlign w:val="center"/>
          </w:tcPr>
          <w:p>
            <w:pPr>
              <w:pStyle w:val="TableContents"/>
              <w:bidi w:val="0"/>
              <w:spacing w:lineRule="auto" w:line="285" w:before="0" w:after="0"/>
              <w:ind w:left="0" w:right="0" w:hanging="0"/>
              <w:jc w:val="left"/>
              <w:rPr/>
            </w:pPr>
            <w:r>
              <w:rPr/>
              <w:t>​</w:t>
            </w:r>
          </w:p>
        </w:tc>
      </w:tr>
      <w:tr>
        <w:trPr/>
        <w:tc>
          <w:tcPr>
            <w:tcW w:w="7128"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Additional paid-in capital</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82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436,776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right"/>
              <w:rPr/>
            </w:pPr>
            <w:r>
              <w:rPr/>
              <w:t> </w:t>
            </w:r>
          </w:p>
        </w:tc>
        <w:tc>
          <w:tcPr>
            <w:tcW w:w="948"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432,268</w:t>
            </w:r>
          </w:p>
        </w:tc>
        <w:tc>
          <w:tcPr>
            <w:tcW w:w="192" w:type="dxa"/>
            <w:tcBorders/>
            <w:shd w:fill="CCEEFF" w:val="clear"/>
            <w:vAlign w:val="center"/>
          </w:tcPr>
          <w:p>
            <w:pPr>
              <w:pStyle w:val="TableContents"/>
              <w:bidi w:val="0"/>
              <w:spacing w:lineRule="auto" w:line="285" w:before="0" w:after="0"/>
              <w:ind w:left="0" w:right="0" w:hanging="0"/>
              <w:jc w:val="left"/>
              <w:rPr/>
            </w:pPr>
            <w:r>
              <w:rPr/>
              <w:t>​</w:t>
            </w:r>
          </w:p>
        </w:tc>
      </w:tr>
      <w:tr>
        <w:trPr/>
        <w:tc>
          <w:tcPr>
            <w:tcW w:w="7128" w:type="dxa"/>
            <w:tcBorders/>
            <w:vAlign w:val="center"/>
          </w:tcPr>
          <w:p>
            <w:pPr>
              <w:pStyle w:val="TableContents"/>
              <w:bidi w:val="0"/>
              <w:spacing w:lineRule="auto" w:line="285" w:before="0" w:after="0"/>
              <w:ind w:left="0" w:right="0" w:hanging="0"/>
              <w:jc w:val="left"/>
              <w:rPr>
                <w:rFonts w:ascii="Arial;Helvetica;sans-serif" w:hAnsi="Arial;Helvetica;sans-serif"/>
                <w:sz w:val="16"/>
              </w:rPr>
            </w:pPr>
            <w:r>
              <w:rPr>
                <w:rFonts w:ascii="Arial;Helvetica;sans-serif" w:hAnsi="Arial;Helvetica;sans-serif"/>
                <w:sz w:val="17"/>
              </w:rPr>
              <w:t>Treasury stock at cost; 34,328,112</w:t>
            </w:r>
            <w:r>
              <w:rPr>
                <w:rFonts w:ascii="Arial;Helvetica;sans-serif" w:hAnsi="Arial;Helvetica;sans-serif"/>
                <w:sz w:val="16"/>
              </w:rPr>
              <w:t xml:space="preserve"> </w:t>
            </w:r>
            <w:r>
              <w:rPr>
                <w:rFonts w:ascii="Arial;Helvetica;sans-serif" w:hAnsi="Arial;Helvetica;sans-serif"/>
                <w:sz w:val="17"/>
              </w:rPr>
              <w:t>and 34,328,112</w:t>
            </w:r>
            <w:r>
              <w:rPr>
                <w:rFonts w:ascii="Arial;Helvetica;sans-serif" w:hAnsi="Arial;Helvetica;sans-serif"/>
                <w:sz w:val="16"/>
              </w:rPr>
              <w:t xml:space="preserve"> </w:t>
            </w:r>
            <w:r>
              <w:rPr>
                <w:rFonts w:ascii="Arial;Helvetica;sans-serif" w:hAnsi="Arial;Helvetica;sans-serif"/>
                <w:sz w:val="17"/>
              </w:rPr>
              <w:t>shares as of June 30, 2026 and December 31, 2025, respectively</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826"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(584,900)</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right"/>
              <w:rPr/>
            </w:pPr>
            <w:r>
              <w:rPr/>
              <w:t> </w:t>
            </w:r>
          </w:p>
        </w:tc>
        <w:tc>
          <w:tcPr>
            <w:tcW w:w="948"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(584,900)</w:t>
            </w:r>
          </w:p>
        </w:tc>
        <w:tc>
          <w:tcPr>
            <w:tcW w:w="192" w:type="dxa"/>
            <w:tcBorders/>
            <w:vAlign w:val="center"/>
          </w:tcPr>
          <w:p>
            <w:pPr>
              <w:pStyle w:val="TableContents"/>
              <w:bidi w:val="0"/>
              <w:spacing w:lineRule="auto" w:line="285" w:before="0" w:after="0"/>
              <w:ind w:left="0" w:right="0" w:hanging="0"/>
              <w:jc w:val="left"/>
              <w:rPr/>
            </w:pPr>
            <w:r>
              <w:rPr/>
              <w:t>​</w:t>
            </w:r>
          </w:p>
        </w:tc>
      </w:tr>
      <w:tr>
        <w:trPr/>
        <w:tc>
          <w:tcPr>
            <w:tcW w:w="7128"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Accumulated other comprehensive income (loss)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82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(111,331)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right"/>
              <w:rPr/>
            </w:pPr>
            <w:r>
              <w:rPr/>
              <w:t> </w:t>
            </w:r>
          </w:p>
        </w:tc>
        <w:tc>
          <w:tcPr>
            <w:tcW w:w="948"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(106,938)</w:t>
            </w:r>
          </w:p>
        </w:tc>
        <w:tc>
          <w:tcPr>
            <w:tcW w:w="192" w:type="dxa"/>
            <w:tcBorders/>
            <w:shd w:fill="CCEEFF" w:val="clear"/>
            <w:vAlign w:val="center"/>
          </w:tcPr>
          <w:p>
            <w:pPr>
              <w:pStyle w:val="TableContents"/>
              <w:bidi w:val="0"/>
              <w:spacing w:lineRule="auto" w:line="285" w:before="0" w:after="0"/>
              <w:ind w:left="0" w:right="0" w:hanging="0"/>
              <w:jc w:val="left"/>
              <w:rPr/>
            </w:pPr>
            <w:r>
              <w:rPr/>
              <w:t>​</w:t>
            </w:r>
          </w:p>
        </w:tc>
      </w:tr>
      <w:tr>
        <w:trPr/>
        <w:tc>
          <w:tcPr>
            <w:tcW w:w="7128" w:type="dxa"/>
            <w:tcBorders/>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Retained earnings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826"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331,164</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right"/>
              <w:rPr/>
            </w:pPr>
            <w:r>
              <w:rPr/>
              <w:t> </w:t>
            </w:r>
          </w:p>
        </w:tc>
        <w:tc>
          <w:tcPr>
            <w:tcW w:w="948"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354,151</w:t>
            </w:r>
          </w:p>
        </w:tc>
        <w:tc>
          <w:tcPr>
            <w:tcW w:w="192" w:type="dxa"/>
            <w:tcBorders/>
            <w:vAlign w:val="center"/>
          </w:tcPr>
          <w:p>
            <w:pPr>
              <w:pStyle w:val="TableContents"/>
              <w:bidi w:val="0"/>
              <w:spacing w:lineRule="auto" w:line="285" w:before="0" w:after="0"/>
              <w:ind w:left="0" w:right="0" w:hanging="0"/>
              <w:jc w:val="left"/>
              <w:rPr/>
            </w:pPr>
            <w:r>
              <w:rPr/>
              <w:t>​</w:t>
            </w:r>
          </w:p>
        </w:tc>
      </w:tr>
      <w:tr>
        <w:trPr/>
        <w:tc>
          <w:tcPr>
            <w:tcW w:w="7128"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Noncontrolling interest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18,629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4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17,836</w:t>
            </w:r>
          </w:p>
        </w:tc>
        <w:tc>
          <w:tcPr>
            <w:tcW w:w="192" w:type="dxa"/>
            <w:tcBorders/>
            <w:shd w:fill="CCEEFF" w:val="clear"/>
            <w:vAlign w:val="center"/>
          </w:tcPr>
          <w:p>
            <w:pPr>
              <w:pStyle w:val="TableContents"/>
              <w:bidi w:val="0"/>
              <w:spacing w:lineRule="auto" w:line="285" w:before="0" w:after="0"/>
              <w:ind w:left="0" w:right="0" w:hanging="0"/>
              <w:jc w:val="left"/>
              <w:rPr/>
            </w:pPr>
            <w:r>
              <w:rPr/>
              <w:t>​</w:t>
            </w:r>
          </w:p>
        </w:tc>
      </w:tr>
      <w:tr>
        <w:trPr/>
        <w:tc>
          <w:tcPr>
            <w:tcW w:w="7128" w:type="dxa"/>
            <w:tcBorders/>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Total stockholders’ equity</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90,830</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94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112,903</w:t>
            </w:r>
          </w:p>
        </w:tc>
        <w:tc>
          <w:tcPr>
            <w:tcW w:w="192" w:type="dxa"/>
            <w:tcBorders/>
            <w:vAlign w:val="center"/>
          </w:tcPr>
          <w:p>
            <w:pPr>
              <w:pStyle w:val="TableContents"/>
              <w:bidi w:val="0"/>
              <w:spacing w:lineRule="auto" w:line="285" w:before="0" w:after="0"/>
              <w:ind w:left="0" w:right="0" w:hanging="0"/>
              <w:jc w:val="left"/>
              <w:rPr/>
            </w:pPr>
            <w:r>
              <w:rPr/>
              <w:t>​</w:t>
            </w:r>
          </w:p>
        </w:tc>
      </w:tr>
      <w:tr>
        <w:trPr/>
        <w:tc>
          <w:tcPr>
            <w:tcW w:w="7128"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Total liabilities and stockholders’ equity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w:t>
            </w:r>
          </w:p>
        </w:tc>
        <w:tc>
          <w:tcPr>
            <w:tcW w:w="82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1,373,647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w:t>
            </w:r>
          </w:p>
        </w:tc>
        <w:tc>
          <w:tcPr>
            <w:tcW w:w="94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1,499,082</w:t>
            </w:r>
          </w:p>
        </w:tc>
        <w:tc>
          <w:tcPr>
            <w:tcW w:w="192"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The accompanying notes are an integral part of these consolidated financial statements.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1</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0"/>
        <w:ind w:left="0" w:right="0" w:hanging="0"/>
        <w:jc w:val="center"/>
        <w:rPr>
          <w:rFonts w:ascii="Arial;Helvetica;sans-serif" w:hAnsi="Arial;Helvetica;sans-serif"/>
          <w:b/>
          <w:sz w:val="18"/>
        </w:rPr>
      </w:pPr>
      <w:bookmarkStart w:id="158" w:name="_ced4e6c5_38e4_4701_9fa6_fce07b025208"/>
      <w:bookmarkEnd w:id="158"/>
      <w:r>
        <w:rPr>
          <w:rFonts w:ascii="Arial;Helvetica;sans-serif" w:hAnsi="Arial;Helvetica;sans-serif"/>
          <w:b/>
          <w:sz w:val="18"/>
        </w:rPr>
        <w:t>TTEC HOLDINGS, INC. AND SUBSIDIARIES</w:t>
      </w:r>
    </w:p>
    <w:p>
      <w:pPr>
        <w:pStyle w:val="TextBody"/>
        <w:bidi w:val="0"/>
        <w:spacing w:lineRule="auto" w:line="285" w:before="0" w:after="0"/>
        <w:ind w:left="0" w:right="0" w:hanging="0"/>
        <w:jc w:val="center"/>
        <w:rPr>
          <w:rFonts w:ascii="Arial;Helvetica;sans-serif" w:hAnsi="Arial;Helvetica;sans-serif"/>
          <w:b/>
          <w:sz w:val="18"/>
        </w:rPr>
      </w:pPr>
      <w:bookmarkStart w:id="159" w:name="ConsolidatedStatementsofComprehe_110355"/>
      <w:bookmarkEnd w:id="159"/>
      <w:r>
        <w:rPr>
          <w:rFonts w:ascii="Arial;Helvetica;sans-serif" w:hAnsi="Arial;Helvetica;sans-serif"/>
          <w:b/>
          <w:sz w:val="18"/>
        </w:rPr>
        <w:t>Consolidated Statements of Comprehensive Income (Loss)</w:t>
      </w:r>
    </w:p>
    <w:p>
      <w:pPr>
        <w:pStyle w:val="TextBody"/>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(Amounts in thousands, except per share amounts)</w:t>
      </w:r>
    </w:p>
    <w:p>
      <w:pPr>
        <w:pStyle w:val="TextBody"/>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(Unaudited)</w:t>
      </w:r>
    </w:p>
    <w:p>
      <w:pPr>
        <w:pStyle w:val="TextBody"/>
        <w:bidi w:val="0"/>
        <w:spacing w:lineRule="auto" w:line="285" w:before="0" w:after="0"/>
        <w:ind w:left="0" w:right="0" w:hanging="0"/>
        <w:jc w:val="center"/>
        <w:rPr/>
      </w:pPr>
      <w:r>
        <w:rPr/>
        <w:t>​</w:t>
      </w:r>
    </w:p>
    <w:p>
      <w:pPr>
        <w:pStyle w:val="Normal"/>
        <w:bidi w:val="0"/>
        <w:spacing w:before="0" w:after="0"/>
        <w:jc w:val="left"/>
        <w:rPr>
          <w:sz w:val="4"/>
          <w:szCs w:val="4"/>
        </w:rPr>
      </w:pPr>
      <w:r>
        <w:rPr>
          <w:sz w:val="4"/>
          <w:szCs w:val="4"/>
        </w:rPr>
      </w:r>
      <w:bookmarkStart w:id="160" w:name="Tc_7aZ4vvkRo02N1uhwo2qSFA_49_11"/>
      <w:bookmarkStart w:id="161" w:name="Tc_Xw9iUK5B002Ts15TMmbhDw_49_8"/>
      <w:bookmarkStart w:id="162" w:name="Tc_5Ry8Fe7D-0uKUvT97v7wzQ_49_5"/>
      <w:bookmarkStart w:id="163" w:name="Tc_ptRPJ9yZ40qbuQpCXTQeKg_49_2"/>
      <w:bookmarkStart w:id="164" w:name="Tc_HlpRYA-080WrO69vnHsqsQ_49_0"/>
      <w:bookmarkStart w:id="165" w:name="Tc_qzYd-uqDgUOeRJwpjK6pOw_48_11"/>
      <w:bookmarkStart w:id="166" w:name="Tc_yjxYyqgwOU2mN7Rrl9zwtw_48_8"/>
      <w:bookmarkStart w:id="167" w:name="Tc_xYz7fMVGwEG1hTf8Ywyr3Q_48_5"/>
      <w:bookmarkStart w:id="168" w:name="Tc_U1wz8ML1ZkqDzrHh-r30Iw_48_2"/>
      <w:bookmarkStart w:id="169" w:name="Tc_ajUDIAq5XkS2UTMMralblw_48_0"/>
      <w:bookmarkStart w:id="170" w:name="Tc_pgYzDylB006TGvqNSss6JA_47_0"/>
      <w:bookmarkStart w:id="171" w:name="Tc_tUXpLE296U2rDMFhxLsi7w_45_0"/>
      <w:bookmarkStart w:id="172" w:name="Tc_lr0pslCM8UamCZx3m61nOg_44_0"/>
      <w:bookmarkStart w:id="173" w:name="Tc_WA3MaY6cVkizz4Y6Vo8NPw_43_0"/>
      <w:bookmarkStart w:id="174" w:name="Tc_Jlkfk81x50yWCXqQ0Rn5og_41_11"/>
      <w:bookmarkStart w:id="175" w:name="Tc_NPM9mqPrsEqZGzcSnw0PxQ_41_8"/>
      <w:bookmarkStart w:id="176" w:name="Tc_YvXiXm7SqkWmgsxv5Nz0tw_41_5"/>
      <w:bookmarkStart w:id="177" w:name="Tc_5Uzippt79kOIXOWsIrlpeg_41_2"/>
      <w:bookmarkStart w:id="178" w:name="Tc_eLWFf7UwgUmcEFZiUwa1CA_41_0"/>
      <w:bookmarkStart w:id="179" w:name="Tc_ZhUZmx4M-EKdx4IlLLwbEg_39_0"/>
      <w:bookmarkStart w:id="180" w:name="Tc_1zpsrhhNkEy-Aa_DMyAkkg_37_0"/>
      <w:bookmarkStart w:id="181" w:name="Tc_Y0U2_YHpiEKBM3D7mM8qpQ_36_0"/>
      <w:bookmarkStart w:id="182" w:name="Tc_mJ3WTC_nMkK6fPc486XwsA_35_0"/>
      <w:bookmarkStart w:id="183" w:name="Tc_x3QX3LTWQUWcZdLOtobEHA_34_0"/>
      <w:bookmarkStart w:id="184" w:name="Tc_jcClX88SGEWOnav3jPDQ3A_33_0"/>
      <w:bookmarkStart w:id="185" w:name="Tc_EDlKSFBkgEOgA1joE_v3gw_32_11"/>
      <w:bookmarkStart w:id="186" w:name="Tc_tIXIRtlzIkGPJvxBJmT0kA_32_8"/>
      <w:bookmarkStart w:id="187" w:name="Tc_9zDeVfh0U0W1nViR7GfLMg_32_5"/>
      <w:bookmarkStart w:id="188" w:name="Tc_n9NchbLRTkSm8qrfl2GgNg_32_2"/>
      <w:bookmarkStart w:id="189" w:name="Tc_MC7q5Vm3DkKr8IY6y9jm2A_32_0"/>
      <w:bookmarkStart w:id="190" w:name="Tc__cHXpXFvDUibHdr5ZThQlw_31_0"/>
      <w:bookmarkStart w:id="191" w:name="Tc_TG5zSxBdI0WfroGa68IZgA_29_11"/>
      <w:bookmarkStart w:id="192" w:name="Tc_l-RyOdri7EyqVXoro3noEw_29_8"/>
      <w:bookmarkStart w:id="193" w:name="Tc_0r5hxfbSqkKMTdV9VgHDoQ_29_5"/>
      <w:bookmarkStart w:id="194" w:name="Tc_ASeeT8tgOEuyPLRuUGrPGw_29_2"/>
      <w:bookmarkStart w:id="195" w:name="Tc_iHpNfdOU8EmZX_YGDYRNBQ_29_0"/>
      <w:bookmarkStart w:id="196" w:name="Tc_1K-BAColW0yfHrxzglFvrw_27_0"/>
      <w:bookmarkStart w:id="197" w:name="Tc_TdjRgrW4BEO-SzCk20dcTA_25_0"/>
      <w:bookmarkStart w:id="198" w:name="Tc_3i5Jk7OPTUeanlt6p2mYZw_23_0"/>
      <w:bookmarkStart w:id="199" w:name="Tc_m8rCA-4BJU6zJqCURVAVIw_21_0"/>
      <w:bookmarkStart w:id="200" w:name="Tc_i-ugFQQU-0-iICitpoExqw_19_0"/>
      <w:bookmarkStart w:id="201" w:name="Tc_UwijTjA3j0C89O8fgpxarw_18_0"/>
      <w:bookmarkStart w:id="202" w:name="Tc_gW4dNeAiykqreZmG6F1YWQ_17_0"/>
      <w:bookmarkStart w:id="203" w:name="Tc_V4dUWcSsgESL9nslaODF7g_16_0"/>
      <w:bookmarkStart w:id="204" w:name="Tc__eSRvB_Z7kOnCkVwwdPO2A_15_0"/>
      <w:bookmarkStart w:id="205" w:name="Tc_Ga_HVaXfO0aiUpSaKDYS3w_13_0"/>
      <w:bookmarkStart w:id="206" w:name="Tc_FbXyCNxr4EGuvnAQA6ndQg_11_0"/>
      <w:bookmarkStart w:id="207" w:name="Tc_YCrazRnVO0Wz504dQspg8A_10_0"/>
      <w:bookmarkStart w:id="208" w:name="Tc_9_nqa7PdRUG6ZdwmhWlxwg_9_0"/>
      <w:bookmarkStart w:id="209" w:name="Tc_b5YBZVF8NUW8o2-88APpvw_8_0"/>
      <w:bookmarkStart w:id="210" w:name="Tc_4DKbhpXplUSBT-zX4gehUw_7_0"/>
      <w:bookmarkStart w:id="211" w:name="Tc_XjAxLusQi0ut9S0f1gak_A_6_0"/>
      <w:bookmarkStart w:id="212" w:name="Tc_-ewAFXBdfEKdW7g7C3y5jQ_5_0"/>
      <w:bookmarkStart w:id="213" w:name="Tc_KApps0duIUehGtlQ2oDdHw_3_11"/>
      <w:bookmarkStart w:id="214" w:name="Tc_tNCL8HG4DEiJ-u5LA1R7nQ_3_8"/>
      <w:bookmarkStart w:id="215" w:name="Tc_mQutd6MPK0qMhi3OiTojvQ_3_5"/>
      <w:bookmarkStart w:id="216" w:name="Tc_aBcP9X_DdkqDt4dmJ7CQsQ_3_2"/>
      <w:bookmarkStart w:id="217" w:name="Tc_aJXxkV77qUSRZBPrcYyYag_2_11"/>
      <w:bookmarkStart w:id="218" w:name="Tc_Jhbro7X7yESzmfcJc3HEgA_2_8"/>
      <w:bookmarkStart w:id="219" w:name="Tc_K9uV79FtDEKDuZhoIIDzww_2_5"/>
      <w:bookmarkStart w:id="220" w:name="Tc_URlpl30sp0KsrHhG2ha3xA_2_2"/>
      <w:bookmarkStart w:id="221" w:name="Tc_OE_W6XTDjE2HPjQA-4xnyw_1_8"/>
      <w:bookmarkStart w:id="222" w:name="Tc_ZmllZUqbOk-IRDqE1T-vpg_1_2"/>
      <w:bookmarkStart w:id="223" w:name="_276508ff_2809_4c15_80f1_f7926ed7b529"/>
      <w:bookmarkStart w:id="224" w:name="Tc_7aZ4vvkRo02N1uhwo2qSFA_49_11"/>
      <w:bookmarkStart w:id="225" w:name="Tc_Xw9iUK5B002Ts15TMmbhDw_49_8"/>
      <w:bookmarkStart w:id="226" w:name="Tc_5Ry8Fe7D-0uKUvT97v7wzQ_49_5"/>
      <w:bookmarkStart w:id="227" w:name="Tc_ptRPJ9yZ40qbuQpCXTQeKg_49_2"/>
      <w:bookmarkStart w:id="228" w:name="Tc_HlpRYA-080WrO69vnHsqsQ_49_0"/>
      <w:bookmarkStart w:id="229" w:name="Tc_qzYd-uqDgUOeRJwpjK6pOw_48_11"/>
      <w:bookmarkStart w:id="230" w:name="Tc_yjxYyqgwOU2mN7Rrl9zwtw_48_8"/>
      <w:bookmarkStart w:id="231" w:name="Tc_xYz7fMVGwEG1hTf8Ywyr3Q_48_5"/>
      <w:bookmarkStart w:id="232" w:name="Tc_U1wz8ML1ZkqDzrHh-r30Iw_48_2"/>
      <w:bookmarkStart w:id="233" w:name="Tc_ajUDIAq5XkS2UTMMralblw_48_0"/>
      <w:bookmarkStart w:id="234" w:name="Tc_pgYzDylB006TGvqNSss6JA_47_0"/>
      <w:bookmarkStart w:id="235" w:name="Tc_tUXpLE296U2rDMFhxLsi7w_45_0"/>
      <w:bookmarkStart w:id="236" w:name="Tc_lr0pslCM8UamCZx3m61nOg_44_0"/>
      <w:bookmarkStart w:id="237" w:name="Tc_WA3MaY6cVkizz4Y6Vo8NPw_43_0"/>
      <w:bookmarkStart w:id="238" w:name="Tc_Jlkfk81x50yWCXqQ0Rn5og_41_11"/>
      <w:bookmarkStart w:id="239" w:name="Tc_NPM9mqPrsEqZGzcSnw0PxQ_41_8"/>
      <w:bookmarkStart w:id="240" w:name="Tc_YvXiXm7SqkWmgsxv5Nz0tw_41_5"/>
      <w:bookmarkStart w:id="241" w:name="Tc_5Uzippt79kOIXOWsIrlpeg_41_2"/>
      <w:bookmarkStart w:id="242" w:name="Tc_eLWFf7UwgUmcEFZiUwa1CA_41_0"/>
      <w:bookmarkStart w:id="243" w:name="Tc_ZhUZmx4M-EKdx4IlLLwbEg_39_0"/>
      <w:bookmarkStart w:id="244" w:name="Tc_1zpsrhhNkEy-Aa_DMyAkkg_37_0"/>
      <w:bookmarkStart w:id="245" w:name="Tc_Y0U2_YHpiEKBM3D7mM8qpQ_36_0"/>
      <w:bookmarkStart w:id="246" w:name="Tc_mJ3WTC_nMkK6fPc486XwsA_35_0"/>
      <w:bookmarkStart w:id="247" w:name="Tc_x3QX3LTWQUWcZdLOtobEHA_34_0"/>
      <w:bookmarkStart w:id="248" w:name="Tc_jcClX88SGEWOnav3jPDQ3A_33_0"/>
      <w:bookmarkStart w:id="249" w:name="Tc_EDlKSFBkgEOgA1joE_v3gw_32_11"/>
      <w:bookmarkStart w:id="250" w:name="Tc_tIXIRtlzIkGPJvxBJmT0kA_32_8"/>
      <w:bookmarkStart w:id="251" w:name="Tc_9zDeVfh0U0W1nViR7GfLMg_32_5"/>
      <w:bookmarkStart w:id="252" w:name="Tc_n9NchbLRTkSm8qrfl2GgNg_32_2"/>
      <w:bookmarkStart w:id="253" w:name="Tc_MC7q5Vm3DkKr8IY6y9jm2A_32_0"/>
      <w:bookmarkStart w:id="254" w:name="Tc__cHXpXFvDUibHdr5ZThQlw_31_0"/>
      <w:bookmarkStart w:id="255" w:name="Tc_TG5zSxBdI0WfroGa68IZgA_29_11"/>
      <w:bookmarkStart w:id="256" w:name="Tc_l-RyOdri7EyqVXoro3noEw_29_8"/>
      <w:bookmarkStart w:id="257" w:name="Tc_0r5hxfbSqkKMTdV9VgHDoQ_29_5"/>
      <w:bookmarkStart w:id="258" w:name="Tc_ASeeT8tgOEuyPLRuUGrPGw_29_2"/>
      <w:bookmarkStart w:id="259" w:name="Tc_iHpNfdOU8EmZX_YGDYRNBQ_29_0"/>
      <w:bookmarkStart w:id="260" w:name="Tc_1K-BAColW0yfHrxzglFvrw_27_0"/>
      <w:bookmarkStart w:id="261" w:name="Tc_TdjRgrW4BEO-SzCk20dcTA_25_0"/>
      <w:bookmarkStart w:id="262" w:name="Tc_3i5Jk7OPTUeanlt6p2mYZw_23_0"/>
      <w:bookmarkStart w:id="263" w:name="Tc_m8rCA-4BJU6zJqCURVAVIw_21_0"/>
      <w:bookmarkStart w:id="264" w:name="Tc_i-ugFQQU-0-iICitpoExqw_19_0"/>
      <w:bookmarkStart w:id="265" w:name="Tc_UwijTjA3j0C89O8fgpxarw_18_0"/>
      <w:bookmarkStart w:id="266" w:name="Tc_gW4dNeAiykqreZmG6F1YWQ_17_0"/>
      <w:bookmarkStart w:id="267" w:name="Tc_V4dUWcSsgESL9nslaODF7g_16_0"/>
      <w:bookmarkStart w:id="268" w:name="Tc__eSRvB_Z7kOnCkVwwdPO2A_15_0"/>
      <w:bookmarkStart w:id="269" w:name="Tc_Ga_HVaXfO0aiUpSaKDYS3w_13_0"/>
      <w:bookmarkStart w:id="270" w:name="Tc_FbXyCNxr4EGuvnAQA6ndQg_11_0"/>
      <w:bookmarkStart w:id="271" w:name="Tc_YCrazRnVO0Wz504dQspg8A_10_0"/>
      <w:bookmarkStart w:id="272" w:name="Tc_9_nqa7PdRUG6ZdwmhWlxwg_9_0"/>
      <w:bookmarkStart w:id="273" w:name="Tc_b5YBZVF8NUW8o2-88APpvw_8_0"/>
      <w:bookmarkStart w:id="274" w:name="Tc_4DKbhpXplUSBT-zX4gehUw_7_0"/>
      <w:bookmarkStart w:id="275" w:name="Tc_XjAxLusQi0ut9S0f1gak_A_6_0"/>
      <w:bookmarkStart w:id="276" w:name="Tc_-ewAFXBdfEKdW7g7C3y5jQ_5_0"/>
      <w:bookmarkStart w:id="277" w:name="Tc_KApps0duIUehGtlQ2oDdHw_3_11"/>
      <w:bookmarkStart w:id="278" w:name="Tc_tNCL8HG4DEiJ-u5LA1R7nQ_3_8"/>
      <w:bookmarkStart w:id="279" w:name="Tc_mQutd6MPK0qMhi3OiTojvQ_3_5"/>
      <w:bookmarkStart w:id="280" w:name="Tc_aBcP9X_DdkqDt4dmJ7CQsQ_3_2"/>
      <w:bookmarkStart w:id="281" w:name="Tc_aJXxkV77qUSRZBPrcYyYag_2_11"/>
      <w:bookmarkStart w:id="282" w:name="Tc_Jhbro7X7yESzmfcJc3HEgA_2_8"/>
      <w:bookmarkStart w:id="283" w:name="Tc_K9uV79FtDEKDuZhoIIDzww_2_5"/>
      <w:bookmarkStart w:id="284" w:name="Tc_URlpl30sp0KsrHhG2ha3xA_2_2"/>
      <w:bookmarkStart w:id="285" w:name="Tc_OE_W6XTDjE2HPjQA-4xnyw_1_8"/>
      <w:bookmarkStart w:id="286" w:name="Tc_ZmllZUqbOk-IRDqE1T-vpg_1_2"/>
      <w:bookmarkStart w:id="287" w:name="_276508ff_2809_4c15_80f1_f7926ed7b529"/>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tbl>
      <w:tblPr>
        <w:tblW w:w="10205" w:type="dxa"/>
        <w:jc w:val="left"/>
        <w:tblInd w:w="0" w:type="dxa"/>
        <w:tblLayout w:type="fixed"/>
        <w:tblCellMar>
          <w:top w:w="0" w:type="dxa"/>
          <w:left w:w="0" w:type="dxa"/>
          <w:bottom w:w="0" w:type="dxa"/>
          <w:right w:w="0" w:type="dxa"/>
        </w:tblCellMar>
      </w:tblPr>
      <w:tblGrid>
        <w:gridCol w:w="4212"/>
        <w:gridCol w:w="346"/>
        <w:gridCol w:w="236"/>
        <w:gridCol w:w="879"/>
        <w:gridCol w:w="389"/>
        <w:gridCol w:w="236"/>
        <w:gridCol w:w="881"/>
        <w:gridCol w:w="346"/>
        <w:gridCol w:w="211"/>
        <w:gridCol w:w="788"/>
        <w:gridCol w:w="346"/>
        <w:gridCol w:w="211"/>
        <w:gridCol w:w="931"/>
        <w:gridCol w:w="193"/>
      </w:tblGrid>
      <w:tr>
        <w:trPr/>
        <w:tc>
          <w:tcPr>
            <w:tcW w:w="4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674620" cy="175260"/>
                      <wp:effectExtent l="0" t="0" r="0" b="0"/>
                      <wp:wrapNone/>
                      <wp:docPr id="12" name="Frame12"/>
                      <a:graphic xmlns:a="http://schemas.openxmlformats.org/drawingml/2006/main">
                        <a:graphicData uri="http://schemas.microsoft.com/office/word/2010/wordprocessingShape">
                          <wps:wsp>
                            <wps:cNvSpPr txBox="1"/>
                            <wps:spPr>
                              <a:xfrm>
                                <a:off x="0" y="0"/>
                                <a:ext cx="26746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175260"/>
                      <wp:effectExtent l="0" t="0" r="0" b="0"/>
                      <wp:wrapNone/>
                      <wp:docPr id="13"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49860" cy="175260"/>
                      <wp:effectExtent l="0" t="0" r="0" b="0"/>
                      <wp:wrapNone/>
                      <wp:docPr id="14" name="Frame14"/>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558165" cy="175260"/>
                      <wp:effectExtent l="0" t="0" r="0" b="0"/>
                      <wp:wrapNone/>
                      <wp:docPr id="15" name="Frame15"/>
                      <a:graphic xmlns:a="http://schemas.openxmlformats.org/drawingml/2006/main">
                        <a:graphicData uri="http://schemas.microsoft.com/office/word/2010/wordprocessingShape">
                          <wps:wsp>
                            <wps:cNvSpPr txBox="1"/>
                            <wps:spPr>
                              <a:xfrm>
                                <a:off x="0" y="0"/>
                                <a:ext cx="5581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47015" cy="175260"/>
                      <wp:effectExtent l="0" t="0" r="0" b="0"/>
                      <wp:wrapNone/>
                      <wp:docPr id="16" name="Frame16"/>
                      <a:graphic xmlns:a="http://schemas.openxmlformats.org/drawingml/2006/main">
                        <a:graphicData uri="http://schemas.microsoft.com/office/word/2010/wordprocessingShape">
                          <wps:wsp>
                            <wps:cNvSpPr txBox="1"/>
                            <wps:spPr>
                              <a:xfrm>
                                <a:off x="0" y="0"/>
                                <a:ext cx="2470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49860" cy="175260"/>
                      <wp:effectExtent l="0" t="0" r="0" b="0"/>
                      <wp:wrapNone/>
                      <wp:docPr id="17" name="Frame17"/>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559435" cy="175260"/>
                      <wp:effectExtent l="0" t="0" r="0" b="0"/>
                      <wp:wrapNone/>
                      <wp:docPr id="18" name="Frame18"/>
                      <a:graphic xmlns:a="http://schemas.openxmlformats.org/drawingml/2006/main">
                        <a:graphicData uri="http://schemas.microsoft.com/office/word/2010/wordprocessingShape">
                          <wps:wsp>
                            <wps:cNvSpPr txBox="1"/>
                            <wps:spPr>
                              <a:xfrm>
                                <a:off x="0" y="0"/>
                                <a:ext cx="559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19"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500380" cy="175260"/>
                      <wp:effectExtent l="0" t="0" r="0" b="0"/>
                      <wp:wrapNone/>
                      <wp:docPr id="21" name="Frame21"/>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2"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33985" cy="175260"/>
                      <wp:effectExtent l="0" t="0" r="0" b="0"/>
                      <wp:wrapNone/>
                      <wp:docPr id="23"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591185" cy="175260"/>
                      <wp:effectExtent l="0" t="0" r="0" b="0"/>
                      <wp:wrapNone/>
                      <wp:docPr id="24" name="Frame2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22555" cy="175260"/>
                      <wp:effectExtent l="0" t="0" r="0" b="0"/>
                      <wp:wrapNone/>
                      <wp:docPr id="25" name="Frame25"/>
                      <a:graphic xmlns:a="http://schemas.openxmlformats.org/drawingml/2006/main">
                        <a:graphicData uri="http://schemas.microsoft.com/office/word/2010/wordprocessingShape">
                          <wps:wsp>
                            <wps:cNvSpPr txBox="1"/>
                            <wps:spPr>
                              <a:xfrm>
                                <a:off x="0" y="0"/>
                                <a:ext cx="122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212"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2621"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xml:space="preserve">Three months ended June 30, </w:t>
            </w:r>
          </w:p>
        </w:tc>
        <w:tc>
          <w:tcPr>
            <w:tcW w:w="346" w:type="dxa"/>
            <w:tcBorders/>
            <w:vAlign w:val="center"/>
          </w:tcPr>
          <w:p>
            <w:pPr>
              <w:pStyle w:val="TableContents"/>
              <w:bidi w:val="0"/>
              <w:spacing w:lineRule="auto" w:line="285" w:before="0" w:after="0"/>
              <w:ind w:left="0" w:right="0" w:hanging="0"/>
              <w:jc w:val="center"/>
              <w:rPr/>
            </w:pPr>
            <w:r>
              <w:rPr/>
              <w:t>​</w:t>
            </w:r>
          </w:p>
        </w:tc>
        <w:tc>
          <w:tcPr>
            <w:tcW w:w="2487"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xml:space="preserve">Six months ended June 30, </w:t>
            </w:r>
          </w:p>
        </w:tc>
        <w:tc>
          <w:tcPr>
            <w:tcW w:w="193" w:type="dxa"/>
            <w:tcBorders/>
            <w:vAlign w:val="center"/>
          </w:tcPr>
          <w:p>
            <w:pPr>
              <w:pStyle w:val="TableContents"/>
              <w:bidi w:val="0"/>
              <w:spacing w:lineRule="auto" w:line="285" w:before="0" w:after="0"/>
              <w:ind w:left="0" w:right="0" w:hanging="0"/>
              <w:jc w:val="center"/>
              <w:rPr/>
            </w:pPr>
            <w:r>
              <w:rPr/>
              <w:t> </w:t>
            </w:r>
          </w:p>
        </w:tc>
      </w:tr>
      <w:tr>
        <w:trPr/>
        <w:tc>
          <w:tcPr>
            <w:tcW w:w="4212"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11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389" w:type="dxa"/>
            <w:tcBorders/>
            <w:vAlign w:val="center"/>
          </w:tcPr>
          <w:p>
            <w:pPr>
              <w:pStyle w:val="TableContents"/>
              <w:bidi w:val="0"/>
              <w:spacing w:lineRule="auto" w:line="285" w:before="0" w:after="0"/>
              <w:ind w:left="0" w:right="0" w:hanging="0"/>
              <w:jc w:val="center"/>
              <w:rPr/>
            </w:pPr>
            <w:r>
              <w:rPr/>
              <w:t>  ​ ​ ​</w:t>
            </w:r>
          </w:p>
        </w:tc>
        <w:tc>
          <w:tcPr>
            <w:tcW w:w="111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46" w:type="dxa"/>
            <w:tcBorders/>
            <w:vAlign w:val="center"/>
          </w:tcPr>
          <w:p>
            <w:pPr>
              <w:pStyle w:val="TableContents"/>
              <w:bidi w:val="0"/>
              <w:spacing w:lineRule="auto" w:line="285" w:before="0" w:after="0"/>
              <w:ind w:left="0" w:right="0" w:hanging="0"/>
              <w:jc w:val="center"/>
              <w:rPr/>
            </w:pPr>
            <w:r>
              <w:rPr/>
              <w:t>  ​ ​ ​</w:t>
            </w:r>
          </w:p>
        </w:tc>
        <w:tc>
          <w:tcPr>
            <w:tcW w:w="99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346" w:type="dxa"/>
            <w:tcBorders/>
            <w:vAlign w:val="center"/>
          </w:tcPr>
          <w:p>
            <w:pPr>
              <w:pStyle w:val="TableContents"/>
              <w:bidi w:val="0"/>
              <w:spacing w:lineRule="auto" w:line="285"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193" w:type="dxa"/>
            <w:tcBorders/>
            <w:vAlign w:val="center"/>
          </w:tcPr>
          <w:p>
            <w:pPr>
              <w:pStyle w:val="TableContents"/>
              <w:bidi w:val="0"/>
              <w:spacing w:lineRule="auto" w:line="285" w:before="0" w:after="0"/>
              <w:ind w:left="0" w:right="0" w:hanging="0"/>
              <w:jc w:val="center"/>
              <w:rPr/>
            </w:pPr>
            <w:r>
              <w:rPr/>
              <w:t> </w:t>
            </w:r>
          </w:p>
        </w:tc>
      </w:tr>
      <w:tr>
        <w:trPr/>
        <w:tc>
          <w:tcPr>
            <w:tcW w:w="4212"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Revenue</w:t>
            </w:r>
          </w:p>
        </w:tc>
        <w:tc>
          <w:tcPr>
            <w:tcW w:w="346" w:type="dxa"/>
            <w:tcBorders/>
            <w:shd w:fill="CCEEFF" w:val="clear"/>
            <w:vAlign w:val="center"/>
          </w:tcPr>
          <w:p>
            <w:pPr>
              <w:pStyle w:val="TableContents"/>
              <w:bidi w:val="0"/>
              <w:spacing w:lineRule="auto" w:line="285" w:before="0" w:after="0"/>
              <w:ind w:left="0" w:right="0" w:hanging="0"/>
              <w:jc w:val="center"/>
              <w:rPr/>
            </w:pPr>
            <w:r>
              <w:rPr/>
              <w:t>​</w:t>
            </w:r>
          </w:p>
        </w:tc>
        <w:tc>
          <w:tcPr>
            <w:tcW w:w="23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79"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455,495</w:t>
            </w:r>
          </w:p>
        </w:tc>
        <w:tc>
          <w:tcPr>
            <w:tcW w:w="389" w:type="dxa"/>
            <w:tcBorders/>
            <w:shd w:fill="CCEEFF" w:val="clear"/>
            <w:vAlign w:val="center"/>
          </w:tcPr>
          <w:p>
            <w:pPr>
              <w:pStyle w:val="TableContents"/>
              <w:bidi w:val="0"/>
              <w:spacing w:lineRule="auto" w:line="285" w:before="0" w:after="0"/>
              <w:ind w:left="0" w:right="0" w:hanging="0"/>
              <w:jc w:val="left"/>
              <w:rPr/>
            </w:pPr>
            <w:r>
              <w:rPr/>
              <w:t>​</w:t>
            </w:r>
          </w:p>
        </w:tc>
        <w:tc>
          <w:tcPr>
            <w:tcW w:w="23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8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513,571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8"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951,670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1,047,799</w:t>
            </w:r>
          </w:p>
        </w:tc>
        <w:tc>
          <w:tcPr>
            <w:tcW w:w="193" w:type="dxa"/>
            <w:tcBorders/>
            <w:shd w:fill="CCEEFF" w:val="clear"/>
            <w:vAlign w:val="center"/>
          </w:tcPr>
          <w:p>
            <w:pPr>
              <w:pStyle w:val="TableContents"/>
              <w:bidi w:val="0"/>
              <w:spacing w:lineRule="auto" w:line="285" w:before="0" w:after="0"/>
              <w:ind w:left="0" w:right="0" w:hanging="0"/>
              <w:jc w:val="center"/>
              <w:rPr/>
            </w:pPr>
            <w:r>
              <w:rPr/>
              <w:t>​</w:t>
            </w:r>
          </w:p>
        </w:tc>
      </w:tr>
      <w:tr>
        <w:trPr/>
        <w:tc>
          <w:tcPr>
            <w:tcW w:w="4212"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6" w:type="dxa"/>
            <w:tcBorders/>
            <w:vAlign w:val="center"/>
          </w:tcPr>
          <w:p>
            <w:pPr>
              <w:pStyle w:val="TableContents"/>
              <w:bidi w:val="0"/>
              <w:spacing w:lineRule="auto" w:line="285" w:before="0" w:after="0"/>
              <w:ind w:left="0" w:right="0" w:hanging="0"/>
              <w:jc w:val="left"/>
              <w:rPr/>
            </w:pPr>
            <w:r>
              <w:rPr/>
              <w:t>​</w:t>
            </w:r>
          </w:p>
        </w:tc>
        <w:tc>
          <w:tcPr>
            <w:tcW w:w="879" w:type="dxa"/>
            <w:tcBorders/>
            <w:vAlign w:val="center"/>
          </w:tcPr>
          <w:p>
            <w:pPr>
              <w:pStyle w:val="TableContents"/>
              <w:bidi w:val="0"/>
              <w:spacing w:lineRule="auto" w:line="285" w:before="0" w:after="0"/>
              <w:ind w:left="0" w:right="0" w:hanging="0"/>
              <w:jc w:val="left"/>
              <w:rPr/>
            </w:pPr>
            <w:r>
              <w:rPr/>
              <w:t>​</w:t>
            </w:r>
          </w:p>
        </w:tc>
        <w:tc>
          <w:tcPr>
            <w:tcW w:w="389" w:type="dxa"/>
            <w:tcBorders/>
            <w:vAlign w:val="center"/>
          </w:tcPr>
          <w:p>
            <w:pPr>
              <w:pStyle w:val="TableContents"/>
              <w:bidi w:val="0"/>
              <w:spacing w:lineRule="auto" w:line="285" w:before="0" w:after="0"/>
              <w:ind w:left="0" w:right="0" w:hanging="0"/>
              <w:jc w:val="left"/>
              <w:rPr/>
            </w:pPr>
            <w:r>
              <w:rPr/>
              <w:t>​</w:t>
            </w:r>
          </w:p>
        </w:tc>
        <w:tc>
          <w:tcPr>
            <w:tcW w:w="236" w:type="dxa"/>
            <w:tcBorders/>
            <w:vAlign w:val="center"/>
          </w:tcPr>
          <w:p>
            <w:pPr>
              <w:pStyle w:val="TableContents"/>
              <w:bidi w:val="0"/>
              <w:spacing w:lineRule="auto" w:line="285" w:before="0" w:after="0"/>
              <w:ind w:left="0" w:right="0" w:hanging="0"/>
              <w:jc w:val="left"/>
              <w:rPr/>
            </w:pPr>
            <w:r>
              <w:rPr/>
              <w:t>​</w:t>
            </w:r>
          </w:p>
        </w:tc>
        <w:tc>
          <w:tcPr>
            <w:tcW w:w="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8"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left"/>
              <w:rPr/>
            </w:pPr>
            <w:r>
              <w:rPr/>
              <w:t>​</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4212"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Operating expenses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6" w:type="dxa"/>
            <w:tcBorders/>
            <w:shd w:fill="CCEEFF" w:val="clear"/>
            <w:vAlign w:val="center"/>
          </w:tcPr>
          <w:p>
            <w:pPr>
              <w:pStyle w:val="TableContents"/>
              <w:bidi w:val="0"/>
              <w:spacing w:lineRule="auto" w:line="285" w:before="0" w:after="0"/>
              <w:ind w:left="0" w:right="0" w:hanging="0"/>
              <w:jc w:val="left"/>
              <w:rPr/>
            </w:pPr>
            <w:r>
              <w:rPr/>
              <w:t>​</w:t>
            </w:r>
          </w:p>
        </w:tc>
        <w:tc>
          <w:tcPr>
            <w:tcW w:w="879" w:type="dxa"/>
            <w:tcBorders/>
            <w:shd w:fill="CCEEFF" w:val="clear"/>
            <w:vAlign w:val="center"/>
          </w:tcPr>
          <w:p>
            <w:pPr>
              <w:pStyle w:val="TableContents"/>
              <w:bidi w:val="0"/>
              <w:spacing w:lineRule="auto" w:line="285" w:before="0" w:after="0"/>
              <w:ind w:left="0" w:right="0" w:hanging="0"/>
              <w:jc w:val="left"/>
              <w:rPr/>
            </w:pPr>
            <w:r>
              <w:rPr/>
              <w:t>​</w:t>
            </w:r>
          </w:p>
        </w:tc>
        <w:tc>
          <w:tcPr>
            <w:tcW w:w="389" w:type="dxa"/>
            <w:tcBorders/>
            <w:shd w:fill="CCEEFF" w:val="clear"/>
            <w:vAlign w:val="center"/>
          </w:tcPr>
          <w:p>
            <w:pPr>
              <w:pStyle w:val="TableContents"/>
              <w:bidi w:val="0"/>
              <w:spacing w:lineRule="auto" w:line="285" w:before="0" w:after="0"/>
              <w:ind w:left="0" w:right="0" w:hanging="0"/>
              <w:jc w:val="left"/>
              <w:rPr/>
            </w:pPr>
            <w:r>
              <w:rPr/>
              <w:t>​</w:t>
            </w:r>
          </w:p>
        </w:tc>
        <w:tc>
          <w:tcPr>
            <w:tcW w:w="236" w:type="dxa"/>
            <w:tcBorders/>
            <w:shd w:fill="CCEEFF" w:val="clear"/>
            <w:vAlign w:val="center"/>
          </w:tcPr>
          <w:p>
            <w:pPr>
              <w:pStyle w:val="TableContents"/>
              <w:bidi w:val="0"/>
              <w:spacing w:lineRule="auto" w:line="285" w:before="0" w:after="0"/>
              <w:ind w:left="0" w:right="0" w:hanging="0"/>
              <w:jc w:val="left"/>
              <w:rPr/>
            </w:pPr>
            <w:r>
              <w:rPr/>
              <w:t>​</w:t>
            </w:r>
          </w:p>
        </w:tc>
        <w:tc>
          <w:tcPr>
            <w:tcW w:w="88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8"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left"/>
              <w:rPr/>
            </w:pPr>
            <w:r>
              <w:rPr/>
              <w:t>​</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4212"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Cost of services (exclusive of depreciation and amortization presented separately below)</w:t>
            </w:r>
          </w:p>
        </w:tc>
        <w:tc>
          <w:tcPr>
            <w:tcW w:w="346" w:type="dxa"/>
            <w:tcBorders/>
            <w:vAlign w:val="center"/>
          </w:tcPr>
          <w:p>
            <w:pPr>
              <w:pStyle w:val="TableContents"/>
              <w:bidi w:val="0"/>
              <w:spacing w:lineRule="auto" w:line="285" w:before="0" w:after="0"/>
              <w:ind w:left="0" w:right="0" w:hanging="0"/>
              <w:jc w:val="left"/>
              <w:rPr/>
            </w:pPr>
            <w:r>
              <w:rPr/>
              <w:t>​</w:t>
            </w:r>
          </w:p>
        </w:tc>
        <w:tc>
          <w:tcPr>
            <w:tcW w:w="236" w:type="dxa"/>
            <w:tcBorders/>
            <w:vAlign w:val="center"/>
          </w:tcPr>
          <w:p>
            <w:pPr>
              <w:pStyle w:val="TableContents"/>
              <w:bidi w:val="0"/>
              <w:spacing w:lineRule="auto" w:line="285" w:before="0" w:after="0"/>
              <w:ind w:left="0" w:right="0" w:hanging="0"/>
              <w:jc w:val="right"/>
              <w:rPr/>
            </w:pPr>
            <w:r>
              <w:rPr/>
              <w:t> </w:t>
            </w:r>
          </w:p>
        </w:tc>
        <w:tc>
          <w:tcPr>
            <w:tcW w:w="879"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357,833</w:t>
            </w:r>
          </w:p>
        </w:tc>
        <w:tc>
          <w:tcPr>
            <w:tcW w:w="389" w:type="dxa"/>
            <w:tcBorders/>
            <w:vAlign w:val="center"/>
          </w:tcPr>
          <w:p>
            <w:pPr>
              <w:pStyle w:val="TableContents"/>
              <w:bidi w:val="0"/>
              <w:spacing w:lineRule="auto" w:line="285" w:before="0" w:after="0"/>
              <w:ind w:left="0" w:right="0" w:hanging="0"/>
              <w:jc w:val="left"/>
              <w:rPr/>
            </w:pPr>
            <w:r>
              <w:rPr/>
              <w:t>​</w:t>
            </w:r>
          </w:p>
        </w:tc>
        <w:tc>
          <w:tcPr>
            <w:tcW w:w="236" w:type="dxa"/>
            <w:tcBorders/>
            <w:vAlign w:val="center"/>
          </w:tcPr>
          <w:p>
            <w:pPr>
              <w:pStyle w:val="TableContents"/>
              <w:bidi w:val="0"/>
              <w:spacing w:lineRule="auto" w:line="285" w:before="0" w:after="0"/>
              <w:ind w:left="0" w:right="0" w:hanging="0"/>
              <w:jc w:val="right"/>
              <w:rPr/>
            </w:pPr>
            <w:r>
              <w:rPr/>
              <w:t> </w:t>
            </w:r>
          </w:p>
        </w:tc>
        <w:tc>
          <w:tcPr>
            <w:tcW w:w="88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399,273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788"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745,699</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93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813,820</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4212"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Selling, general and administrative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6" w:type="dxa"/>
            <w:tcBorders/>
            <w:shd w:fill="CCEEFF" w:val="clear"/>
            <w:vAlign w:val="center"/>
          </w:tcPr>
          <w:p>
            <w:pPr>
              <w:pStyle w:val="TableContents"/>
              <w:bidi w:val="0"/>
              <w:spacing w:lineRule="auto" w:line="285" w:before="0" w:after="0"/>
              <w:ind w:left="0" w:right="0" w:hanging="0"/>
              <w:jc w:val="right"/>
              <w:rPr/>
            </w:pPr>
            <w:r>
              <w:rPr/>
              <w:t> </w:t>
            </w:r>
          </w:p>
        </w:tc>
        <w:tc>
          <w:tcPr>
            <w:tcW w:w="879"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61,254</w:t>
            </w:r>
          </w:p>
        </w:tc>
        <w:tc>
          <w:tcPr>
            <w:tcW w:w="389" w:type="dxa"/>
            <w:tcBorders/>
            <w:shd w:fill="CCEEFF" w:val="clear"/>
            <w:vAlign w:val="center"/>
          </w:tcPr>
          <w:p>
            <w:pPr>
              <w:pStyle w:val="TableContents"/>
              <w:bidi w:val="0"/>
              <w:spacing w:lineRule="auto" w:line="285" w:before="0" w:after="0"/>
              <w:ind w:left="0" w:right="0" w:hanging="0"/>
              <w:jc w:val="left"/>
              <w:rPr/>
            </w:pPr>
            <w:r>
              <w:rPr/>
              <w:t>​</w:t>
            </w:r>
          </w:p>
        </w:tc>
        <w:tc>
          <w:tcPr>
            <w:tcW w:w="236" w:type="dxa"/>
            <w:tcBorders/>
            <w:shd w:fill="CCEEFF" w:val="clear"/>
            <w:vAlign w:val="center"/>
          </w:tcPr>
          <w:p>
            <w:pPr>
              <w:pStyle w:val="TableContents"/>
              <w:bidi w:val="0"/>
              <w:spacing w:lineRule="auto" w:line="285" w:before="0" w:after="0"/>
              <w:ind w:left="0" w:right="0" w:hanging="0"/>
              <w:jc w:val="right"/>
              <w:rPr/>
            </w:pPr>
            <w:r>
              <w:rPr/>
              <w:t> </w:t>
            </w:r>
          </w:p>
        </w:tc>
        <w:tc>
          <w:tcPr>
            <w:tcW w:w="88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70,654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788"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127,793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93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140,691</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4212"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Depreciation and amortization</w:t>
            </w:r>
          </w:p>
        </w:tc>
        <w:tc>
          <w:tcPr>
            <w:tcW w:w="346" w:type="dxa"/>
            <w:tcBorders/>
            <w:vAlign w:val="center"/>
          </w:tcPr>
          <w:p>
            <w:pPr>
              <w:pStyle w:val="TableContents"/>
              <w:bidi w:val="0"/>
              <w:spacing w:lineRule="auto" w:line="285" w:before="0" w:after="0"/>
              <w:ind w:left="0" w:right="0" w:hanging="0"/>
              <w:jc w:val="left"/>
              <w:rPr/>
            </w:pPr>
            <w:r>
              <w:rPr/>
              <w:t>​</w:t>
            </w:r>
          </w:p>
        </w:tc>
        <w:tc>
          <w:tcPr>
            <w:tcW w:w="236" w:type="dxa"/>
            <w:tcBorders/>
            <w:vAlign w:val="center"/>
          </w:tcPr>
          <w:p>
            <w:pPr>
              <w:pStyle w:val="TableContents"/>
              <w:bidi w:val="0"/>
              <w:spacing w:lineRule="auto" w:line="285" w:before="0" w:after="0"/>
              <w:ind w:left="0" w:right="0" w:hanging="0"/>
              <w:jc w:val="right"/>
              <w:rPr/>
            </w:pPr>
            <w:r>
              <w:rPr/>
              <w:t> </w:t>
            </w:r>
          </w:p>
        </w:tc>
        <w:tc>
          <w:tcPr>
            <w:tcW w:w="879"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21,141</w:t>
            </w:r>
          </w:p>
        </w:tc>
        <w:tc>
          <w:tcPr>
            <w:tcW w:w="389" w:type="dxa"/>
            <w:tcBorders/>
            <w:vAlign w:val="center"/>
          </w:tcPr>
          <w:p>
            <w:pPr>
              <w:pStyle w:val="TableContents"/>
              <w:bidi w:val="0"/>
              <w:spacing w:lineRule="auto" w:line="285" w:before="0" w:after="0"/>
              <w:ind w:left="0" w:right="0" w:hanging="0"/>
              <w:jc w:val="left"/>
              <w:rPr/>
            </w:pPr>
            <w:r>
              <w:rPr/>
              <w:t>​</w:t>
            </w:r>
          </w:p>
        </w:tc>
        <w:tc>
          <w:tcPr>
            <w:tcW w:w="236" w:type="dxa"/>
            <w:tcBorders/>
            <w:vAlign w:val="center"/>
          </w:tcPr>
          <w:p>
            <w:pPr>
              <w:pStyle w:val="TableContents"/>
              <w:bidi w:val="0"/>
              <w:spacing w:lineRule="auto" w:line="285" w:before="0" w:after="0"/>
              <w:ind w:left="0" w:right="0" w:hanging="0"/>
              <w:jc w:val="right"/>
              <w:rPr/>
            </w:pPr>
            <w:r>
              <w:rPr/>
              <w:t> </w:t>
            </w:r>
          </w:p>
        </w:tc>
        <w:tc>
          <w:tcPr>
            <w:tcW w:w="88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22,888</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788"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42,446</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93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45,586</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4212"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Restructuring charges,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6" w:type="dxa"/>
            <w:tcBorders/>
            <w:shd w:fill="CCEEFF" w:val="clear"/>
            <w:vAlign w:val="center"/>
          </w:tcPr>
          <w:p>
            <w:pPr>
              <w:pStyle w:val="TableContents"/>
              <w:bidi w:val="0"/>
              <w:spacing w:lineRule="auto" w:line="285" w:before="0" w:after="0"/>
              <w:ind w:left="0" w:right="0" w:hanging="0"/>
              <w:jc w:val="right"/>
              <w:rPr/>
            </w:pPr>
            <w:r>
              <w:rPr/>
              <w:t>​</w:t>
            </w:r>
          </w:p>
        </w:tc>
        <w:tc>
          <w:tcPr>
            <w:tcW w:w="879"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2,364</w:t>
            </w:r>
          </w:p>
        </w:tc>
        <w:tc>
          <w:tcPr>
            <w:tcW w:w="389" w:type="dxa"/>
            <w:tcBorders/>
            <w:shd w:fill="CCEEFF" w:val="clear"/>
            <w:vAlign w:val="center"/>
          </w:tcPr>
          <w:p>
            <w:pPr>
              <w:pStyle w:val="TableContents"/>
              <w:bidi w:val="0"/>
              <w:spacing w:lineRule="auto" w:line="285" w:before="0" w:after="0"/>
              <w:ind w:left="0" w:right="0" w:hanging="0"/>
              <w:jc w:val="left"/>
              <w:rPr/>
            </w:pPr>
            <w:r>
              <w:rPr/>
              <w:t>​</w:t>
            </w:r>
          </w:p>
        </w:tc>
        <w:tc>
          <w:tcPr>
            <w:tcW w:w="236" w:type="dxa"/>
            <w:tcBorders/>
            <w:shd w:fill="CCEEFF" w:val="clear"/>
            <w:vAlign w:val="center"/>
          </w:tcPr>
          <w:p>
            <w:pPr>
              <w:pStyle w:val="TableContents"/>
              <w:bidi w:val="0"/>
              <w:spacing w:lineRule="auto" w:line="285" w:before="0" w:after="0"/>
              <w:ind w:left="0" w:right="0" w:hanging="0"/>
              <w:jc w:val="right"/>
              <w:rPr/>
            </w:pPr>
            <w:r>
              <w:rPr/>
              <w:t>​</w:t>
            </w:r>
          </w:p>
        </w:tc>
        <w:tc>
          <w:tcPr>
            <w:tcW w:w="88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1,116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788"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3,814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3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3,112</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4212"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Impairment losses</w:t>
            </w:r>
          </w:p>
        </w:tc>
        <w:tc>
          <w:tcPr>
            <w:tcW w:w="346" w:type="dxa"/>
            <w:tcBorders/>
            <w:vAlign w:val="center"/>
          </w:tcPr>
          <w:p>
            <w:pPr>
              <w:pStyle w:val="TableContents"/>
              <w:bidi w:val="0"/>
              <w:spacing w:lineRule="auto" w:line="285"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87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1,894</w:t>
            </w:r>
          </w:p>
        </w:tc>
        <w:tc>
          <w:tcPr>
            <w:tcW w:w="389" w:type="dxa"/>
            <w:tcBorders/>
            <w:vAlign w:val="center"/>
          </w:tcPr>
          <w:p>
            <w:pPr>
              <w:pStyle w:val="TableContents"/>
              <w:bidi w:val="0"/>
              <w:spacing w:lineRule="auto" w:line="285"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8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764</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78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2,414</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1,525</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4212"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Total operating expenses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87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444,486</w:t>
            </w:r>
          </w:p>
        </w:tc>
        <w:tc>
          <w:tcPr>
            <w:tcW w:w="389" w:type="dxa"/>
            <w:tcBorders/>
            <w:shd w:fill="CCEEFF" w:val="clear"/>
            <w:vAlign w:val="center"/>
          </w:tcPr>
          <w:p>
            <w:pPr>
              <w:pStyle w:val="TableContents"/>
              <w:bidi w:val="0"/>
              <w:spacing w:lineRule="auto" w:line="285"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8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494,695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78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922,166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1,004,734</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4212"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6" w:type="dxa"/>
            <w:tcBorders/>
            <w:vAlign w:val="center"/>
          </w:tcPr>
          <w:p>
            <w:pPr>
              <w:pStyle w:val="TableContents"/>
              <w:bidi w:val="0"/>
              <w:spacing w:lineRule="auto" w:line="285" w:before="0" w:after="0"/>
              <w:ind w:left="0" w:right="0" w:hanging="0"/>
              <w:jc w:val="left"/>
              <w:rPr/>
            </w:pPr>
            <w:r>
              <w:rPr/>
              <w:t>​</w:t>
            </w:r>
          </w:p>
        </w:tc>
        <w:tc>
          <w:tcPr>
            <w:tcW w:w="879" w:type="dxa"/>
            <w:tcBorders/>
            <w:vAlign w:val="center"/>
          </w:tcPr>
          <w:p>
            <w:pPr>
              <w:pStyle w:val="TableContents"/>
              <w:bidi w:val="0"/>
              <w:spacing w:lineRule="auto" w:line="285" w:before="0" w:after="0"/>
              <w:ind w:left="0" w:right="0" w:hanging="0"/>
              <w:jc w:val="left"/>
              <w:rPr/>
            </w:pPr>
            <w:r>
              <w:rPr/>
              <w:t>​</w:t>
            </w:r>
          </w:p>
        </w:tc>
        <w:tc>
          <w:tcPr>
            <w:tcW w:w="389" w:type="dxa"/>
            <w:tcBorders/>
            <w:vAlign w:val="center"/>
          </w:tcPr>
          <w:p>
            <w:pPr>
              <w:pStyle w:val="TableContents"/>
              <w:bidi w:val="0"/>
              <w:spacing w:lineRule="auto" w:line="285" w:before="0" w:after="0"/>
              <w:ind w:left="0" w:right="0" w:hanging="0"/>
              <w:jc w:val="left"/>
              <w:rPr/>
            </w:pPr>
            <w:r>
              <w:rPr/>
              <w:t>​</w:t>
            </w:r>
          </w:p>
        </w:tc>
        <w:tc>
          <w:tcPr>
            <w:tcW w:w="236" w:type="dxa"/>
            <w:tcBorders/>
            <w:vAlign w:val="center"/>
          </w:tcPr>
          <w:p>
            <w:pPr>
              <w:pStyle w:val="TableContents"/>
              <w:bidi w:val="0"/>
              <w:spacing w:lineRule="auto" w:line="285" w:before="0" w:after="0"/>
              <w:ind w:left="0" w:right="0" w:hanging="0"/>
              <w:jc w:val="left"/>
              <w:rPr/>
            </w:pPr>
            <w:r>
              <w:rPr/>
              <w:t>​</w:t>
            </w:r>
          </w:p>
        </w:tc>
        <w:tc>
          <w:tcPr>
            <w:tcW w:w="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8"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left"/>
              <w:rPr/>
            </w:pPr>
            <w:r>
              <w:rPr/>
              <w:t>​</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4212"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Income from operations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6" w:type="dxa"/>
            <w:tcBorders/>
            <w:shd w:fill="CCEEFF" w:val="clear"/>
            <w:vAlign w:val="center"/>
          </w:tcPr>
          <w:p>
            <w:pPr>
              <w:pStyle w:val="TableContents"/>
              <w:bidi w:val="0"/>
              <w:spacing w:lineRule="auto" w:line="285" w:before="0" w:after="0"/>
              <w:ind w:left="0" w:right="0" w:hanging="0"/>
              <w:jc w:val="right"/>
              <w:rPr/>
            </w:pPr>
            <w:r>
              <w:rPr/>
              <w:t> </w:t>
            </w:r>
          </w:p>
        </w:tc>
        <w:tc>
          <w:tcPr>
            <w:tcW w:w="879"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11,009</w:t>
            </w:r>
          </w:p>
        </w:tc>
        <w:tc>
          <w:tcPr>
            <w:tcW w:w="389" w:type="dxa"/>
            <w:tcBorders/>
            <w:shd w:fill="CCEEFF" w:val="clear"/>
            <w:vAlign w:val="center"/>
          </w:tcPr>
          <w:p>
            <w:pPr>
              <w:pStyle w:val="TableContents"/>
              <w:bidi w:val="0"/>
              <w:spacing w:lineRule="auto" w:line="285" w:before="0" w:after="0"/>
              <w:ind w:left="0" w:right="0" w:hanging="0"/>
              <w:jc w:val="left"/>
              <w:rPr/>
            </w:pPr>
            <w:r>
              <w:rPr/>
              <w:t>​</w:t>
            </w:r>
          </w:p>
        </w:tc>
        <w:tc>
          <w:tcPr>
            <w:tcW w:w="236" w:type="dxa"/>
            <w:tcBorders/>
            <w:shd w:fill="CCEEFF" w:val="clear"/>
            <w:vAlign w:val="center"/>
          </w:tcPr>
          <w:p>
            <w:pPr>
              <w:pStyle w:val="TableContents"/>
              <w:bidi w:val="0"/>
              <w:spacing w:lineRule="auto" w:line="285" w:before="0" w:after="0"/>
              <w:ind w:left="0" w:right="0" w:hanging="0"/>
              <w:jc w:val="right"/>
              <w:rPr/>
            </w:pPr>
            <w:r>
              <w:rPr/>
              <w:t> </w:t>
            </w:r>
          </w:p>
        </w:tc>
        <w:tc>
          <w:tcPr>
            <w:tcW w:w="88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18,876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788"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29,504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93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43,065</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4212"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6" w:type="dxa"/>
            <w:tcBorders/>
            <w:vAlign w:val="center"/>
          </w:tcPr>
          <w:p>
            <w:pPr>
              <w:pStyle w:val="TableContents"/>
              <w:bidi w:val="0"/>
              <w:spacing w:lineRule="auto" w:line="285" w:before="0" w:after="0"/>
              <w:ind w:left="0" w:right="0" w:hanging="0"/>
              <w:jc w:val="left"/>
              <w:rPr/>
            </w:pPr>
            <w:r>
              <w:rPr/>
              <w:t>​</w:t>
            </w:r>
          </w:p>
        </w:tc>
        <w:tc>
          <w:tcPr>
            <w:tcW w:w="879" w:type="dxa"/>
            <w:tcBorders/>
            <w:vAlign w:val="center"/>
          </w:tcPr>
          <w:p>
            <w:pPr>
              <w:pStyle w:val="TableContents"/>
              <w:bidi w:val="0"/>
              <w:spacing w:lineRule="auto" w:line="285" w:before="0" w:after="0"/>
              <w:ind w:left="0" w:right="0" w:hanging="0"/>
              <w:jc w:val="left"/>
              <w:rPr/>
            </w:pPr>
            <w:r>
              <w:rPr/>
              <w:t>​</w:t>
            </w:r>
          </w:p>
        </w:tc>
        <w:tc>
          <w:tcPr>
            <w:tcW w:w="389" w:type="dxa"/>
            <w:tcBorders/>
            <w:vAlign w:val="center"/>
          </w:tcPr>
          <w:p>
            <w:pPr>
              <w:pStyle w:val="TableContents"/>
              <w:bidi w:val="0"/>
              <w:spacing w:lineRule="auto" w:line="285" w:before="0" w:after="0"/>
              <w:ind w:left="0" w:right="0" w:hanging="0"/>
              <w:jc w:val="left"/>
              <w:rPr/>
            </w:pPr>
            <w:r>
              <w:rPr/>
              <w:t>​</w:t>
            </w:r>
          </w:p>
        </w:tc>
        <w:tc>
          <w:tcPr>
            <w:tcW w:w="236" w:type="dxa"/>
            <w:tcBorders/>
            <w:vAlign w:val="center"/>
          </w:tcPr>
          <w:p>
            <w:pPr>
              <w:pStyle w:val="TableContents"/>
              <w:bidi w:val="0"/>
              <w:spacing w:lineRule="auto" w:line="285" w:before="0" w:after="0"/>
              <w:ind w:left="0" w:right="0" w:hanging="0"/>
              <w:jc w:val="left"/>
              <w:rPr/>
            </w:pPr>
            <w:r>
              <w:rPr/>
              <w:t>​</w:t>
            </w:r>
          </w:p>
        </w:tc>
        <w:tc>
          <w:tcPr>
            <w:tcW w:w="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8"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left"/>
              <w:rPr/>
            </w:pPr>
            <w:r>
              <w:rPr/>
              <w:t>​</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4212"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Other income (expense)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6" w:type="dxa"/>
            <w:tcBorders/>
            <w:shd w:fill="CCEEFF" w:val="clear"/>
            <w:vAlign w:val="center"/>
          </w:tcPr>
          <w:p>
            <w:pPr>
              <w:pStyle w:val="TableContents"/>
              <w:bidi w:val="0"/>
              <w:spacing w:lineRule="auto" w:line="285" w:before="0" w:after="0"/>
              <w:ind w:left="0" w:right="0" w:hanging="0"/>
              <w:jc w:val="left"/>
              <w:rPr/>
            </w:pPr>
            <w:r>
              <w:rPr/>
              <w:t>​</w:t>
            </w:r>
          </w:p>
        </w:tc>
        <w:tc>
          <w:tcPr>
            <w:tcW w:w="879" w:type="dxa"/>
            <w:tcBorders/>
            <w:shd w:fill="CCEEFF" w:val="clear"/>
            <w:vAlign w:val="center"/>
          </w:tcPr>
          <w:p>
            <w:pPr>
              <w:pStyle w:val="TableContents"/>
              <w:bidi w:val="0"/>
              <w:spacing w:lineRule="auto" w:line="285" w:before="0" w:after="0"/>
              <w:ind w:left="0" w:right="0" w:hanging="0"/>
              <w:jc w:val="left"/>
              <w:rPr/>
            </w:pPr>
            <w:r>
              <w:rPr/>
              <w:t>​</w:t>
            </w:r>
          </w:p>
        </w:tc>
        <w:tc>
          <w:tcPr>
            <w:tcW w:w="389" w:type="dxa"/>
            <w:tcBorders/>
            <w:shd w:fill="CCEEFF" w:val="clear"/>
            <w:vAlign w:val="center"/>
          </w:tcPr>
          <w:p>
            <w:pPr>
              <w:pStyle w:val="TableContents"/>
              <w:bidi w:val="0"/>
              <w:spacing w:lineRule="auto" w:line="285" w:before="0" w:after="0"/>
              <w:ind w:left="0" w:right="0" w:hanging="0"/>
              <w:jc w:val="left"/>
              <w:rPr/>
            </w:pPr>
            <w:r>
              <w:rPr/>
              <w:t>​</w:t>
            </w:r>
          </w:p>
        </w:tc>
        <w:tc>
          <w:tcPr>
            <w:tcW w:w="236" w:type="dxa"/>
            <w:tcBorders/>
            <w:shd w:fill="CCEEFF" w:val="clear"/>
            <w:vAlign w:val="center"/>
          </w:tcPr>
          <w:p>
            <w:pPr>
              <w:pStyle w:val="TableContents"/>
              <w:bidi w:val="0"/>
              <w:spacing w:lineRule="auto" w:line="285" w:before="0" w:after="0"/>
              <w:ind w:left="0" w:right="0" w:hanging="0"/>
              <w:jc w:val="left"/>
              <w:rPr/>
            </w:pPr>
            <w:r>
              <w:rPr/>
              <w:t>​</w:t>
            </w:r>
          </w:p>
        </w:tc>
        <w:tc>
          <w:tcPr>
            <w:tcW w:w="88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8"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left"/>
              <w:rPr/>
            </w:pPr>
            <w:r>
              <w:rPr/>
              <w:t>​</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4212"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Interest income</w:t>
            </w:r>
          </w:p>
        </w:tc>
        <w:tc>
          <w:tcPr>
            <w:tcW w:w="346" w:type="dxa"/>
            <w:tcBorders/>
            <w:vAlign w:val="center"/>
          </w:tcPr>
          <w:p>
            <w:pPr>
              <w:pStyle w:val="TableContents"/>
              <w:bidi w:val="0"/>
              <w:spacing w:lineRule="auto" w:line="285" w:before="0" w:after="0"/>
              <w:ind w:left="0" w:right="0" w:hanging="0"/>
              <w:jc w:val="left"/>
              <w:rPr/>
            </w:pPr>
            <w:r>
              <w:rPr/>
              <w:t>​</w:t>
            </w:r>
          </w:p>
        </w:tc>
        <w:tc>
          <w:tcPr>
            <w:tcW w:w="236" w:type="dxa"/>
            <w:tcBorders/>
            <w:vAlign w:val="center"/>
          </w:tcPr>
          <w:p>
            <w:pPr>
              <w:pStyle w:val="TableContents"/>
              <w:bidi w:val="0"/>
              <w:spacing w:lineRule="auto" w:line="285" w:before="0" w:after="0"/>
              <w:ind w:left="0" w:right="0" w:hanging="0"/>
              <w:jc w:val="right"/>
              <w:rPr/>
            </w:pPr>
            <w:r>
              <w:rPr/>
              <w:t> </w:t>
            </w:r>
          </w:p>
        </w:tc>
        <w:tc>
          <w:tcPr>
            <w:tcW w:w="879"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97</w:t>
            </w:r>
          </w:p>
        </w:tc>
        <w:tc>
          <w:tcPr>
            <w:tcW w:w="389" w:type="dxa"/>
            <w:tcBorders/>
            <w:vAlign w:val="center"/>
          </w:tcPr>
          <w:p>
            <w:pPr>
              <w:pStyle w:val="TableContents"/>
              <w:bidi w:val="0"/>
              <w:spacing w:lineRule="auto" w:line="285" w:before="0" w:after="0"/>
              <w:ind w:left="0" w:right="0" w:hanging="0"/>
              <w:jc w:val="left"/>
              <w:rPr/>
            </w:pPr>
            <w:r>
              <w:rPr/>
              <w:t>​</w:t>
            </w:r>
          </w:p>
        </w:tc>
        <w:tc>
          <w:tcPr>
            <w:tcW w:w="236" w:type="dxa"/>
            <w:tcBorders/>
            <w:vAlign w:val="center"/>
          </w:tcPr>
          <w:p>
            <w:pPr>
              <w:pStyle w:val="TableContents"/>
              <w:bidi w:val="0"/>
              <w:spacing w:lineRule="auto" w:line="285" w:before="0" w:after="0"/>
              <w:ind w:left="0" w:right="0" w:hanging="0"/>
              <w:jc w:val="right"/>
              <w:rPr/>
            </w:pPr>
            <w:r>
              <w:rPr/>
              <w:t> </w:t>
            </w:r>
          </w:p>
        </w:tc>
        <w:tc>
          <w:tcPr>
            <w:tcW w:w="88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3,217</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788"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548</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93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7,797</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4212"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Interest expense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6" w:type="dxa"/>
            <w:tcBorders/>
            <w:shd w:fill="CCEEFF" w:val="clear"/>
            <w:vAlign w:val="center"/>
          </w:tcPr>
          <w:p>
            <w:pPr>
              <w:pStyle w:val="TableContents"/>
              <w:bidi w:val="0"/>
              <w:spacing w:lineRule="auto" w:line="285" w:before="0" w:after="0"/>
              <w:ind w:left="0" w:right="0" w:hanging="0"/>
              <w:jc w:val="right"/>
              <w:rPr/>
            </w:pPr>
            <w:r>
              <w:rPr/>
              <w:t> </w:t>
            </w:r>
          </w:p>
        </w:tc>
        <w:tc>
          <w:tcPr>
            <w:tcW w:w="879"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(16,688)</w:t>
            </w:r>
          </w:p>
        </w:tc>
        <w:tc>
          <w:tcPr>
            <w:tcW w:w="389" w:type="dxa"/>
            <w:tcBorders/>
            <w:shd w:fill="CCEEFF" w:val="clear"/>
            <w:vAlign w:val="center"/>
          </w:tcPr>
          <w:p>
            <w:pPr>
              <w:pStyle w:val="TableContents"/>
              <w:bidi w:val="0"/>
              <w:spacing w:lineRule="auto" w:line="285" w:before="0" w:after="0"/>
              <w:ind w:left="0" w:right="0" w:hanging="0"/>
              <w:jc w:val="left"/>
              <w:rPr/>
            </w:pPr>
            <w:r>
              <w:rPr/>
              <w:t>​</w:t>
            </w:r>
          </w:p>
        </w:tc>
        <w:tc>
          <w:tcPr>
            <w:tcW w:w="236" w:type="dxa"/>
            <w:tcBorders/>
            <w:shd w:fill="CCEEFF" w:val="clear"/>
            <w:vAlign w:val="center"/>
          </w:tcPr>
          <w:p>
            <w:pPr>
              <w:pStyle w:val="TableContents"/>
              <w:bidi w:val="0"/>
              <w:spacing w:lineRule="auto" w:line="285" w:before="0" w:after="0"/>
              <w:ind w:left="0" w:right="0" w:hanging="0"/>
              <w:jc w:val="right"/>
              <w:rPr/>
            </w:pPr>
            <w:r>
              <w:rPr/>
              <w:t> </w:t>
            </w:r>
          </w:p>
        </w:tc>
        <w:tc>
          <w:tcPr>
            <w:tcW w:w="88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(18,233)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788"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(33,672)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93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(38,030)</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4212"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Other income (expense), net</w:t>
            </w:r>
          </w:p>
        </w:tc>
        <w:tc>
          <w:tcPr>
            <w:tcW w:w="346" w:type="dxa"/>
            <w:tcBorders/>
            <w:vAlign w:val="center"/>
          </w:tcPr>
          <w:p>
            <w:pPr>
              <w:pStyle w:val="TableContents"/>
              <w:bidi w:val="0"/>
              <w:spacing w:lineRule="auto" w:line="285"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7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1,180</w:t>
            </w:r>
          </w:p>
        </w:tc>
        <w:tc>
          <w:tcPr>
            <w:tcW w:w="389" w:type="dxa"/>
            <w:tcBorders/>
            <w:vAlign w:val="center"/>
          </w:tcPr>
          <w:p>
            <w:pPr>
              <w:pStyle w:val="TableContents"/>
              <w:bidi w:val="0"/>
              <w:spacing w:lineRule="auto" w:line="285"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(296)</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78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1,838</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3,293</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4212"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Total other income (expense)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87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(15,411)</w:t>
            </w:r>
          </w:p>
        </w:tc>
        <w:tc>
          <w:tcPr>
            <w:tcW w:w="389" w:type="dxa"/>
            <w:tcBorders/>
            <w:shd w:fill="CCEEFF" w:val="clear"/>
            <w:vAlign w:val="center"/>
          </w:tcPr>
          <w:p>
            <w:pPr>
              <w:pStyle w:val="TableContents"/>
              <w:bidi w:val="0"/>
              <w:spacing w:lineRule="auto" w:line="285"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8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(15,312)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78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(31,286)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(26,940)</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4212"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6" w:type="dxa"/>
            <w:tcBorders/>
            <w:vAlign w:val="center"/>
          </w:tcPr>
          <w:p>
            <w:pPr>
              <w:pStyle w:val="TableContents"/>
              <w:bidi w:val="0"/>
              <w:spacing w:lineRule="auto" w:line="285" w:before="0" w:after="0"/>
              <w:ind w:left="0" w:right="0" w:hanging="0"/>
              <w:jc w:val="left"/>
              <w:rPr/>
            </w:pPr>
            <w:r>
              <w:rPr/>
              <w:t>​</w:t>
            </w:r>
          </w:p>
        </w:tc>
        <w:tc>
          <w:tcPr>
            <w:tcW w:w="879" w:type="dxa"/>
            <w:tcBorders/>
            <w:vAlign w:val="center"/>
          </w:tcPr>
          <w:p>
            <w:pPr>
              <w:pStyle w:val="TableContents"/>
              <w:bidi w:val="0"/>
              <w:spacing w:lineRule="auto" w:line="285" w:before="0" w:after="0"/>
              <w:ind w:left="0" w:right="0" w:hanging="0"/>
              <w:jc w:val="left"/>
              <w:rPr/>
            </w:pPr>
            <w:r>
              <w:rPr/>
              <w:t>​</w:t>
            </w:r>
          </w:p>
        </w:tc>
        <w:tc>
          <w:tcPr>
            <w:tcW w:w="389" w:type="dxa"/>
            <w:tcBorders/>
            <w:vAlign w:val="center"/>
          </w:tcPr>
          <w:p>
            <w:pPr>
              <w:pStyle w:val="TableContents"/>
              <w:bidi w:val="0"/>
              <w:spacing w:lineRule="auto" w:line="285" w:before="0" w:after="0"/>
              <w:ind w:left="0" w:right="0" w:hanging="0"/>
              <w:jc w:val="left"/>
              <w:rPr/>
            </w:pPr>
            <w:r>
              <w:rPr/>
              <w:t>​</w:t>
            </w:r>
          </w:p>
        </w:tc>
        <w:tc>
          <w:tcPr>
            <w:tcW w:w="236" w:type="dxa"/>
            <w:tcBorders/>
            <w:vAlign w:val="center"/>
          </w:tcPr>
          <w:p>
            <w:pPr>
              <w:pStyle w:val="TableContents"/>
              <w:bidi w:val="0"/>
              <w:spacing w:lineRule="auto" w:line="285" w:before="0" w:after="0"/>
              <w:ind w:left="0" w:right="0" w:hanging="0"/>
              <w:jc w:val="left"/>
              <w:rPr/>
            </w:pPr>
            <w:r>
              <w:rPr/>
              <w:t>​</w:t>
            </w:r>
          </w:p>
        </w:tc>
        <w:tc>
          <w:tcPr>
            <w:tcW w:w="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8"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left"/>
              <w:rPr/>
            </w:pPr>
            <w:r>
              <w:rPr/>
              <w:t>​</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4212"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Income (loss) before income taxes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6" w:type="dxa"/>
            <w:tcBorders/>
            <w:shd w:fill="CCEEFF" w:val="clear"/>
            <w:vAlign w:val="center"/>
          </w:tcPr>
          <w:p>
            <w:pPr>
              <w:pStyle w:val="TableContents"/>
              <w:bidi w:val="0"/>
              <w:spacing w:lineRule="auto" w:line="285" w:before="0" w:after="0"/>
              <w:ind w:left="0" w:right="0" w:hanging="0"/>
              <w:jc w:val="right"/>
              <w:rPr/>
            </w:pPr>
            <w:r>
              <w:rPr/>
              <w:t> </w:t>
            </w:r>
          </w:p>
        </w:tc>
        <w:tc>
          <w:tcPr>
            <w:tcW w:w="879"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(4,402)</w:t>
            </w:r>
          </w:p>
        </w:tc>
        <w:tc>
          <w:tcPr>
            <w:tcW w:w="389" w:type="dxa"/>
            <w:tcBorders/>
            <w:shd w:fill="CCEEFF" w:val="clear"/>
            <w:vAlign w:val="center"/>
          </w:tcPr>
          <w:p>
            <w:pPr>
              <w:pStyle w:val="TableContents"/>
              <w:bidi w:val="0"/>
              <w:spacing w:lineRule="auto" w:line="285" w:before="0" w:after="0"/>
              <w:ind w:left="0" w:right="0" w:hanging="0"/>
              <w:jc w:val="left"/>
              <w:rPr/>
            </w:pPr>
            <w:r>
              <w:rPr/>
              <w:t>​</w:t>
            </w:r>
          </w:p>
        </w:tc>
        <w:tc>
          <w:tcPr>
            <w:tcW w:w="236" w:type="dxa"/>
            <w:tcBorders/>
            <w:shd w:fill="CCEEFF" w:val="clear"/>
            <w:vAlign w:val="center"/>
          </w:tcPr>
          <w:p>
            <w:pPr>
              <w:pStyle w:val="TableContents"/>
              <w:bidi w:val="0"/>
              <w:spacing w:lineRule="auto" w:line="285" w:before="0" w:after="0"/>
              <w:ind w:left="0" w:right="0" w:hanging="0"/>
              <w:jc w:val="right"/>
              <w:rPr/>
            </w:pPr>
            <w:r>
              <w:rPr/>
              <w:t> </w:t>
            </w:r>
          </w:p>
        </w:tc>
        <w:tc>
          <w:tcPr>
            <w:tcW w:w="88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3,564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788"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(1,782)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93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16,125</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4212"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6" w:type="dxa"/>
            <w:tcBorders/>
            <w:vAlign w:val="center"/>
          </w:tcPr>
          <w:p>
            <w:pPr>
              <w:pStyle w:val="TableContents"/>
              <w:bidi w:val="0"/>
              <w:spacing w:lineRule="auto" w:line="285" w:before="0" w:after="0"/>
              <w:ind w:left="0" w:right="0" w:hanging="0"/>
              <w:jc w:val="left"/>
              <w:rPr/>
            </w:pPr>
            <w:r>
              <w:rPr/>
              <w:t>​</w:t>
            </w:r>
          </w:p>
        </w:tc>
        <w:tc>
          <w:tcPr>
            <w:tcW w:w="879" w:type="dxa"/>
            <w:tcBorders/>
            <w:vAlign w:val="center"/>
          </w:tcPr>
          <w:p>
            <w:pPr>
              <w:pStyle w:val="TableContents"/>
              <w:bidi w:val="0"/>
              <w:spacing w:lineRule="auto" w:line="285" w:before="0" w:after="0"/>
              <w:ind w:left="0" w:right="0" w:hanging="0"/>
              <w:jc w:val="left"/>
              <w:rPr/>
            </w:pPr>
            <w:r>
              <w:rPr/>
              <w:t>​</w:t>
            </w:r>
          </w:p>
        </w:tc>
        <w:tc>
          <w:tcPr>
            <w:tcW w:w="389" w:type="dxa"/>
            <w:tcBorders/>
            <w:vAlign w:val="center"/>
          </w:tcPr>
          <w:p>
            <w:pPr>
              <w:pStyle w:val="TableContents"/>
              <w:bidi w:val="0"/>
              <w:spacing w:lineRule="auto" w:line="285" w:before="0" w:after="0"/>
              <w:ind w:left="0" w:right="0" w:hanging="0"/>
              <w:jc w:val="left"/>
              <w:rPr/>
            </w:pPr>
            <w:r>
              <w:rPr/>
              <w:t>​</w:t>
            </w:r>
          </w:p>
        </w:tc>
        <w:tc>
          <w:tcPr>
            <w:tcW w:w="236" w:type="dxa"/>
            <w:tcBorders/>
            <w:vAlign w:val="center"/>
          </w:tcPr>
          <w:p>
            <w:pPr>
              <w:pStyle w:val="TableContents"/>
              <w:bidi w:val="0"/>
              <w:spacing w:lineRule="auto" w:line="285" w:before="0" w:after="0"/>
              <w:ind w:left="0" w:right="0" w:hanging="0"/>
              <w:jc w:val="left"/>
              <w:rPr/>
            </w:pPr>
            <w:r>
              <w:rPr/>
              <w:t>​</w:t>
            </w:r>
          </w:p>
        </w:tc>
        <w:tc>
          <w:tcPr>
            <w:tcW w:w="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8"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left"/>
              <w:rPr/>
            </w:pPr>
            <w:r>
              <w:rPr/>
              <w:t>​</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4212"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Provision for income taxes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87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(8,606)</w:t>
            </w:r>
          </w:p>
        </w:tc>
        <w:tc>
          <w:tcPr>
            <w:tcW w:w="389" w:type="dxa"/>
            <w:tcBorders/>
            <w:shd w:fill="CCEEFF" w:val="clear"/>
            <w:vAlign w:val="center"/>
          </w:tcPr>
          <w:p>
            <w:pPr>
              <w:pStyle w:val="TableContents"/>
              <w:bidi w:val="0"/>
              <w:spacing w:lineRule="auto" w:line="285"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8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(10,288)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78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(16,403)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(19,603)</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4212"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6" w:type="dxa"/>
            <w:tcBorders/>
            <w:vAlign w:val="center"/>
          </w:tcPr>
          <w:p>
            <w:pPr>
              <w:pStyle w:val="TableContents"/>
              <w:bidi w:val="0"/>
              <w:spacing w:lineRule="auto" w:line="285" w:before="0" w:after="0"/>
              <w:ind w:left="0" w:right="0" w:hanging="0"/>
              <w:jc w:val="left"/>
              <w:rPr/>
            </w:pPr>
            <w:r>
              <w:rPr/>
              <w:t>​</w:t>
            </w:r>
          </w:p>
        </w:tc>
        <w:tc>
          <w:tcPr>
            <w:tcW w:w="879" w:type="dxa"/>
            <w:tcBorders/>
            <w:vAlign w:val="center"/>
          </w:tcPr>
          <w:p>
            <w:pPr>
              <w:pStyle w:val="TableContents"/>
              <w:bidi w:val="0"/>
              <w:spacing w:lineRule="auto" w:line="285" w:before="0" w:after="0"/>
              <w:ind w:left="0" w:right="0" w:hanging="0"/>
              <w:jc w:val="left"/>
              <w:rPr/>
            </w:pPr>
            <w:r>
              <w:rPr/>
              <w:t>​</w:t>
            </w:r>
          </w:p>
        </w:tc>
        <w:tc>
          <w:tcPr>
            <w:tcW w:w="389" w:type="dxa"/>
            <w:tcBorders/>
            <w:vAlign w:val="center"/>
          </w:tcPr>
          <w:p>
            <w:pPr>
              <w:pStyle w:val="TableContents"/>
              <w:bidi w:val="0"/>
              <w:spacing w:lineRule="auto" w:line="285" w:before="0" w:after="0"/>
              <w:ind w:left="0" w:right="0" w:hanging="0"/>
              <w:jc w:val="left"/>
              <w:rPr/>
            </w:pPr>
            <w:r>
              <w:rPr/>
              <w:t>​</w:t>
            </w:r>
          </w:p>
        </w:tc>
        <w:tc>
          <w:tcPr>
            <w:tcW w:w="236" w:type="dxa"/>
            <w:tcBorders/>
            <w:vAlign w:val="center"/>
          </w:tcPr>
          <w:p>
            <w:pPr>
              <w:pStyle w:val="TableContents"/>
              <w:bidi w:val="0"/>
              <w:spacing w:lineRule="auto" w:line="285" w:before="0" w:after="0"/>
              <w:ind w:left="0" w:right="0" w:hanging="0"/>
              <w:jc w:val="left"/>
              <w:rPr/>
            </w:pPr>
            <w:r>
              <w:rPr/>
              <w:t>​</w:t>
            </w:r>
          </w:p>
        </w:tc>
        <w:tc>
          <w:tcPr>
            <w:tcW w:w="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8"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left"/>
              <w:rPr/>
            </w:pPr>
            <w:r>
              <w:rPr/>
              <w:t>​</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4212"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Net income (loss)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6" w:type="dxa"/>
            <w:tcBorders/>
            <w:shd w:fill="CCEEFF" w:val="clear"/>
            <w:vAlign w:val="center"/>
          </w:tcPr>
          <w:p>
            <w:pPr>
              <w:pStyle w:val="TableContents"/>
              <w:bidi w:val="0"/>
              <w:spacing w:lineRule="auto" w:line="285" w:before="0" w:after="0"/>
              <w:ind w:left="0" w:right="0" w:hanging="0"/>
              <w:jc w:val="right"/>
              <w:rPr/>
            </w:pPr>
            <w:r>
              <w:rPr/>
              <w:t> </w:t>
            </w:r>
          </w:p>
        </w:tc>
        <w:tc>
          <w:tcPr>
            <w:tcW w:w="879"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(13,008)</w:t>
            </w:r>
          </w:p>
        </w:tc>
        <w:tc>
          <w:tcPr>
            <w:tcW w:w="389" w:type="dxa"/>
            <w:tcBorders/>
            <w:shd w:fill="CCEEFF" w:val="clear"/>
            <w:vAlign w:val="center"/>
          </w:tcPr>
          <w:p>
            <w:pPr>
              <w:pStyle w:val="TableContents"/>
              <w:bidi w:val="0"/>
              <w:spacing w:lineRule="auto" w:line="285" w:before="0" w:after="0"/>
              <w:ind w:left="0" w:right="0" w:hanging="0"/>
              <w:jc w:val="left"/>
              <w:rPr/>
            </w:pPr>
            <w:r>
              <w:rPr/>
              <w:t>​</w:t>
            </w:r>
          </w:p>
        </w:tc>
        <w:tc>
          <w:tcPr>
            <w:tcW w:w="236" w:type="dxa"/>
            <w:tcBorders/>
            <w:shd w:fill="CCEEFF" w:val="clear"/>
            <w:vAlign w:val="center"/>
          </w:tcPr>
          <w:p>
            <w:pPr>
              <w:pStyle w:val="TableContents"/>
              <w:bidi w:val="0"/>
              <w:spacing w:lineRule="auto" w:line="285" w:before="0" w:after="0"/>
              <w:ind w:left="0" w:right="0" w:hanging="0"/>
              <w:jc w:val="right"/>
              <w:rPr/>
            </w:pPr>
            <w:r>
              <w:rPr/>
              <w:t> </w:t>
            </w:r>
          </w:p>
        </w:tc>
        <w:tc>
          <w:tcPr>
            <w:tcW w:w="88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(6,724)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788"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(18,185)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93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(3,478)</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4212"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6" w:type="dxa"/>
            <w:tcBorders/>
            <w:vAlign w:val="center"/>
          </w:tcPr>
          <w:p>
            <w:pPr>
              <w:pStyle w:val="TableContents"/>
              <w:bidi w:val="0"/>
              <w:spacing w:lineRule="auto" w:line="285" w:before="0" w:after="0"/>
              <w:ind w:left="0" w:right="0" w:hanging="0"/>
              <w:jc w:val="left"/>
              <w:rPr/>
            </w:pPr>
            <w:r>
              <w:rPr/>
              <w:t>​</w:t>
            </w:r>
          </w:p>
        </w:tc>
        <w:tc>
          <w:tcPr>
            <w:tcW w:w="879" w:type="dxa"/>
            <w:tcBorders/>
            <w:vAlign w:val="center"/>
          </w:tcPr>
          <w:p>
            <w:pPr>
              <w:pStyle w:val="TableContents"/>
              <w:bidi w:val="0"/>
              <w:spacing w:lineRule="auto" w:line="285" w:before="0" w:after="0"/>
              <w:ind w:left="0" w:right="0" w:hanging="0"/>
              <w:jc w:val="left"/>
              <w:rPr/>
            </w:pPr>
            <w:r>
              <w:rPr/>
              <w:t>​</w:t>
            </w:r>
          </w:p>
        </w:tc>
        <w:tc>
          <w:tcPr>
            <w:tcW w:w="389" w:type="dxa"/>
            <w:tcBorders/>
            <w:vAlign w:val="center"/>
          </w:tcPr>
          <w:p>
            <w:pPr>
              <w:pStyle w:val="TableContents"/>
              <w:bidi w:val="0"/>
              <w:spacing w:lineRule="auto" w:line="285" w:before="0" w:after="0"/>
              <w:ind w:left="0" w:right="0" w:hanging="0"/>
              <w:jc w:val="left"/>
              <w:rPr/>
            </w:pPr>
            <w:r>
              <w:rPr/>
              <w:t>​</w:t>
            </w:r>
          </w:p>
        </w:tc>
        <w:tc>
          <w:tcPr>
            <w:tcW w:w="236" w:type="dxa"/>
            <w:tcBorders/>
            <w:vAlign w:val="center"/>
          </w:tcPr>
          <w:p>
            <w:pPr>
              <w:pStyle w:val="TableContents"/>
              <w:bidi w:val="0"/>
              <w:spacing w:lineRule="auto" w:line="285" w:before="0" w:after="0"/>
              <w:ind w:left="0" w:right="0" w:hanging="0"/>
              <w:jc w:val="left"/>
              <w:rPr/>
            </w:pPr>
            <w:r>
              <w:rPr/>
              <w:t>​</w:t>
            </w:r>
          </w:p>
        </w:tc>
        <w:tc>
          <w:tcPr>
            <w:tcW w:w="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8"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left"/>
              <w:rPr/>
            </w:pPr>
            <w:r>
              <w:rPr/>
              <w:t>​</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4212"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Net income attributable to noncontrolling interest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6" w:type="dxa"/>
            <w:tcBorders/>
            <w:shd w:fill="CCEEFF" w:val="clear"/>
            <w:vAlign w:val="center"/>
          </w:tcPr>
          <w:p>
            <w:pPr>
              <w:pStyle w:val="TableContents"/>
              <w:bidi w:val="0"/>
              <w:spacing w:lineRule="auto" w:line="285" w:before="0" w:after="0"/>
              <w:ind w:left="0" w:right="0" w:hanging="0"/>
              <w:jc w:val="right"/>
              <w:rPr/>
            </w:pPr>
            <w:r>
              <w:rPr/>
              <w:t> </w:t>
            </w:r>
          </w:p>
        </w:tc>
        <w:tc>
          <w:tcPr>
            <w:tcW w:w="879"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(2,370)</w:t>
            </w:r>
          </w:p>
        </w:tc>
        <w:tc>
          <w:tcPr>
            <w:tcW w:w="389" w:type="dxa"/>
            <w:tcBorders/>
            <w:shd w:fill="CCEEFF" w:val="clear"/>
            <w:vAlign w:val="center"/>
          </w:tcPr>
          <w:p>
            <w:pPr>
              <w:pStyle w:val="TableContents"/>
              <w:bidi w:val="0"/>
              <w:spacing w:lineRule="auto" w:line="285" w:before="0" w:after="0"/>
              <w:ind w:left="0" w:right="0" w:hanging="0"/>
              <w:jc w:val="left"/>
              <w:rPr/>
            </w:pPr>
            <w:r>
              <w:rPr/>
              <w:t>​</w:t>
            </w:r>
          </w:p>
        </w:tc>
        <w:tc>
          <w:tcPr>
            <w:tcW w:w="236" w:type="dxa"/>
            <w:tcBorders/>
            <w:shd w:fill="CCEEFF" w:val="clear"/>
            <w:vAlign w:val="center"/>
          </w:tcPr>
          <w:p>
            <w:pPr>
              <w:pStyle w:val="TableContents"/>
              <w:bidi w:val="0"/>
              <w:spacing w:lineRule="auto" w:line="285" w:before="0" w:after="0"/>
              <w:ind w:left="0" w:right="0" w:hanging="0"/>
              <w:jc w:val="right"/>
              <w:rPr/>
            </w:pPr>
            <w:r>
              <w:rPr/>
              <w:t> </w:t>
            </w:r>
          </w:p>
        </w:tc>
        <w:tc>
          <w:tcPr>
            <w:tcW w:w="88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(1,263)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788"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(4,802)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93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(3,125)</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4212"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7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389" w:type="dxa"/>
            <w:tcBorders/>
            <w:vAlign w:val="center"/>
          </w:tcPr>
          <w:p>
            <w:pPr>
              <w:pStyle w:val="TableContents"/>
              <w:bidi w:val="0"/>
              <w:spacing w:lineRule="auto" w:line="285"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4212"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Net income (loss) attributable to TTEC stockholders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7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(15,378)</w:t>
            </w:r>
          </w:p>
        </w:tc>
        <w:tc>
          <w:tcPr>
            <w:tcW w:w="389" w:type="dxa"/>
            <w:tcBorders/>
            <w:shd w:fill="CCEEFF" w:val="clear"/>
            <w:vAlign w:val="center"/>
          </w:tcPr>
          <w:p>
            <w:pPr>
              <w:pStyle w:val="TableContents"/>
              <w:bidi w:val="0"/>
              <w:spacing w:lineRule="auto" w:line="285"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(7,987)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(22,987)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(6,603)</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4212"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6" w:type="dxa"/>
            <w:tcBorders/>
            <w:vAlign w:val="center"/>
          </w:tcPr>
          <w:p>
            <w:pPr>
              <w:pStyle w:val="TableContents"/>
              <w:bidi w:val="0"/>
              <w:spacing w:lineRule="auto" w:line="285" w:before="0" w:after="0"/>
              <w:ind w:left="0" w:right="0" w:hanging="0"/>
              <w:jc w:val="left"/>
              <w:rPr/>
            </w:pPr>
            <w:r>
              <w:rPr/>
              <w:t>​</w:t>
            </w:r>
          </w:p>
        </w:tc>
        <w:tc>
          <w:tcPr>
            <w:tcW w:w="879" w:type="dxa"/>
            <w:tcBorders/>
            <w:vAlign w:val="center"/>
          </w:tcPr>
          <w:p>
            <w:pPr>
              <w:pStyle w:val="TableContents"/>
              <w:bidi w:val="0"/>
              <w:spacing w:lineRule="auto" w:line="285" w:before="0" w:after="0"/>
              <w:ind w:left="0" w:right="0" w:hanging="0"/>
              <w:jc w:val="left"/>
              <w:rPr/>
            </w:pPr>
            <w:r>
              <w:rPr/>
              <w:t>​</w:t>
            </w:r>
          </w:p>
        </w:tc>
        <w:tc>
          <w:tcPr>
            <w:tcW w:w="389" w:type="dxa"/>
            <w:tcBorders/>
            <w:vAlign w:val="center"/>
          </w:tcPr>
          <w:p>
            <w:pPr>
              <w:pStyle w:val="TableContents"/>
              <w:bidi w:val="0"/>
              <w:spacing w:lineRule="auto" w:line="285" w:before="0" w:after="0"/>
              <w:ind w:left="0" w:right="0" w:hanging="0"/>
              <w:jc w:val="left"/>
              <w:rPr/>
            </w:pPr>
            <w:r>
              <w:rPr/>
              <w:t>​</w:t>
            </w:r>
          </w:p>
        </w:tc>
        <w:tc>
          <w:tcPr>
            <w:tcW w:w="236" w:type="dxa"/>
            <w:tcBorders/>
            <w:vAlign w:val="center"/>
          </w:tcPr>
          <w:p>
            <w:pPr>
              <w:pStyle w:val="TableContents"/>
              <w:bidi w:val="0"/>
              <w:spacing w:lineRule="auto" w:line="285" w:before="0" w:after="0"/>
              <w:ind w:left="0" w:right="0" w:hanging="0"/>
              <w:jc w:val="left"/>
              <w:rPr/>
            </w:pPr>
            <w:r>
              <w:rPr/>
              <w:t>​</w:t>
            </w:r>
          </w:p>
        </w:tc>
        <w:tc>
          <w:tcPr>
            <w:tcW w:w="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8"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left"/>
              <w:rPr/>
            </w:pPr>
            <w:r>
              <w:rPr/>
              <w:t>​</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4212"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Other comprehensive income (loss)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6" w:type="dxa"/>
            <w:tcBorders/>
            <w:shd w:fill="CCEEFF" w:val="clear"/>
            <w:vAlign w:val="center"/>
          </w:tcPr>
          <w:p>
            <w:pPr>
              <w:pStyle w:val="TableContents"/>
              <w:bidi w:val="0"/>
              <w:spacing w:lineRule="auto" w:line="285" w:before="0" w:after="0"/>
              <w:ind w:left="0" w:right="0" w:hanging="0"/>
              <w:jc w:val="left"/>
              <w:rPr/>
            </w:pPr>
            <w:r>
              <w:rPr/>
              <w:t>​</w:t>
            </w:r>
          </w:p>
        </w:tc>
        <w:tc>
          <w:tcPr>
            <w:tcW w:w="879" w:type="dxa"/>
            <w:tcBorders/>
            <w:shd w:fill="CCEEFF" w:val="clear"/>
            <w:vAlign w:val="center"/>
          </w:tcPr>
          <w:p>
            <w:pPr>
              <w:pStyle w:val="TableContents"/>
              <w:bidi w:val="0"/>
              <w:spacing w:lineRule="auto" w:line="285" w:before="0" w:after="0"/>
              <w:ind w:left="0" w:right="0" w:hanging="0"/>
              <w:jc w:val="left"/>
              <w:rPr/>
            </w:pPr>
            <w:r>
              <w:rPr/>
              <w:t>​</w:t>
            </w:r>
          </w:p>
        </w:tc>
        <w:tc>
          <w:tcPr>
            <w:tcW w:w="389" w:type="dxa"/>
            <w:tcBorders/>
            <w:shd w:fill="CCEEFF" w:val="clear"/>
            <w:vAlign w:val="center"/>
          </w:tcPr>
          <w:p>
            <w:pPr>
              <w:pStyle w:val="TableContents"/>
              <w:bidi w:val="0"/>
              <w:spacing w:lineRule="auto" w:line="285" w:before="0" w:after="0"/>
              <w:ind w:left="0" w:right="0" w:hanging="0"/>
              <w:jc w:val="left"/>
              <w:rPr/>
            </w:pPr>
            <w:r>
              <w:rPr/>
              <w:t>​</w:t>
            </w:r>
          </w:p>
        </w:tc>
        <w:tc>
          <w:tcPr>
            <w:tcW w:w="236" w:type="dxa"/>
            <w:tcBorders/>
            <w:shd w:fill="CCEEFF" w:val="clear"/>
            <w:vAlign w:val="center"/>
          </w:tcPr>
          <w:p>
            <w:pPr>
              <w:pStyle w:val="TableContents"/>
              <w:bidi w:val="0"/>
              <w:spacing w:lineRule="auto" w:line="285" w:before="0" w:after="0"/>
              <w:ind w:left="0" w:right="0" w:hanging="0"/>
              <w:jc w:val="left"/>
              <w:rPr/>
            </w:pPr>
            <w:r>
              <w:rPr/>
              <w:t>​</w:t>
            </w:r>
          </w:p>
        </w:tc>
        <w:tc>
          <w:tcPr>
            <w:tcW w:w="88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8"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left"/>
              <w:rPr/>
            </w:pPr>
            <w:r>
              <w:rPr/>
              <w:t>​</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4212"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Net income (loss)</w:t>
            </w:r>
          </w:p>
        </w:tc>
        <w:tc>
          <w:tcPr>
            <w:tcW w:w="346" w:type="dxa"/>
            <w:tcBorders/>
            <w:vAlign w:val="center"/>
          </w:tcPr>
          <w:p>
            <w:pPr>
              <w:pStyle w:val="TableContents"/>
              <w:bidi w:val="0"/>
              <w:spacing w:lineRule="auto" w:line="285" w:before="0" w:after="0"/>
              <w:ind w:left="0" w:right="0" w:hanging="0"/>
              <w:jc w:val="left"/>
              <w:rPr/>
            </w:pPr>
            <w:r>
              <w:rPr/>
              <w:t>​</w:t>
            </w:r>
          </w:p>
        </w:tc>
        <w:tc>
          <w:tcPr>
            <w:tcW w:w="23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79"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(13,008)</w:t>
            </w:r>
          </w:p>
        </w:tc>
        <w:tc>
          <w:tcPr>
            <w:tcW w:w="389" w:type="dxa"/>
            <w:tcBorders/>
            <w:vAlign w:val="center"/>
          </w:tcPr>
          <w:p>
            <w:pPr>
              <w:pStyle w:val="TableContents"/>
              <w:bidi w:val="0"/>
              <w:spacing w:lineRule="auto" w:line="285" w:before="0" w:after="0"/>
              <w:ind w:left="0" w:right="0" w:hanging="0"/>
              <w:jc w:val="left"/>
              <w:rPr/>
            </w:pPr>
            <w:r>
              <w:rPr/>
              <w:t>​</w:t>
            </w:r>
          </w:p>
        </w:tc>
        <w:tc>
          <w:tcPr>
            <w:tcW w:w="23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8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(6,724)</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8"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(18,185)</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(3,478)</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4212"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Foreign currency translation adjustments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6" w:type="dxa"/>
            <w:tcBorders/>
            <w:shd w:fill="CCEEFF" w:val="clear"/>
            <w:vAlign w:val="center"/>
          </w:tcPr>
          <w:p>
            <w:pPr>
              <w:pStyle w:val="TableContents"/>
              <w:bidi w:val="0"/>
              <w:spacing w:lineRule="auto" w:line="285" w:before="0" w:after="0"/>
              <w:ind w:left="0" w:right="0" w:hanging="0"/>
              <w:jc w:val="right"/>
              <w:rPr/>
            </w:pPr>
            <w:r>
              <w:rPr/>
              <w:t> </w:t>
            </w:r>
          </w:p>
        </w:tc>
        <w:tc>
          <w:tcPr>
            <w:tcW w:w="879"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1,044</w:t>
            </w:r>
          </w:p>
        </w:tc>
        <w:tc>
          <w:tcPr>
            <w:tcW w:w="389" w:type="dxa"/>
            <w:tcBorders/>
            <w:shd w:fill="CCEEFF" w:val="clear"/>
            <w:vAlign w:val="center"/>
          </w:tcPr>
          <w:p>
            <w:pPr>
              <w:pStyle w:val="TableContents"/>
              <w:bidi w:val="0"/>
              <w:spacing w:lineRule="auto" w:line="285" w:before="0" w:after="0"/>
              <w:ind w:left="0" w:right="0" w:hanging="0"/>
              <w:jc w:val="left"/>
              <w:rPr/>
            </w:pPr>
            <w:r>
              <w:rPr/>
              <w:t>​</w:t>
            </w:r>
          </w:p>
        </w:tc>
        <w:tc>
          <w:tcPr>
            <w:tcW w:w="236" w:type="dxa"/>
            <w:tcBorders/>
            <w:shd w:fill="CCEEFF" w:val="clear"/>
            <w:vAlign w:val="center"/>
          </w:tcPr>
          <w:p>
            <w:pPr>
              <w:pStyle w:val="TableContents"/>
              <w:bidi w:val="0"/>
              <w:spacing w:lineRule="auto" w:line="285" w:before="0" w:after="0"/>
              <w:ind w:left="0" w:right="0" w:hanging="0"/>
              <w:jc w:val="right"/>
              <w:rPr/>
            </w:pPr>
            <w:r>
              <w:rPr/>
              <w:t> </w:t>
            </w:r>
          </w:p>
        </w:tc>
        <w:tc>
          <w:tcPr>
            <w:tcW w:w="88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16,243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788"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(4,211)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93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22,881</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4212"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Derivative valuation, gross</w:t>
            </w:r>
          </w:p>
        </w:tc>
        <w:tc>
          <w:tcPr>
            <w:tcW w:w="346" w:type="dxa"/>
            <w:tcBorders/>
            <w:vAlign w:val="center"/>
          </w:tcPr>
          <w:p>
            <w:pPr>
              <w:pStyle w:val="TableContents"/>
              <w:bidi w:val="0"/>
              <w:spacing w:lineRule="auto" w:line="285" w:before="0" w:after="0"/>
              <w:ind w:left="0" w:right="0" w:hanging="0"/>
              <w:jc w:val="left"/>
              <w:rPr/>
            </w:pPr>
            <w:r>
              <w:rPr/>
              <w:t>​</w:t>
            </w:r>
          </w:p>
        </w:tc>
        <w:tc>
          <w:tcPr>
            <w:tcW w:w="236" w:type="dxa"/>
            <w:tcBorders/>
            <w:vAlign w:val="center"/>
          </w:tcPr>
          <w:p>
            <w:pPr>
              <w:pStyle w:val="TableContents"/>
              <w:bidi w:val="0"/>
              <w:spacing w:lineRule="auto" w:line="285" w:before="0" w:after="0"/>
              <w:ind w:left="0" w:right="0" w:hanging="0"/>
              <w:jc w:val="right"/>
              <w:rPr/>
            </w:pPr>
            <w:r>
              <w:rPr/>
              <w:t> </w:t>
            </w:r>
          </w:p>
        </w:tc>
        <w:tc>
          <w:tcPr>
            <w:tcW w:w="879"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904</w:t>
            </w:r>
          </w:p>
        </w:tc>
        <w:tc>
          <w:tcPr>
            <w:tcW w:w="389" w:type="dxa"/>
            <w:tcBorders/>
            <w:vAlign w:val="center"/>
          </w:tcPr>
          <w:p>
            <w:pPr>
              <w:pStyle w:val="TableContents"/>
              <w:bidi w:val="0"/>
              <w:spacing w:lineRule="auto" w:line="285" w:before="0" w:after="0"/>
              <w:ind w:left="0" w:right="0" w:hanging="0"/>
              <w:jc w:val="left"/>
              <w:rPr/>
            </w:pPr>
            <w:r>
              <w:rPr/>
              <w:t>​</w:t>
            </w:r>
          </w:p>
        </w:tc>
        <w:tc>
          <w:tcPr>
            <w:tcW w:w="236" w:type="dxa"/>
            <w:tcBorders/>
            <w:vAlign w:val="center"/>
          </w:tcPr>
          <w:p>
            <w:pPr>
              <w:pStyle w:val="TableContents"/>
              <w:bidi w:val="0"/>
              <w:spacing w:lineRule="auto" w:line="285" w:before="0" w:after="0"/>
              <w:ind w:left="0" w:right="0" w:hanging="0"/>
              <w:jc w:val="right"/>
              <w:rPr/>
            </w:pPr>
            <w:r>
              <w:rPr/>
              <w:t> </w:t>
            </w:r>
          </w:p>
        </w:tc>
        <w:tc>
          <w:tcPr>
            <w:tcW w:w="88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2,753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788"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(852)</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93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5,221</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4212"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Other, net of tax</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87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198</w:t>
            </w:r>
          </w:p>
        </w:tc>
        <w:tc>
          <w:tcPr>
            <w:tcW w:w="389" w:type="dxa"/>
            <w:tcBorders/>
            <w:shd w:fill="CCEEFF" w:val="clear"/>
            <w:vAlign w:val="center"/>
          </w:tcPr>
          <w:p>
            <w:pPr>
              <w:pStyle w:val="TableContents"/>
              <w:bidi w:val="0"/>
              <w:spacing w:lineRule="auto" w:line="285"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8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213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78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261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271</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4212"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Total other comprehensive income (loss)</w:t>
            </w:r>
          </w:p>
        </w:tc>
        <w:tc>
          <w:tcPr>
            <w:tcW w:w="346" w:type="dxa"/>
            <w:tcBorders/>
            <w:vAlign w:val="center"/>
          </w:tcPr>
          <w:p>
            <w:pPr>
              <w:pStyle w:val="TableContents"/>
              <w:bidi w:val="0"/>
              <w:spacing w:lineRule="auto" w:line="285"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87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2,146</w:t>
            </w:r>
          </w:p>
        </w:tc>
        <w:tc>
          <w:tcPr>
            <w:tcW w:w="389" w:type="dxa"/>
            <w:tcBorders/>
            <w:vAlign w:val="center"/>
          </w:tcPr>
          <w:p>
            <w:pPr>
              <w:pStyle w:val="TableContents"/>
              <w:bidi w:val="0"/>
              <w:spacing w:lineRule="auto" w:line="285"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8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19,209</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78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(4,802)</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28,373</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4212"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Total comprehensive income (loss)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87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(10,862)</w:t>
            </w:r>
          </w:p>
        </w:tc>
        <w:tc>
          <w:tcPr>
            <w:tcW w:w="389" w:type="dxa"/>
            <w:tcBorders/>
            <w:shd w:fill="CCEEFF" w:val="clear"/>
            <w:vAlign w:val="center"/>
          </w:tcPr>
          <w:p>
            <w:pPr>
              <w:pStyle w:val="TableContents"/>
              <w:bidi w:val="0"/>
              <w:spacing w:lineRule="auto" w:line="285"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8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12,485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78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(22,987)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24,895</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4212"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6" w:type="dxa"/>
            <w:tcBorders/>
            <w:vAlign w:val="center"/>
          </w:tcPr>
          <w:p>
            <w:pPr>
              <w:pStyle w:val="TableContents"/>
              <w:bidi w:val="0"/>
              <w:spacing w:lineRule="auto" w:line="285" w:before="0" w:after="0"/>
              <w:ind w:left="0" w:right="0" w:hanging="0"/>
              <w:jc w:val="left"/>
              <w:rPr/>
            </w:pPr>
            <w:r>
              <w:rPr/>
              <w:t>​</w:t>
            </w:r>
          </w:p>
        </w:tc>
        <w:tc>
          <w:tcPr>
            <w:tcW w:w="879" w:type="dxa"/>
            <w:tcBorders/>
            <w:vAlign w:val="center"/>
          </w:tcPr>
          <w:p>
            <w:pPr>
              <w:pStyle w:val="TableContents"/>
              <w:bidi w:val="0"/>
              <w:spacing w:lineRule="auto" w:line="285" w:before="0" w:after="0"/>
              <w:ind w:left="0" w:right="0" w:hanging="0"/>
              <w:jc w:val="left"/>
              <w:rPr/>
            </w:pPr>
            <w:r>
              <w:rPr/>
              <w:t>​</w:t>
            </w:r>
          </w:p>
        </w:tc>
        <w:tc>
          <w:tcPr>
            <w:tcW w:w="389" w:type="dxa"/>
            <w:tcBorders/>
            <w:vAlign w:val="center"/>
          </w:tcPr>
          <w:p>
            <w:pPr>
              <w:pStyle w:val="TableContents"/>
              <w:bidi w:val="0"/>
              <w:spacing w:lineRule="auto" w:line="285" w:before="0" w:after="0"/>
              <w:ind w:left="0" w:right="0" w:hanging="0"/>
              <w:jc w:val="left"/>
              <w:rPr/>
            </w:pPr>
            <w:r>
              <w:rPr/>
              <w:t>​</w:t>
            </w:r>
          </w:p>
        </w:tc>
        <w:tc>
          <w:tcPr>
            <w:tcW w:w="236" w:type="dxa"/>
            <w:tcBorders/>
            <w:vAlign w:val="center"/>
          </w:tcPr>
          <w:p>
            <w:pPr>
              <w:pStyle w:val="TableContents"/>
              <w:bidi w:val="0"/>
              <w:spacing w:lineRule="auto" w:line="285" w:before="0" w:after="0"/>
              <w:ind w:left="0" w:right="0" w:hanging="0"/>
              <w:jc w:val="left"/>
              <w:rPr/>
            </w:pPr>
            <w:r>
              <w:rPr/>
              <w:t>​</w:t>
            </w:r>
          </w:p>
        </w:tc>
        <w:tc>
          <w:tcPr>
            <w:tcW w:w="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8"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left"/>
              <w:rPr/>
            </w:pPr>
            <w:r>
              <w:rPr/>
              <w:t>​</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4212"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Less: Comprehensive income attributable to noncontrolling interest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87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(2,190)</w:t>
            </w:r>
          </w:p>
        </w:tc>
        <w:tc>
          <w:tcPr>
            <w:tcW w:w="389" w:type="dxa"/>
            <w:tcBorders/>
            <w:shd w:fill="CCEEFF" w:val="clear"/>
            <w:vAlign w:val="center"/>
          </w:tcPr>
          <w:p>
            <w:pPr>
              <w:pStyle w:val="TableContents"/>
              <w:bidi w:val="0"/>
              <w:spacing w:lineRule="auto" w:line="285"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8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(1,648)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78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(4,393)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(3,526)</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4212"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6" w:type="dxa"/>
            <w:tcBorders/>
            <w:vAlign w:val="center"/>
          </w:tcPr>
          <w:p>
            <w:pPr>
              <w:pStyle w:val="TableContents"/>
              <w:bidi w:val="0"/>
              <w:spacing w:lineRule="auto" w:line="285" w:before="0" w:after="0"/>
              <w:ind w:left="0" w:right="0" w:hanging="0"/>
              <w:jc w:val="left"/>
              <w:rPr/>
            </w:pPr>
            <w:r>
              <w:rPr/>
              <w:t>​</w:t>
            </w:r>
          </w:p>
        </w:tc>
        <w:tc>
          <w:tcPr>
            <w:tcW w:w="879" w:type="dxa"/>
            <w:tcBorders/>
            <w:vAlign w:val="center"/>
          </w:tcPr>
          <w:p>
            <w:pPr>
              <w:pStyle w:val="TableContents"/>
              <w:bidi w:val="0"/>
              <w:spacing w:lineRule="auto" w:line="285" w:before="0" w:after="0"/>
              <w:ind w:left="0" w:right="0" w:hanging="0"/>
              <w:jc w:val="left"/>
              <w:rPr/>
            </w:pPr>
            <w:r>
              <w:rPr/>
              <w:t>​</w:t>
            </w:r>
          </w:p>
        </w:tc>
        <w:tc>
          <w:tcPr>
            <w:tcW w:w="389" w:type="dxa"/>
            <w:tcBorders/>
            <w:vAlign w:val="center"/>
          </w:tcPr>
          <w:p>
            <w:pPr>
              <w:pStyle w:val="TableContents"/>
              <w:bidi w:val="0"/>
              <w:spacing w:lineRule="auto" w:line="285" w:before="0" w:after="0"/>
              <w:ind w:left="0" w:right="0" w:hanging="0"/>
              <w:jc w:val="left"/>
              <w:rPr/>
            </w:pPr>
            <w:r>
              <w:rPr/>
              <w:t>​</w:t>
            </w:r>
          </w:p>
        </w:tc>
        <w:tc>
          <w:tcPr>
            <w:tcW w:w="236" w:type="dxa"/>
            <w:tcBorders/>
            <w:vAlign w:val="center"/>
          </w:tcPr>
          <w:p>
            <w:pPr>
              <w:pStyle w:val="TableContents"/>
              <w:bidi w:val="0"/>
              <w:spacing w:lineRule="auto" w:line="285" w:before="0" w:after="0"/>
              <w:ind w:left="0" w:right="0" w:hanging="0"/>
              <w:jc w:val="left"/>
              <w:rPr/>
            </w:pPr>
            <w:r>
              <w:rPr/>
              <w:t>​</w:t>
            </w:r>
          </w:p>
        </w:tc>
        <w:tc>
          <w:tcPr>
            <w:tcW w:w="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8"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left"/>
              <w:rPr/>
            </w:pPr>
            <w:r>
              <w:rPr/>
              <w:t>​</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4212"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Comprehensive income (loss) attributable to TTEC stockholders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7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(13,052)</w:t>
            </w:r>
          </w:p>
        </w:tc>
        <w:tc>
          <w:tcPr>
            <w:tcW w:w="389" w:type="dxa"/>
            <w:tcBorders/>
            <w:shd w:fill="CCEEFF" w:val="clear"/>
            <w:vAlign w:val="center"/>
          </w:tcPr>
          <w:p>
            <w:pPr>
              <w:pStyle w:val="TableContents"/>
              <w:bidi w:val="0"/>
              <w:spacing w:lineRule="auto" w:line="285"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10,837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(27,380)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21,369</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4212"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6" w:type="dxa"/>
            <w:tcBorders/>
            <w:vAlign w:val="center"/>
          </w:tcPr>
          <w:p>
            <w:pPr>
              <w:pStyle w:val="TableContents"/>
              <w:bidi w:val="0"/>
              <w:spacing w:lineRule="auto" w:line="285" w:before="0" w:after="0"/>
              <w:ind w:left="0" w:right="0" w:hanging="0"/>
              <w:jc w:val="left"/>
              <w:rPr/>
            </w:pPr>
            <w:r>
              <w:rPr/>
              <w:t>​</w:t>
            </w:r>
          </w:p>
        </w:tc>
        <w:tc>
          <w:tcPr>
            <w:tcW w:w="879" w:type="dxa"/>
            <w:tcBorders/>
            <w:vAlign w:val="center"/>
          </w:tcPr>
          <w:p>
            <w:pPr>
              <w:pStyle w:val="TableContents"/>
              <w:bidi w:val="0"/>
              <w:spacing w:lineRule="auto" w:line="285" w:before="0" w:after="0"/>
              <w:ind w:left="0" w:right="0" w:hanging="0"/>
              <w:jc w:val="left"/>
              <w:rPr/>
            </w:pPr>
            <w:r>
              <w:rPr/>
              <w:t>​</w:t>
            </w:r>
          </w:p>
        </w:tc>
        <w:tc>
          <w:tcPr>
            <w:tcW w:w="389" w:type="dxa"/>
            <w:tcBorders/>
            <w:vAlign w:val="center"/>
          </w:tcPr>
          <w:p>
            <w:pPr>
              <w:pStyle w:val="TableContents"/>
              <w:bidi w:val="0"/>
              <w:spacing w:lineRule="auto" w:line="285" w:before="0" w:after="0"/>
              <w:ind w:left="0" w:right="0" w:hanging="0"/>
              <w:jc w:val="left"/>
              <w:rPr/>
            </w:pPr>
            <w:r>
              <w:rPr/>
              <w:t>​</w:t>
            </w:r>
          </w:p>
        </w:tc>
        <w:tc>
          <w:tcPr>
            <w:tcW w:w="236" w:type="dxa"/>
            <w:tcBorders/>
            <w:vAlign w:val="center"/>
          </w:tcPr>
          <w:p>
            <w:pPr>
              <w:pStyle w:val="TableContents"/>
              <w:bidi w:val="0"/>
              <w:spacing w:lineRule="auto" w:line="285" w:before="0" w:after="0"/>
              <w:ind w:left="0" w:right="0" w:hanging="0"/>
              <w:jc w:val="left"/>
              <w:rPr/>
            </w:pPr>
            <w:r>
              <w:rPr/>
              <w:t>​</w:t>
            </w:r>
          </w:p>
        </w:tc>
        <w:tc>
          <w:tcPr>
            <w:tcW w:w="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8"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left"/>
              <w:rPr/>
            </w:pPr>
            <w:r>
              <w:rPr/>
              <w:t>​</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4212"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Weighted average shares outstanding</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6" w:type="dxa"/>
            <w:tcBorders/>
            <w:shd w:fill="CCEEFF" w:val="clear"/>
            <w:vAlign w:val="center"/>
          </w:tcPr>
          <w:p>
            <w:pPr>
              <w:pStyle w:val="TableContents"/>
              <w:bidi w:val="0"/>
              <w:spacing w:lineRule="auto" w:line="285" w:before="0" w:after="0"/>
              <w:ind w:left="0" w:right="0" w:hanging="0"/>
              <w:jc w:val="left"/>
              <w:rPr/>
            </w:pPr>
            <w:r>
              <w:rPr/>
              <w:t>​</w:t>
            </w:r>
          </w:p>
        </w:tc>
        <w:tc>
          <w:tcPr>
            <w:tcW w:w="879" w:type="dxa"/>
            <w:tcBorders/>
            <w:shd w:fill="CCEEFF" w:val="clear"/>
            <w:vAlign w:val="center"/>
          </w:tcPr>
          <w:p>
            <w:pPr>
              <w:pStyle w:val="TableContents"/>
              <w:bidi w:val="0"/>
              <w:spacing w:lineRule="auto" w:line="285" w:before="0" w:after="0"/>
              <w:ind w:left="0" w:right="0" w:hanging="0"/>
              <w:jc w:val="left"/>
              <w:rPr/>
            </w:pPr>
            <w:r>
              <w:rPr/>
              <w:t>​</w:t>
            </w:r>
          </w:p>
        </w:tc>
        <w:tc>
          <w:tcPr>
            <w:tcW w:w="389" w:type="dxa"/>
            <w:tcBorders/>
            <w:shd w:fill="CCEEFF" w:val="clear"/>
            <w:vAlign w:val="center"/>
          </w:tcPr>
          <w:p>
            <w:pPr>
              <w:pStyle w:val="TableContents"/>
              <w:bidi w:val="0"/>
              <w:spacing w:lineRule="auto" w:line="285" w:before="0" w:after="0"/>
              <w:ind w:left="0" w:right="0" w:hanging="0"/>
              <w:jc w:val="left"/>
              <w:rPr/>
            </w:pPr>
            <w:r>
              <w:rPr/>
              <w:t>​</w:t>
            </w:r>
          </w:p>
        </w:tc>
        <w:tc>
          <w:tcPr>
            <w:tcW w:w="236" w:type="dxa"/>
            <w:tcBorders/>
            <w:shd w:fill="CCEEFF" w:val="clear"/>
            <w:vAlign w:val="center"/>
          </w:tcPr>
          <w:p>
            <w:pPr>
              <w:pStyle w:val="TableContents"/>
              <w:bidi w:val="0"/>
              <w:spacing w:lineRule="auto" w:line="285" w:before="0" w:after="0"/>
              <w:ind w:left="0" w:right="0" w:hanging="0"/>
              <w:jc w:val="left"/>
              <w:rPr/>
            </w:pPr>
            <w:r>
              <w:rPr/>
              <w:t>​</w:t>
            </w:r>
          </w:p>
        </w:tc>
        <w:tc>
          <w:tcPr>
            <w:tcW w:w="88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8"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left"/>
              <w:rPr/>
            </w:pPr>
            <w:r>
              <w:rPr/>
              <w:t>​</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4212"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Basic</w:t>
            </w:r>
          </w:p>
        </w:tc>
        <w:tc>
          <w:tcPr>
            <w:tcW w:w="346" w:type="dxa"/>
            <w:tcBorders/>
            <w:vAlign w:val="center"/>
          </w:tcPr>
          <w:p>
            <w:pPr>
              <w:pStyle w:val="TableContents"/>
              <w:bidi w:val="0"/>
              <w:spacing w:lineRule="auto" w:line="285" w:before="0" w:after="0"/>
              <w:ind w:left="0" w:right="0" w:hanging="0"/>
              <w:jc w:val="left"/>
              <w:rPr/>
            </w:pPr>
            <w:r>
              <w:rPr/>
              <w:t>​</w:t>
            </w:r>
          </w:p>
        </w:tc>
        <w:tc>
          <w:tcPr>
            <w:tcW w:w="236" w:type="dxa"/>
            <w:tcBorders/>
            <w:vAlign w:val="center"/>
          </w:tcPr>
          <w:p>
            <w:pPr>
              <w:pStyle w:val="TableContents"/>
              <w:bidi w:val="0"/>
              <w:spacing w:lineRule="auto" w:line="285" w:before="0" w:after="0"/>
              <w:ind w:left="0" w:right="0" w:hanging="0"/>
              <w:jc w:val="right"/>
              <w:rPr/>
            </w:pPr>
            <w:r>
              <w:rPr/>
              <w:t> </w:t>
            </w:r>
          </w:p>
        </w:tc>
        <w:tc>
          <w:tcPr>
            <w:tcW w:w="879"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48,874</w:t>
            </w:r>
          </w:p>
        </w:tc>
        <w:tc>
          <w:tcPr>
            <w:tcW w:w="389" w:type="dxa"/>
            <w:tcBorders/>
            <w:vAlign w:val="center"/>
          </w:tcPr>
          <w:p>
            <w:pPr>
              <w:pStyle w:val="TableContents"/>
              <w:bidi w:val="0"/>
              <w:spacing w:lineRule="auto" w:line="285" w:before="0" w:after="0"/>
              <w:ind w:left="0" w:right="0" w:hanging="0"/>
              <w:jc w:val="left"/>
              <w:rPr/>
            </w:pPr>
            <w:r>
              <w:rPr/>
              <w:t>​</w:t>
            </w:r>
          </w:p>
        </w:tc>
        <w:tc>
          <w:tcPr>
            <w:tcW w:w="236" w:type="dxa"/>
            <w:tcBorders/>
            <w:vAlign w:val="center"/>
          </w:tcPr>
          <w:p>
            <w:pPr>
              <w:pStyle w:val="TableContents"/>
              <w:bidi w:val="0"/>
              <w:spacing w:lineRule="auto" w:line="285" w:before="0" w:after="0"/>
              <w:ind w:left="0" w:right="0" w:hanging="0"/>
              <w:jc w:val="right"/>
              <w:rPr/>
            </w:pPr>
            <w:r>
              <w:rPr/>
              <w:t> </w:t>
            </w:r>
          </w:p>
        </w:tc>
        <w:tc>
          <w:tcPr>
            <w:tcW w:w="88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48,064</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788"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48,727</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93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47,918</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4212"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Diluted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6" w:type="dxa"/>
            <w:tcBorders/>
            <w:shd w:fill="CCEEFF" w:val="clear"/>
            <w:vAlign w:val="center"/>
          </w:tcPr>
          <w:p>
            <w:pPr>
              <w:pStyle w:val="TableContents"/>
              <w:bidi w:val="0"/>
              <w:spacing w:lineRule="auto" w:line="285" w:before="0" w:after="0"/>
              <w:ind w:left="0" w:right="0" w:hanging="0"/>
              <w:jc w:val="left"/>
              <w:rPr/>
            </w:pPr>
            <w:r>
              <w:rPr/>
              <w:t>​</w:t>
            </w:r>
          </w:p>
        </w:tc>
        <w:tc>
          <w:tcPr>
            <w:tcW w:w="879"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48,874</w:t>
            </w:r>
          </w:p>
        </w:tc>
        <w:tc>
          <w:tcPr>
            <w:tcW w:w="389" w:type="dxa"/>
            <w:tcBorders/>
            <w:shd w:fill="CCEEFF" w:val="clear"/>
            <w:vAlign w:val="center"/>
          </w:tcPr>
          <w:p>
            <w:pPr>
              <w:pStyle w:val="TableContents"/>
              <w:bidi w:val="0"/>
              <w:spacing w:lineRule="auto" w:line="285" w:before="0" w:after="0"/>
              <w:ind w:left="0" w:right="0" w:hanging="0"/>
              <w:jc w:val="left"/>
              <w:rPr/>
            </w:pPr>
            <w:r>
              <w:rPr/>
              <w:t>​</w:t>
            </w:r>
          </w:p>
        </w:tc>
        <w:tc>
          <w:tcPr>
            <w:tcW w:w="236" w:type="dxa"/>
            <w:tcBorders/>
            <w:shd w:fill="CCEEFF" w:val="clear"/>
            <w:vAlign w:val="center"/>
          </w:tcPr>
          <w:p>
            <w:pPr>
              <w:pStyle w:val="TableContents"/>
              <w:bidi w:val="0"/>
              <w:spacing w:lineRule="auto" w:line="285" w:before="0" w:after="0"/>
              <w:ind w:left="0" w:right="0" w:hanging="0"/>
              <w:jc w:val="right"/>
              <w:rPr/>
            </w:pPr>
            <w:r>
              <w:rPr/>
              <w:t> </w:t>
            </w:r>
          </w:p>
        </w:tc>
        <w:tc>
          <w:tcPr>
            <w:tcW w:w="88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48,064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788"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48,727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93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47,918</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4212"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6" w:type="dxa"/>
            <w:tcBorders/>
            <w:vAlign w:val="center"/>
          </w:tcPr>
          <w:p>
            <w:pPr>
              <w:pStyle w:val="TableContents"/>
              <w:bidi w:val="0"/>
              <w:spacing w:lineRule="auto" w:line="285" w:before="0" w:after="0"/>
              <w:ind w:left="0" w:right="0" w:hanging="0"/>
              <w:jc w:val="left"/>
              <w:rPr/>
            </w:pPr>
            <w:r>
              <w:rPr/>
              <w:t>​</w:t>
            </w:r>
          </w:p>
        </w:tc>
        <w:tc>
          <w:tcPr>
            <w:tcW w:w="879" w:type="dxa"/>
            <w:tcBorders/>
            <w:vAlign w:val="center"/>
          </w:tcPr>
          <w:p>
            <w:pPr>
              <w:pStyle w:val="TableContents"/>
              <w:bidi w:val="0"/>
              <w:spacing w:lineRule="auto" w:line="285" w:before="0" w:after="0"/>
              <w:ind w:left="0" w:right="0" w:hanging="0"/>
              <w:jc w:val="left"/>
              <w:rPr/>
            </w:pPr>
            <w:r>
              <w:rPr/>
              <w:t>​</w:t>
            </w:r>
          </w:p>
        </w:tc>
        <w:tc>
          <w:tcPr>
            <w:tcW w:w="389" w:type="dxa"/>
            <w:tcBorders/>
            <w:vAlign w:val="center"/>
          </w:tcPr>
          <w:p>
            <w:pPr>
              <w:pStyle w:val="TableContents"/>
              <w:bidi w:val="0"/>
              <w:spacing w:lineRule="auto" w:line="285" w:before="0" w:after="0"/>
              <w:ind w:left="0" w:right="0" w:hanging="0"/>
              <w:jc w:val="left"/>
              <w:rPr/>
            </w:pPr>
            <w:r>
              <w:rPr/>
              <w:t>​</w:t>
            </w:r>
          </w:p>
        </w:tc>
        <w:tc>
          <w:tcPr>
            <w:tcW w:w="236" w:type="dxa"/>
            <w:tcBorders/>
            <w:vAlign w:val="center"/>
          </w:tcPr>
          <w:p>
            <w:pPr>
              <w:pStyle w:val="TableContents"/>
              <w:bidi w:val="0"/>
              <w:spacing w:lineRule="auto" w:line="285" w:before="0" w:after="0"/>
              <w:ind w:left="0" w:right="0" w:hanging="0"/>
              <w:jc w:val="left"/>
              <w:rPr/>
            </w:pPr>
            <w:r>
              <w:rPr/>
              <w:t>​</w:t>
            </w:r>
          </w:p>
        </w:tc>
        <w:tc>
          <w:tcPr>
            <w:tcW w:w="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8"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left"/>
              <w:rPr/>
            </w:pPr>
            <w:r>
              <w:rPr/>
              <w:t>​</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4212"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Net income (loss) per share attributable to TTEC stockholders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6" w:type="dxa"/>
            <w:tcBorders/>
            <w:shd w:fill="CCEEFF" w:val="clear"/>
            <w:vAlign w:val="center"/>
          </w:tcPr>
          <w:p>
            <w:pPr>
              <w:pStyle w:val="TableContents"/>
              <w:bidi w:val="0"/>
              <w:spacing w:lineRule="auto" w:line="285" w:before="0" w:after="0"/>
              <w:ind w:left="0" w:right="0" w:hanging="0"/>
              <w:jc w:val="left"/>
              <w:rPr/>
            </w:pPr>
            <w:r>
              <w:rPr/>
              <w:t>​</w:t>
            </w:r>
          </w:p>
        </w:tc>
        <w:tc>
          <w:tcPr>
            <w:tcW w:w="879" w:type="dxa"/>
            <w:tcBorders/>
            <w:shd w:fill="CCEEFF" w:val="clear"/>
            <w:vAlign w:val="center"/>
          </w:tcPr>
          <w:p>
            <w:pPr>
              <w:pStyle w:val="TableContents"/>
              <w:bidi w:val="0"/>
              <w:spacing w:lineRule="auto" w:line="285" w:before="0" w:after="0"/>
              <w:ind w:left="0" w:right="0" w:hanging="0"/>
              <w:jc w:val="left"/>
              <w:rPr/>
            </w:pPr>
            <w:r>
              <w:rPr/>
              <w:t>​</w:t>
            </w:r>
          </w:p>
        </w:tc>
        <w:tc>
          <w:tcPr>
            <w:tcW w:w="389" w:type="dxa"/>
            <w:tcBorders/>
            <w:shd w:fill="CCEEFF" w:val="clear"/>
            <w:vAlign w:val="center"/>
          </w:tcPr>
          <w:p>
            <w:pPr>
              <w:pStyle w:val="TableContents"/>
              <w:bidi w:val="0"/>
              <w:spacing w:lineRule="auto" w:line="285" w:before="0" w:after="0"/>
              <w:ind w:left="0" w:right="0" w:hanging="0"/>
              <w:jc w:val="left"/>
              <w:rPr/>
            </w:pPr>
            <w:r>
              <w:rPr/>
              <w:t>​</w:t>
            </w:r>
          </w:p>
        </w:tc>
        <w:tc>
          <w:tcPr>
            <w:tcW w:w="236" w:type="dxa"/>
            <w:tcBorders/>
            <w:shd w:fill="CCEEFF" w:val="clear"/>
            <w:vAlign w:val="center"/>
          </w:tcPr>
          <w:p>
            <w:pPr>
              <w:pStyle w:val="TableContents"/>
              <w:bidi w:val="0"/>
              <w:spacing w:lineRule="auto" w:line="285" w:before="0" w:after="0"/>
              <w:ind w:left="0" w:right="0" w:hanging="0"/>
              <w:jc w:val="left"/>
              <w:rPr/>
            </w:pPr>
            <w:r>
              <w:rPr/>
              <w:t>​</w:t>
            </w:r>
          </w:p>
        </w:tc>
        <w:tc>
          <w:tcPr>
            <w:tcW w:w="88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8"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left"/>
              <w:rPr/>
            </w:pPr>
            <w:r>
              <w:rPr/>
              <w:t>​</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4212"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Basic</w:t>
            </w:r>
          </w:p>
        </w:tc>
        <w:tc>
          <w:tcPr>
            <w:tcW w:w="346" w:type="dxa"/>
            <w:tcBorders/>
            <w:vAlign w:val="center"/>
          </w:tcPr>
          <w:p>
            <w:pPr>
              <w:pStyle w:val="TableContents"/>
              <w:bidi w:val="0"/>
              <w:spacing w:lineRule="auto" w:line="285" w:before="0" w:after="0"/>
              <w:ind w:left="0" w:right="0" w:hanging="0"/>
              <w:jc w:val="left"/>
              <w:rPr/>
            </w:pPr>
            <w:r>
              <w:rPr/>
              <w:t>​</w:t>
            </w:r>
          </w:p>
        </w:tc>
        <w:tc>
          <w:tcPr>
            <w:tcW w:w="23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79"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(0.31)</w:t>
            </w:r>
          </w:p>
        </w:tc>
        <w:tc>
          <w:tcPr>
            <w:tcW w:w="389" w:type="dxa"/>
            <w:tcBorders/>
            <w:vAlign w:val="center"/>
          </w:tcPr>
          <w:p>
            <w:pPr>
              <w:pStyle w:val="TableContents"/>
              <w:bidi w:val="0"/>
              <w:spacing w:lineRule="auto" w:line="285" w:before="0" w:after="0"/>
              <w:ind w:left="0" w:right="0" w:hanging="0"/>
              <w:jc w:val="left"/>
              <w:rPr/>
            </w:pPr>
            <w:r>
              <w:rPr/>
              <w:t>​</w:t>
            </w:r>
          </w:p>
        </w:tc>
        <w:tc>
          <w:tcPr>
            <w:tcW w:w="23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8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(0.17)</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8"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(0.47)</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(0.14)</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4212"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Diluted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79"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(0.31)</w:t>
            </w:r>
          </w:p>
        </w:tc>
        <w:tc>
          <w:tcPr>
            <w:tcW w:w="389" w:type="dxa"/>
            <w:tcBorders/>
            <w:shd w:fill="CCEEFF" w:val="clear"/>
            <w:vAlign w:val="center"/>
          </w:tcPr>
          <w:p>
            <w:pPr>
              <w:pStyle w:val="TableContents"/>
              <w:bidi w:val="0"/>
              <w:spacing w:lineRule="auto" w:line="285" w:before="0" w:after="0"/>
              <w:ind w:left="0" w:right="0" w:hanging="0"/>
              <w:jc w:val="left"/>
              <w:rPr/>
            </w:pPr>
            <w:r>
              <w:rPr/>
              <w:t>​</w:t>
            </w:r>
          </w:p>
        </w:tc>
        <w:tc>
          <w:tcPr>
            <w:tcW w:w="23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8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(0.17)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8"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(0.47)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(0.14)</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The accompanying notes are an integral part of these consolidated financial statements.</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2</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b/>
          <w:sz w:val="16"/>
        </w:rPr>
      </w:pPr>
      <w:bookmarkStart w:id="288" w:name="_a963d905_5e61_4ac9_b355_57bba1597164"/>
      <w:bookmarkEnd w:id="288"/>
      <w:r>
        <w:rPr>
          <w:rFonts w:ascii="Arial;Helvetica;sans-serif" w:hAnsi="Arial;Helvetica;sans-serif"/>
          <w:b/>
          <w:sz w:val="16"/>
        </w:rPr>
        <w:t>TTEC HOLDINGS, INC. AND SUBSIDIARIES</w:t>
      </w:r>
    </w:p>
    <w:p>
      <w:pPr>
        <w:pStyle w:val="TextBody"/>
        <w:bidi w:val="0"/>
        <w:spacing w:lineRule="auto" w:line="285" w:before="0" w:after="0"/>
        <w:ind w:left="0" w:right="0" w:hanging="0"/>
        <w:jc w:val="center"/>
        <w:rPr>
          <w:rFonts w:ascii="Arial;Helvetica;sans-serif" w:hAnsi="Arial;Helvetica;sans-serif"/>
          <w:b/>
          <w:sz w:val="16"/>
        </w:rPr>
      </w:pPr>
      <w:bookmarkStart w:id="289" w:name="ConsolidatedStatementofStockhold_111529"/>
      <w:bookmarkEnd w:id="289"/>
      <w:r>
        <w:rPr>
          <w:rFonts w:ascii="Arial;Helvetica;sans-serif" w:hAnsi="Arial;Helvetica;sans-serif"/>
          <w:b/>
          <w:sz w:val="16"/>
        </w:rPr>
        <w:t>Consolidated Statements of Stockholders’ Equity</w:t>
      </w:r>
    </w:p>
    <w:p>
      <w:pPr>
        <w:pStyle w:val="TextBody"/>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(Amounts in thousands)</w:t>
      </w:r>
    </w:p>
    <w:p>
      <w:pPr>
        <w:pStyle w:val="TextBody"/>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(Unaudited)</w:t>
      </w:r>
    </w:p>
    <w:p>
      <w:pPr>
        <w:pStyle w:val="TextBody"/>
        <w:bidi w:val="0"/>
        <w:spacing w:lineRule="auto" w:line="285" w:before="0" w:after="0"/>
        <w:ind w:left="0" w:right="0" w:hanging="0"/>
        <w:jc w:val="left"/>
        <w:rPr>
          <w:rFonts w:ascii="Arial;Helvetica;sans-serif" w:hAnsi="Arial;Helvetica;sans-serif"/>
          <w:b/>
          <w:sz w:val="14"/>
        </w:rPr>
      </w:pPr>
      <w:r>
        <w:rPr>
          <w:rFonts w:ascii="Arial;Helvetica;sans-serif" w:hAnsi="Arial;Helvetica;sans-serif"/>
          <w:b/>
          <w:sz w:val="14"/>
        </w:rPr>
        <w:t>Three months ended June 30, 2025 and 2026</w:t>
      </w:r>
    </w:p>
    <w:p>
      <w:pPr>
        <w:pStyle w:val="TextBody"/>
        <w:bidi w:val="0"/>
        <w:spacing w:lineRule="auto" w:line="285" w:before="0" w:after="0"/>
        <w:ind w:left="0" w:right="0" w:hanging="0"/>
        <w:jc w:val="left"/>
        <w:rPr/>
      </w:pPr>
      <w:r>
        <w:rPr/>
        <w:t>​</w:t>
      </w:r>
    </w:p>
    <w:p>
      <w:pPr>
        <w:pStyle w:val="Normal"/>
        <w:bidi w:val="0"/>
        <w:spacing w:before="0" w:after="0"/>
        <w:jc w:val="left"/>
        <w:rPr>
          <w:sz w:val="4"/>
          <w:szCs w:val="4"/>
        </w:rPr>
      </w:pPr>
      <w:r>
        <w:rPr>
          <w:sz w:val="4"/>
          <w:szCs w:val="4"/>
        </w:rPr>
      </w:r>
      <w:bookmarkStart w:id="290" w:name="Tc_3UwNRyfXgUyApGUGKRFjvA_14_22"/>
      <w:bookmarkStart w:id="291" w:name="Tc_Tqheb5mMsEaGCmGliwHXPA_14_19"/>
      <w:bookmarkStart w:id="292" w:name="Tc_8s6IFyy4RE-ZfKojrdgqmw_14_16"/>
      <w:bookmarkStart w:id="293" w:name="Tc_YZ00ycLgJka43_NJRxFuaw_14_13"/>
      <w:bookmarkStart w:id="294" w:name="Tc_rKy0ZYHyEkmGirphItrt4g_14_10"/>
      <w:bookmarkStart w:id="295" w:name="Tc_H8yqaOYaTEK5rpduvPDZSQ_14_7"/>
      <w:bookmarkStart w:id="296" w:name="Tc_PAgiPj9edUys4OlRHNi6iQ_14_4"/>
      <w:bookmarkStart w:id="297" w:name="Tc_OrFyBTqzO0SsLx6Tp8VIig_14_0"/>
      <w:bookmarkStart w:id="298" w:name="Tc_1kaIbB5du0SFiZM97n3Hpg_13_20"/>
      <w:bookmarkStart w:id="299" w:name="Tc_dPPlyZ3fN0-KO8N12N6FOQ_13_17"/>
      <w:bookmarkStart w:id="300" w:name="Tc_FIe40F6rqUm10LzA509w0A_13_11"/>
      <w:bookmarkStart w:id="301" w:name="Tc_idwhkGYP2U2ByHqsZpdZLw_13_8"/>
      <w:bookmarkStart w:id="302" w:name="Tc_WLqeiw0JbEWx6weDj_jJSw_13_5"/>
      <w:bookmarkStart w:id="303" w:name="Tc_T1t7WkDs-EaHy6oPTR1CPA_13_2"/>
      <w:bookmarkStart w:id="304" w:name="Tc_CX9Fmq-hwkOcbr-cDbmm2A_13_0"/>
      <w:bookmarkStart w:id="305" w:name="Tc_ArcHV9-IyEKf9d1LSNr7QA_12_20"/>
      <w:bookmarkStart w:id="306" w:name="Tc_oxXqAPP86Uy1YrrYv5eStQ_12_17"/>
      <w:bookmarkStart w:id="307" w:name="Tc_A25e6e80tUGbRR72vgxUHw_12_14"/>
      <w:bookmarkStart w:id="308" w:name="Tc_NAqQ-a25xUKD6zawX-bmfA_12_8"/>
      <w:bookmarkStart w:id="309" w:name="Tc_HTdq4FNL00eFYK388mBxag_12_5"/>
      <w:bookmarkStart w:id="310" w:name="Tc_D2-ddxrzZEW3i7tT0RVL5g_12_2"/>
      <w:bookmarkStart w:id="311" w:name="Tc_rGmAGFxJZkalCmFIGHbErw_12_0"/>
      <w:bookmarkStart w:id="312" w:name="Tc_oPfaTT35Y0Sj4fB4Hf7WGQ_11_20"/>
      <w:bookmarkStart w:id="313" w:name="Tc_0rSojF9D2UGb2YhmIkij8w_11_17"/>
      <w:bookmarkStart w:id="314" w:name="Tc_9lfGOce0IE29rF2lk_7oJg_11_14"/>
      <w:bookmarkStart w:id="315" w:name="Tc_apQfH_h-k0uBCUmVpxxVig_11_8"/>
      <w:bookmarkStart w:id="316" w:name="Tc_KncZapogEEmkrUCX2yERFg_11_0"/>
      <w:bookmarkStart w:id="317" w:name="Tc_4aaYgqXkm0O5k7RNQ5OQvA_10_20"/>
      <w:bookmarkStart w:id="318" w:name="Tc_vJ0TULVJjkyUrqjh7x0X9w_10_17"/>
      <w:bookmarkStart w:id="319" w:name="Tc_LeGVkZhb4Uynx-0DTHEVXg_10_11"/>
      <w:bookmarkStart w:id="320" w:name="Tc_IHLao5Yz8kmRoa_FJ9QA9Q_10_8"/>
      <w:bookmarkStart w:id="321" w:name="Tc_VHTN_5UFF0qq3nozAZE1PQ_10_5"/>
      <w:bookmarkStart w:id="322" w:name="Tc_XKHofO_NAU6ZWGjjwJLkMA_10_2"/>
      <w:bookmarkStart w:id="323" w:name="Tc_CDpHOn1fnUqGtIMrALU52Q_10_0"/>
      <w:bookmarkStart w:id="324" w:name="Tc_hJTfQNWyukWVhyXROHfejg_9_17"/>
      <w:bookmarkStart w:id="325" w:name="Tc_QOeY3QK6p06JyF8cPBNkNA_9_11"/>
      <w:bookmarkStart w:id="326" w:name="Tc_OrLuJ0Q8mk68DhOGog_POA_9_8"/>
      <w:bookmarkStart w:id="327" w:name="Tc_v3JEc_idH0CcQoSIlj0gRw_9_5"/>
      <w:bookmarkStart w:id="328" w:name="Tc_2JHAr3x6_kCy6zxNhIc7Mw_9_2"/>
      <w:bookmarkStart w:id="329" w:name="Tc_MPOATdPNH0q4UKNTpgMnjg_9_0"/>
      <w:bookmarkStart w:id="330" w:name="Tc_OH8szCDX50-PhgkYDEiZHg_8_17"/>
      <w:bookmarkStart w:id="331" w:name="Tc_KFRne9cmjkK2xMQ9IKT7PA_8_14"/>
      <w:bookmarkStart w:id="332" w:name="Tc_oknvRfOhyE6M5J8GHyZtdA_8_11"/>
      <w:bookmarkStart w:id="333" w:name="Tc_AoQtVpMcnU-zq5E285OY4A_8_8"/>
      <w:bookmarkStart w:id="334" w:name="Tc_KYKECG2CPUuogD6csb4m9Q_8_5"/>
      <w:bookmarkStart w:id="335" w:name="Tc_5kDpdtAM6kacc1CjlIdsTw_8_2"/>
      <w:bookmarkStart w:id="336" w:name="Tc_UJAHaOyDqEqQV7EpgIweSg_8_0"/>
      <w:bookmarkStart w:id="337" w:name="Tc_LZSvseYYbkWO3VJ6hcg9eg_7_14"/>
      <w:bookmarkStart w:id="338" w:name="Tc_t5EEsSLRoU6yqhVqMcB2ew_7_11"/>
      <w:bookmarkStart w:id="339" w:name="Tc_Xe6xet7W2Uu8loHqoxf1EQ_7_8"/>
      <w:bookmarkStart w:id="340" w:name="Tc_H3fCs7FHqU-Yt58-HJpZoQ_7_5"/>
      <w:bookmarkStart w:id="341" w:name="Tc_7OK9Mwww3kqBRpdqp_iZfQ_7_2"/>
      <w:bookmarkStart w:id="342" w:name="Tc_-2i6JRh9QUqkMFYHx3CpQQ_7_0"/>
      <w:bookmarkStart w:id="343" w:name="Tc_NnOqdt12uk-MUgwFW_VYcw_6_22"/>
      <w:bookmarkStart w:id="344" w:name="Tc_mKRoacs1CE-i5GBNhE4Z3w_6_19"/>
      <w:bookmarkStart w:id="345" w:name="Tc_Ab_ePbD_R0yKp1DUsLMckg_6_16"/>
      <w:bookmarkStart w:id="346" w:name="Tc_4ucWBLwxFUSCfFEtRpomYA_6_13"/>
      <w:bookmarkStart w:id="347" w:name="Tc_KXn1T58WdkuKgvuY9VDbSw_6_10"/>
      <w:bookmarkStart w:id="348" w:name="Tc_e2vOcyZ41UmPniIN_V8Lag_6_7"/>
      <w:bookmarkStart w:id="349" w:name="Tc_x6EdxZGchEWFKcSq1aTHFg_6_4"/>
      <w:bookmarkStart w:id="350" w:name="Tc_Ad6Gu-z4hEiMqTTBY6fiyg_6_0"/>
      <w:bookmarkStart w:id="351" w:name="Tc_RPLiJLil7UmwVg6LIInjeA_5_22"/>
      <w:bookmarkStart w:id="352" w:name="Tc_UXZnpBDOFU-WJUr81XHcaA_5_19"/>
      <w:bookmarkStart w:id="353" w:name="Tc_5ISpP-SSM0qtSbh_2CvgJg_5_16"/>
      <w:bookmarkStart w:id="354" w:name="Tc_BQ4YxZG5HEyFGhU0pLitEQ_5_13"/>
      <w:bookmarkStart w:id="355" w:name="Tc_UWWnUKMD0kSk28-vp9bWlQ_5_10"/>
      <w:bookmarkStart w:id="356" w:name="Tc_e3zyX26pEk6HbYsVn7dcMw_5_7"/>
      <w:bookmarkStart w:id="357" w:name="Tc_j-tsLYMc5ECfsI55Tu9piw_5_4"/>
      <w:bookmarkStart w:id="358" w:name="Tc_r_oX_xPdYkKDnn3qA0uixQ_5_2"/>
      <w:bookmarkStart w:id="359" w:name="Tc_vW04DWNvsEKhMttCcozCvg_4_19"/>
      <w:bookmarkStart w:id="360" w:name="Tc_PnW3is9-X0O4aqt6yjegeg_4_16"/>
      <w:bookmarkStart w:id="361" w:name="Tc_A2eenPyKOE-zI60hrTscow_4_13"/>
      <w:bookmarkStart w:id="362" w:name="Tc_MYqd0lg3q0arjJSE19DzpA_4_10"/>
      <w:bookmarkStart w:id="363" w:name="Tc_X0N63hqPE06LCD6J7YDqcg_4_7"/>
      <w:bookmarkStart w:id="364" w:name="Tc__oOQ13SEF0SsvwjTu7Nr6A_4_2"/>
      <w:bookmarkStart w:id="365" w:name="Tc_aX1-87y3mkeUwxtqra_qBQ_3_13"/>
      <w:bookmarkStart w:id="366" w:name="Tc_vrtq3KIquEuCdgwFrQokLA_2_13"/>
      <w:bookmarkStart w:id="367" w:name="Tc_unZW3TAwu0-SyT-CK17B-g_1_2"/>
      <w:bookmarkStart w:id="368" w:name="_9dcd818d_305d_46c3_8d13_b513a864a9e7"/>
      <w:bookmarkStart w:id="369" w:name="Tc_3UwNRyfXgUyApGUGKRFjvA_14_22"/>
      <w:bookmarkStart w:id="370" w:name="Tc_Tqheb5mMsEaGCmGliwHXPA_14_19"/>
      <w:bookmarkStart w:id="371" w:name="Tc_8s6IFyy4RE-ZfKojrdgqmw_14_16"/>
      <w:bookmarkStart w:id="372" w:name="Tc_YZ00ycLgJka43_NJRxFuaw_14_13"/>
      <w:bookmarkStart w:id="373" w:name="Tc_rKy0ZYHyEkmGirphItrt4g_14_10"/>
      <w:bookmarkStart w:id="374" w:name="Tc_H8yqaOYaTEK5rpduvPDZSQ_14_7"/>
      <w:bookmarkStart w:id="375" w:name="Tc_PAgiPj9edUys4OlRHNi6iQ_14_4"/>
      <w:bookmarkStart w:id="376" w:name="Tc_OrFyBTqzO0SsLx6Tp8VIig_14_0"/>
      <w:bookmarkStart w:id="377" w:name="Tc_1kaIbB5du0SFiZM97n3Hpg_13_20"/>
      <w:bookmarkStart w:id="378" w:name="Tc_dPPlyZ3fN0-KO8N12N6FOQ_13_17"/>
      <w:bookmarkStart w:id="379" w:name="Tc_FIe40F6rqUm10LzA509w0A_13_11"/>
      <w:bookmarkStart w:id="380" w:name="Tc_idwhkGYP2U2ByHqsZpdZLw_13_8"/>
      <w:bookmarkStart w:id="381" w:name="Tc_WLqeiw0JbEWx6weDj_jJSw_13_5"/>
      <w:bookmarkStart w:id="382" w:name="Tc_T1t7WkDs-EaHy6oPTR1CPA_13_2"/>
      <w:bookmarkStart w:id="383" w:name="Tc_CX9Fmq-hwkOcbr-cDbmm2A_13_0"/>
      <w:bookmarkStart w:id="384" w:name="Tc_ArcHV9-IyEKf9d1LSNr7QA_12_20"/>
      <w:bookmarkStart w:id="385" w:name="Tc_oxXqAPP86Uy1YrrYv5eStQ_12_17"/>
      <w:bookmarkStart w:id="386" w:name="Tc_A25e6e80tUGbRR72vgxUHw_12_14"/>
      <w:bookmarkStart w:id="387" w:name="Tc_NAqQ-a25xUKD6zawX-bmfA_12_8"/>
      <w:bookmarkStart w:id="388" w:name="Tc_HTdq4FNL00eFYK388mBxag_12_5"/>
      <w:bookmarkStart w:id="389" w:name="Tc_D2-ddxrzZEW3i7tT0RVL5g_12_2"/>
      <w:bookmarkStart w:id="390" w:name="Tc_rGmAGFxJZkalCmFIGHbErw_12_0"/>
      <w:bookmarkStart w:id="391" w:name="Tc_oPfaTT35Y0Sj4fB4Hf7WGQ_11_20"/>
      <w:bookmarkStart w:id="392" w:name="Tc_0rSojF9D2UGb2YhmIkij8w_11_17"/>
      <w:bookmarkStart w:id="393" w:name="Tc_9lfGOce0IE29rF2lk_7oJg_11_14"/>
      <w:bookmarkStart w:id="394" w:name="Tc_apQfH_h-k0uBCUmVpxxVig_11_8"/>
      <w:bookmarkStart w:id="395" w:name="Tc_KncZapogEEmkrUCX2yERFg_11_0"/>
      <w:bookmarkStart w:id="396" w:name="Tc_4aaYgqXkm0O5k7RNQ5OQvA_10_20"/>
      <w:bookmarkStart w:id="397" w:name="Tc_vJ0TULVJjkyUrqjh7x0X9w_10_17"/>
      <w:bookmarkStart w:id="398" w:name="Tc_LeGVkZhb4Uynx-0DTHEVXg_10_11"/>
      <w:bookmarkStart w:id="399" w:name="Tc_IHLao5Yz8kmRoa_FJ9QA9Q_10_8"/>
      <w:bookmarkStart w:id="400" w:name="Tc_VHTN_5UFF0qq3nozAZE1PQ_10_5"/>
      <w:bookmarkStart w:id="401" w:name="Tc_XKHofO_NAU6ZWGjjwJLkMA_10_2"/>
      <w:bookmarkStart w:id="402" w:name="Tc_CDpHOn1fnUqGtIMrALU52Q_10_0"/>
      <w:bookmarkStart w:id="403" w:name="Tc_hJTfQNWyukWVhyXROHfejg_9_17"/>
      <w:bookmarkStart w:id="404" w:name="Tc_QOeY3QK6p06JyF8cPBNkNA_9_11"/>
      <w:bookmarkStart w:id="405" w:name="Tc_OrLuJ0Q8mk68DhOGog_POA_9_8"/>
      <w:bookmarkStart w:id="406" w:name="Tc_v3JEc_idH0CcQoSIlj0gRw_9_5"/>
      <w:bookmarkStart w:id="407" w:name="Tc_2JHAr3x6_kCy6zxNhIc7Mw_9_2"/>
      <w:bookmarkStart w:id="408" w:name="Tc_MPOATdPNH0q4UKNTpgMnjg_9_0"/>
      <w:bookmarkStart w:id="409" w:name="Tc_OH8szCDX50-PhgkYDEiZHg_8_17"/>
      <w:bookmarkStart w:id="410" w:name="Tc_KFRne9cmjkK2xMQ9IKT7PA_8_14"/>
      <w:bookmarkStart w:id="411" w:name="Tc_oknvRfOhyE6M5J8GHyZtdA_8_11"/>
      <w:bookmarkStart w:id="412" w:name="Tc_AoQtVpMcnU-zq5E285OY4A_8_8"/>
      <w:bookmarkStart w:id="413" w:name="Tc_KYKECG2CPUuogD6csb4m9Q_8_5"/>
      <w:bookmarkStart w:id="414" w:name="Tc_5kDpdtAM6kacc1CjlIdsTw_8_2"/>
      <w:bookmarkStart w:id="415" w:name="Tc_UJAHaOyDqEqQV7EpgIweSg_8_0"/>
      <w:bookmarkStart w:id="416" w:name="Tc_LZSvseYYbkWO3VJ6hcg9eg_7_14"/>
      <w:bookmarkStart w:id="417" w:name="Tc_t5EEsSLRoU6yqhVqMcB2ew_7_11"/>
      <w:bookmarkStart w:id="418" w:name="Tc_Xe6xet7W2Uu8loHqoxf1EQ_7_8"/>
      <w:bookmarkStart w:id="419" w:name="Tc_H3fCs7FHqU-Yt58-HJpZoQ_7_5"/>
      <w:bookmarkStart w:id="420" w:name="Tc_7OK9Mwww3kqBRpdqp_iZfQ_7_2"/>
      <w:bookmarkStart w:id="421" w:name="Tc_-2i6JRh9QUqkMFYHx3CpQQ_7_0"/>
      <w:bookmarkStart w:id="422" w:name="Tc_NnOqdt12uk-MUgwFW_VYcw_6_22"/>
      <w:bookmarkStart w:id="423" w:name="Tc_mKRoacs1CE-i5GBNhE4Z3w_6_19"/>
      <w:bookmarkStart w:id="424" w:name="Tc_Ab_ePbD_R0yKp1DUsLMckg_6_16"/>
      <w:bookmarkStart w:id="425" w:name="Tc_4ucWBLwxFUSCfFEtRpomYA_6_13"/>
      <w:bookmarkStart w:id="426" w:name="Tc_KXn1T58WdkuKgvuY9VDbSw_6_10"/>
      <w:bookmarkStart w:id="427" w:name="Tc_e2vOcyZ41UmPniIN_V8Lag_6_7"/>
      <w:bookmarkStart w:id="428" w:name="Tc_x6EdxZGchEWFKcSq1aTHFg_6_4"/>
      <w:bookmarkStart w:id="429" w:name="Tc_Ad6Gu-z4hEiMqTTBY6fiyg_6_0"/>
      <w:bookmarkStart w:id="430" w:name="Tc_RPLiJLil7UmwVg6LIInjeA_5_22"/>
      <w:bookmarkStart w:id="431" w:name="Tc_UXZnpBDOFU-WJUr81XHcaA_5_19"/>
      <w:bookmarkStart w:id="432" w:name="Tc_5ISpP-SSM0qtSbh_2CvgJg_5_16"/>
      <w:bookmarkStart w:id="433" w:name="Tc_BQ4YxZG5HEyFGhU0pLitEQ_5_13"/>
      <w:bookmarkStart w:id="434" w:name="Tc_UWWnUKMD0kSk28-vp9bWlQ_5_10"/>
      <w:bookmarkStart w:id="435" w:name="Tc_e3zyX26pEk6HbYsVn7dcMw_5_7"/>
      <w:bookmarkStart w:id="436" w:name="Tc_j-tsLYMc5ECfsI55Tu9piw_5_4"/>
      <w:bookmarkStart w:id="437" w:name="Tc_r_oX_xPdYkKDnn3qA0uixQ_5_2"/>
      <w:bookmarkStart w:id="438" w:name="Tc_vW04DWNvsEKhMttCcozCvg_4_19"/>
      <w:bookmarkStart w:id="439" w:name="Tc_PnW3is9-X0O4aqt6yjegeg_4_16"/>
      <w:bookmarkStart w:id="440" w:name="Tc_A2eenPyKOE-zI60hrTscow_4_13"/>
      <w:bookmarkStart w:id="441" w:name="Tc_MYqd0lg3q0arjJSE19DzpA_4_10"/>
      <w:bookmarkStart w:id="442" w:name="Tc_X0N63hqPE06LCD6J7YDqcg_4_7"/>
      <w:bookmarkStart w:id="443" w:name="Tc__oOQ13SEF0SsvwjTu7Nr6A_4_2"/>
      <w:bookmarkStart w:id="444" w:name="Tc_aX1-87y3mkeUwxtqra_qBQ_3_13"/>
      <w:bookmarkStart w:id="445" w:name="Tc_vrtq3KIquEuCdgwFrQokLA_2_13"/>
      <w:bookmarkStart w:id="446" w:name="Tc_unZW3TAwu0-SyT-CK17B-g_1_2"/>
      <w:bookmarkStart w:id="447" w:name="_9dcd818d_305d_46c3_8d13_b513a864a9e7"/>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p>
    <w:tbl>
      <w:tblPr>
        <w:tblW w:w="10382" w:type="dxa"/>
        <w:jc w:val="left"/>
        <w:tblInd w:w="0" w:type="dxa"/>
        <w:tblLayout w:type="fixed"/>
        <w:tblCellMar>
          <w:top w:w="0" w:type="dxa"/>
          <w:left w:w="0" w:type="dxa"/>
          <w:bottom w:w="0" w:type="dxa"/>
          <w:right w:w="0" w:type="dxa"/>
        </w:tblCellMar>
      </w:tblPr>
      <w:tblGrid>
        <w:gridCol w:w="826"/>
        <w:gridCol w:w="346"/>
        <w:gridCol w:w="481"/>
        <w:gridCol w:w="346"/>
        <w:gridCol w:w="346"/>
        <w:gridCol w:w="346"/>
        <w:gridCol w:w="346"/>
        <w:gridCol w:w="346"/>
        <w:gridCol w:w="541"/>
        <w:gridCol w:w="346"/>
        <w:gridCol w:w="376"/>
        <w:gridCol w:w="540"/>
        <w:gridCol w:w="346"/>
        <w:gridCol w:w="228"/>
        <w:gridCol w:w="748"/>
        <w:gridCol w:w="346"/>
        <w:gridCol w:w="346"/>
        <w:gridCol w:w="496"/>
        <w:gridCol w:w="346"/>
        <w:gridCol w:w="425"/>
        <w:gridCol w:w="536"/>
        <w:gridCol w:w="346"/>
        <w:gridCol w:w="346"/>
        <w:gridCol w:w="496"/>
        <w:gridCol w:w="191"/>
      </w:tblGrid>
      <w:tr>
        <w:trPr/>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524510" cy="175260"/>
                      <wp:effectExtent l="0" t="0" r="0" b="0"/>
                      <wp:wrapNone/>
                      <wp:docPr id="26" name="Frame2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27"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305435" cy="175260"/>
                      <wp:effectExtent l="0" t="0" r="0" b="0"/>
                      <wp:wrapNone/>
                      <wp:docPr id="28" name="Frame28"/>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29"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0"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1"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32"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3"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343535" cy="175260"/>
                      <wp:effectExtent l="0" t="0" r="0" b="0"/>
                      <wp:wrapNone/>
                      <wp:docPr id="34" name="Frame34"/>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9710" cy="175260"/>
                      <wp:effectExtent l="0" t="0" r="0" b="0"/>
                      <wp:wrapNone/>
                      <wp:docPr id="35" name="Frame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38760" cy="175260"/>
                      <wp:effectExtent l="0" t="0" r="0" b="0"/>
                      <wp:wrapNone/>
                      <wp:docPr id="36" name="Frame36"/>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342900" cy="175260"/>
                      <wp:effectExtent l="0" t="0" r="0" b="0"/>
                      <wp:wrapNone/>
                      <wp:docPr id="37" name="Frame37"/>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38"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44780" cy="175260"/>
                      <wp:effectExtent l="0" t="0" r="0" b="0"/>
                      <wp:wrapNone/>
                      <wp:docPr id="39" name="Frame39"/>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74980" cy="175260"/>
                      <wp:effectExtent l="0" t="0" r="0" b="0"/>
                      <wp:wrapNone/>
                      <wp:docPr id="40" name="Frame40"/>
                      <a:graphic xmlns:a="http://schemas.openxmlformats.org/drawingml/2006/main">
                        <a:graphicData uri="http://schemas.microsoft.com/office/word/2010/wordprocessingShape">
                          <wps:wsp>
                            <wps:cNvSpPr txBox="1"/>
                            <wps:spPr>
                              <a:xfrm>
                                <a:off x="0" y="0"/>
                                <a:ext cx="4749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1"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2"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314960" cy="175260"/>
                      <wp:effectExtent l="0" t="0" r="0" b="0"/>
                      <wp:wrapNone/>
                      <wp:docPr id="43" name="Frame43"/>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4" name="Frame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69875" cy="175260"/>
                      <wp:effectExtent l="0" t="0" r="0" b="0"/>
                      <wp:wrapNone/>
                      <wp:docPr id="45" name="Frame45"/>
                      <a:graphic xmlns:a="http://schemas.openxmlformats.org/drawingml/2006/main">
                        <a:graphicData uri="http://schemas.microsoft.com/office/word/2010/wordprocessingShape">
                          <wps:wsp>
                            <wps:cNvSpPr txBox="1"/>
                            <wps:spPr>
                              <a:xfrm>
                                <a:off x="0" y="0"/>
                                <a:ext cx="2698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340360" cy="175260"/>
                      <wp:effectExtent l="0" t="0" r="0" b="0"/>
                      <wp:wrapNone/>
                      <wp:docPr id="46" name="Frame46"/>
                      <a:graphic xmlns:a="http://schemas.openxmlformats.org/drawingml/2006/main">
                        <a:graphicData uri="http://schemas.microsoft.com/office/word/2010/wordprocessingShape">
                          <wps:wsp>
                            <wps:cNvSpPr txBox="1"/>
                            <wps:spPr>
                              <a:xfrm>
                                <a:off x="0" y="0"/>
                                <a:ext cx="3403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47"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48"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314960" cy="175260"/>
                      <wp:effectExtent l="0" t="0" r="0" b="0"/>
                      <wp:wrapNone/>
                      <wp:docPr id="49" name="Frame49"/>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21285" cy="175260"/>
                      <wp:effectExtent l="0" t="0" r="0" b="0"/>
                      <wp:wrapNone/>
                      <wp:docPr id="50" name="Frame50"/>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8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9019" w:type="dxa"/>
            <w:gridSpan w:val="2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Stockholders’ Equity of the Company</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8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481" w:type="dxa"/>
            <w:tcBorders/>
            <w:vAlign w:val="center"/>
          </w:tcPr>
          <w:p>
            <w:pPr>
              <w:pStyle w:val="TableContents"/>
              <w:bidi w:val="0"/>
              <w:spacing w:lineRule="auto" w:line="285" w:before="0" w:after="0"/>
              <w:ind w:left="0" w:right="0" w:hanging="0"/>
              <w:jc w:val="center"/>
              <w:rPr/>
            </w:pPr>
            <w:r>
              <w:rPr/>
              <w:t>  ​ ​ ​</w:t>
            </w:r>
          </w:p>
        </w:tc>
        <w:tc>
          <w:tcPr>
            <w:tcW w:w="346" w:type="dxa"/>
            <w:tcBorders/>
            <w:vAlign w:val="center"/>
          </w:tcPr>
          <w:p>
            <w:pPr>
              <w:pStyle w:val="TableContents"/>
              <w:bidi w:val="0"/>
              <w:spacing w:lineRule="auto" w:line="285" w:before="0" w:after="0"/>
              <w:ind w:left="0" w:right="0" w:hanging="0"/>
              <w:jc w:val="center"/>
              <w:rPr/>
            </w:pPr>
            <w:r>
              <w:rPr/>
              <w:t>  ​ ​ ​</w:t>
            </w:r>
          </w:p>
        </w:tc>
        <w:tc>
          <w:tcPr>
            <w:tcW w:w="346" w:type="dxa"/>
            <w:tcBorders/>
            <w:vAlign w:val="center"/>
          </w:tcPr>
          <w:p>
            <w:pPr>
              <w:pStyle w:val="TableContents"/>
              <w:bidi w:val="0"/>
              <w:spacing w:lineRule="auto" w:line="285" w:before="0" w:after="0"/>
              <w:ind w:left="0" w:right="0" w:hanging="0"/>
              <w:jc w:val="left"/>
              <w:rPr/>
            </w:pPr>
            <w:r>
              <w:rPr/>
              <w:t>  ​ ​ ​</w:t>
            </w:r>
          </w:p>
        </w:tc>
        <w:tc>
          <w:tcPr>
            <w:tcW w:w="34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346" w:type="dxa"/>
            <w:tcBorders/>
            <w:vAlign w:val="center"/>
          </w:tcPr>
          <w:p>
            <w:pPr>
              <w:pStyle w:val="TableContents"/>
              <w:bidi w:val="0"/>
              <w:spacing w:lineRule="auto" w:line="285" w:before="0" w:after="0"/>
              <w:ind w:left="0" w:right="0" w:hanging="0"/>
              <w:jc w:val="left"/>
              <w:rPr/>
            </w:pPr>
            <w:r>
              <w:rPr/>
              <w:t>  ​ ​ ​</w:t>
            </w:r>
          </w:p>
        </w:tc>
        <w:tc>
          <w:tcPr>
            <w:tcW w:w="54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376" w:type="dxa"/>
            <w:tcBorders/>
            <w:vAlign w:val="center"/>
          </w:tcPr>
          <w:p>
            <w:pPr>
              <w:pStyle w:val="TableContents"/>
              <w:bidi w:val="0"/>
              <w:spacing w:lineRule="auto" w:line="285" w:before="0" w:after="0"/>
              <w:ind w:left="0" w:right="0" w:hanging="0"/>
              <w:jc w:val="left"/>
              <w:rPr/>
            </w:pPr>
            <w:r>
              <w:rPr/>
              <w:t>  ​ ​ ​</w:t>
            </w:r>
          </w:p>
        </w:tc>
        <w:tc>
          <w:tcPr>
            <w:tcW w:w="540"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97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Accumulated</w:t>
            </w:r>
          </w:p>
        </w:tc>
        <w:tc>
          <w:tcPr>
            <w:tcW w:w="346" w:type="dxa"/>
            <w:tcBorders/>
            <w:vAlign w:val="center"/>
          </w:tcPr>
          <w:p>
            <w:pPr>
              <w:pStyle w:val="TableContents"/>
              <w:bidi w:val="0"/>
              <w:spacing w:lineRule="auto" w:line="285" w:before="0" w:after="0"/>
              <w:ind w:left="0" w:right="0" w:hanging="0"/>
              <w:jc w:val="center"/>
              <w:rPr/>
            </w:pPr>
            <w:r>
              <w:rPr/>
              <w:t>  ​ ​ ​</w:t>
            </w:r>
          </w:p>
        </w:tc>
        <w:tc>
          <w:tcPr>
            <w:tcW w:w="346" w:type="dxa"/>
            <w:tcBorders/>
            <w:vAlign w:val="center"/>
          </w:tcPr>
          <w:p>
            <w:pPr>
              <w:pStyle w:val="TableContents"/>
              <w:bidi w:val="0"/>
              <w:spacing w:lineRule="auto" w:line="285" w:before="0" w:after="0"/>
              <w:ind w:left="0" w:right="0" w:hanging="0"/>
              <w:jc w:val="center"/>
              <w:rPr/>
            </w:pPr>
            <w:r>
              <w:rPr/>
              <w:t>  ​ ​ ​</w:t>
            </w:r>
          </w:p>
        </w:tc>
        <w:tc>
          <w:tcPr>
            <w:tcW w:w="49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425" w:type="dxa"/>
            <w:tcBorders/>
            <w:vAlign w:val="center"/>
          </w:tcPr>
          <w:p>
            <w:pPr>
              <w:pStyle w:val="TableContents"/>
              <w:bidi w:val="0"/>
              <w:spacing w:lineRule="auto" w:line="285" w:before="0" w:after="0"/>
              <w:ind w:left="0" w:right="0" w:hanging="0"/>
              <w:jc w:val="left"/>
              <w:rPr/>
            </w:pPr>
            <w:r>
              <w:rPr/>
              <w:t>  ​ ​ ​</w:t>
            </w:r>
          </w:p>
        </w:tc>
        <w:tc>
          <w:tcPr>
            <w:tcW w:w="53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346" w:type="dxa"/>
            <w:tcBorders/>
            <w:vAlign w:val="center"/>
          </w:tcPr>
          <w:p>
            <w:pPr>
              <w:pStyle w:val="TableContents"/>
              <w:bidi w:val="0"/>
              <w:spacing w:lineRule="auto" w:line="285" w:before="0" w:after="0"/>
              <w:ind w:left="0" w:right="0" w:hanging="0"/>
              <w:jc w:val="left"/>
              <w:rPr/>
            </w:pPr>
            <w:r>
              <w:rPr/>
              <w:t>  ​ ​ ​</w:t>
            </w:r>
          </w:p>
        </w:tc>
        <w:tc>
          <w:tcPr>
            <w:tcW w:w="496"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8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48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376" w:type="dxa"/>
            <w:tcBorders/>
            <w:vAlign w:val="center"/>
          </w:tcPr>
          <w:p>
            <w:pPr>
              <w:pStyle w:val="TableContents"/>
              <w:bidi w:val="0"/>
              <w:spacing w:lineRule="auto" w:line="285" w:before="0" w:after="0"/>
              <w:ind w:left="0" w:right="0" w:hanging="0"/>
              <w:jc w:val="left"/>
              <w:rPr/>
            </w:pPr>
            <w:r>
              <w:rPr/>
              <w:t>​</w:t>
            </w:r>
          </w:p>
        </w:tc>
        <w:tc>
          <w:tcPr>
            <w:tcW w:w="540"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97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Other</w:t>
            </w:r>
          </w:p>
        </w:tc>
        <w:tc>
          <w:tcPr>
            <w:tcW w:w="34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49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425" w:type="dxa"/>
            <w:tcBorders/>
            <w:vAlign w:val="center"/>
          </w:tcPr>
          <w:p>
            <w:pPr>
              <w:pStyle w:val="TableContents"/>
              <w:bidi w:val="0"/>
              <w:spacing w:lineRule="auto" w:line="285" w:before="0" w:after="0"/>
              <w:ind w:left="0" w:right="0" w:hanging="0"/>
              <w:jc w:val="left"/>
              <w:rPr/>
            </w:pPr>
            <w:r>
              <w:rPr/>
              <w:t>​</w:t>
            </w:r>
          </w:p>
        </w:tc>
        <w:tc>
          <w:tcPr>
            <w:tcW w:w="53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96"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8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519" w:type="dxa"/>
            <w:gridSpan w:val="4"/>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Common Stock</w:t>
            </w:r>
          </w:p>
        </w:tc>
        <w:tc>
          <w:tcPr>
            <w:tcW w:w="346" w:type="dxa"/>
            <w:tcBorders/>
            <w:vAlign w:val="center"/>
          </w:tcPr>
          <w:p>
            <w:pPr>
              <w:pStyle w:val="TableContents"/>
              <w:bidi w:val="0"/>
              <w:spacing w:lineRule="auto" w:line="285" w:before="0" w:after="0"/>
              <w:ind w:left="0" w:right="0" w:hanging="0"/>
              <w:jc w:val="center"/>
              <w:rPr/>
            </w:pPr>
            <w:r>
              <w:rPr/>
              <w:t>​</w:t>
            </w:r>
          </w:p>
        </w:tc>
        <w:tc>
          <w:tcPr>
            <w:tcW w:w="887"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Treasury</w:t>
            </w:r>
          </w:p>
        </w:tc>
        <w:tc>
          <w:tcPr>
            <w:tcW w:w="346" w:type="dxa"/>
            <w:tcBorders/>
            <w:vAlign w:val="center"/>
          </w:tcPr>
          <w:p>
            <w:pPr>
              <w:pStyle w:val="TableContents"/>
              <w:bidi w:val="0"/>
              <w:spacing w:lineRule="auto" w:line="285" w:before="0" w:after="0"/>
              <w:ind w:left="0" w:right="0" w:hanging="0"/>
              <w:jc w:val="center"/>
              <w:rPr/>
            </w:pPr>
            <w:r>
              <w:rPr/>
              <w:t>​</w:t>
            </w:r>
          </w:p>
        </w:tc>
        <w:tc>
          <w:tcPr>
            <w:tcW w:w="91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Additional</w:t>
            </w:r>
          </w:p>
        </w:tc>
        <w:tc>
          <w:tcPr>
            <w:tcW w:w="346" w:type="dxa"/>
            <w:tcBorders/>
            <w:vAlign w:val="center"/>
          </w:tcPr>
          <w:p>
            <w:pPr>
              <w:pStyle w:val="TableContents"/>
              <w:bidi w:val="0"/>
              <w:spacing w:lineRule="auto" w:line="285" w:before="0" w:after="0"/>
              <w:ind w:left="0" w:right="0" w:hanging="0"/>
              <w:jc w:val="center"/>
              <w:rPr/>
            </w:pPr>
            <w:r>
              <w:rPr/>
              <w:t>​</w:t>
            </w:r>
          </w:p>
        </w:tc>
        <w:tc>
          <w:tcPr>
            <w:tcW w:w="97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Comprehensive</w:t>
            </w:r>
          </w:p>
        </w:tc>
        <w:tc>
          <w:tcPr>
            <w:tcW w:w="346" w:type="dxa"/>
            <w:tcBorders/>
            <w:vAlign w:val="center"/>
          </w:tcPr>
          <w:p>
            <w:pPr>
              <w:pStyle w:val="TableContents"/>
              <w:bidi w:val="0"/>
              <w:spacing w:lineRule="auto" w:line="285" w:before="0" w:after="0"/>
              <w:ind w:left="0" w:right="0" w:hanging="0"/>
              <w:jc w:val="center"/>
              <w:rPr/>
            </w:pPr>
            <w:r>
              <w:rPr/>
              <w:t>​</w:t>
            </w:r>
          </w:p>
        </w:tc>
        <w:tc>
          <w:tcPr>
            <w:tcW w:w="842"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Retained</w:t>
            </w:r>
          </w:p>
        </w:tc>
        <w:tc>
          <w:tcPr>
            <w:tcW w:w="346" w:type="dxa"/>
            <w:tcBorders/>
            <w:vAlign w:val="center"/>
          </w:tcPr>
          <w:p>
            <w:pPr>
              <w:pStyle w:val="TableContents"/>
              <w:bidi w:val="0"/>
              <w:spacing w:lineRule="auto" w:line="285" w:before="0" w:after="0"/>
              <w:ind w:left="0" w:right="0" w:hanging="0"/>
              <w:jc w:val="center"/>
              <w:rPr/>
            </w:pPr>
            <w:r>
              <w:rPr/>
              <w:t>​</w:t>
            </w:r>
          </w:p>
        </w:tc>
        <w:tc>
          <w:tcPr>
            <w:tcW w:w="961"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Noncontrolling</w:t>
            </w:r>
          </w:p>
        </w:tc>
        <w:tc>
          <w:tcPr>
            <w:tcW w:w="34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96"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8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48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Shares</w:t>
            </w:r>
          </w:p>
        </w:tc>
        <w:tc>
          <w:tcPr>
            <w:tcW w:w="346" w:type="dxa"/>
            <w:tcBorders/>
            <w:vAlign w:val="center"/>
          </w:tcPr>
          <w:p>
            <w:pPr>
              <w:pStyle w:val="TableContents"/>
              <w:bidi w:val="0"/>
              <w:spacing w:lineRule="auto" w:line="285" w:before="0" w:after="0"/>
              <w:ind w:left="0" w:right="0" w:hanging="0"/>
              <w:jc w:val="center"/>
              <w:rPr/>
            </w:pPr>
            <w:r>
              <w:rPr/>
              <w:t>​</w:t>
            </w:r>
          </w:p>
        </w:tc>
        <w:tc>
          <w:tcPr>
            <w:tcW w:w="6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Amount</w:t>
            </w:r>
          </w:p>
        </w:tc>
        <w:tc>
          <w:tcPr>
            <w:tcW w:w="346" w:type="dxa"/>
            <w:tcBorders/>
            <w:vAlign w:val="center"/>
          </w:tcPr>
          <w:p>
            <w:pPr>
              <w:pStyle w:val="TableContents"/>
              <w:bidi w:val="0"/>
              <w:spacing w:lineRule="auto" w:line="285"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Stock</w:t>
            </w:r>
          </w:p>
        </w:tc>
        <w:tc>
          <w:tcPr>
            <w:tcW w:w="346" w:type="dxa"/>
            <w:tcBorders/>
            <w:vAlign w:val="center"/>
          </w:tcPr>
          <w:p>
            <w:pPr>
              <w:pStyle w:val="TableContents"/>
              <w:bidi w:val="0"/>
              <w:spacing w:lineRule="auto" w:line="285" w:before="0" w:after="0"/>
              <w:ind w:left="0" w:right="0" w:hanging="0"/>
              <w:jc w:val="center"/>
              <w:rPr/>
            </w:pPr>
            <w:r>
              <w:rPr/>
              <w:t>​</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Paid-in Capital</w:t>
            </w:r>
          </w:p>
        </w:tc>
        <w:tc>
          <w:tcPr>
            <w:tcW w:w="346" w:type="dxa"/>
            <w:tcBorders/>
            <w:vAlign w:val="center"/>
          </w:tcPr>
          <w:p>
            <w:pPr>
              <w:pStyle w:val="TableContents"/>
              <w:bidi w:val="0"/>
              <w:spacing w:lineRule="auto" w:line="285" w:before="0" w:after="0"/>
              <w:ind w:left="0" w:right="0" w:hanging="0"/>
              <w:jc w:val="center"/>
              <w:rPr/>
            </w:pPr>
            <w:r>
              <w:rPr/>
              <w:t>​</w:t>
            </w:r>
          </w:p>
        </w:tc>
        <w:tc>
          <w:tcPr>
            <w:tcW w:w="97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Income (Loss)</w:t>
            </w:r>
          </w:p>
        </w:tc>
        <w:tc>
          <w:tcPr>
            <w:tcW w:w="346" w:type="dxa"/>
            <w:tcBorders/>
            <w:vAlign w:val="center"/>
          </w:tcPr>
          <w:p>
            <w:pPr>
              <w:pStyle w:val="TableContents"/>
              <w:bidi w:val="0"/>
              <w:spacing w:lineRule="auto" w:line="285" w:before="0" w:after="0"/>
              <w:ind w:left="0" w:right="0" w:hanging="0"/>
              <w:jc w:val="center"/>
              <w:rPr/>
            </w:pPr>
            <w:r>
              <w:rPr/>
              <w:t>​</w:t>
            </w:r>
          </w:p>
        </w:tc>
        <w:tc>
          <w:tcPr>
            <w:tcW w:w="84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Earnings</w:t>
            </w:r>
          </w:p>
        </w:tc>
        <w:tc>
          <w:tcPr>
            <w:tcW w:w="346" w:type="dxa"/>
            <w:tcBorders/>
            <w:vAlign w:val="center"/>
          </w:tcPr>
          <w:p>
            <w:pPr>
              <w:pStyle w:val="TableContents"/>
              <w:bidi w:val="0"/>
              <w:spacing w:lineRule="auto" w:line="285" w:before="0" w:after="0"/>
              <w:ind w:left="0" w:right="0" w:hanging="0"/>
              <w:jc w:val="center"/>
              <w:rPr/>
            </w:pPr>
            <w:r>
              <w:rPr/>
              <w:t>​</w:t>
            </w:r>
          </w:p>
        </w:tc>
        <w:tc>
          <w:tcPr>
            <w:tcW w:w="96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interest</w:t>
            </w:r>
          </w:p>
        </w:tc>
        <w:tc>
          <w:tcPr>
            <w:tcW w:w="346" w:type="dxa"/>
            <w:tcBorders/>
            <w:vAlign w:val="center"/>
          </w:tcPr>
          <w:p>
            <w:pPr>
              <w:pStyle w:val="TableContents"/>
              <w:bidi w:val="0"/>
              <w:spacing w:lineRule="auto" w:line="285" w:before="0" w:after="0"/>
              <w:ind w:left="0" w:right="0" w:hanging="0"/>
              <w:jc w:val="center"/>
              <w:rPr/>
            </w:pPr>
            <w:r>
              <w:rPr/>
              <w:t>​</w:t>
            </w:r>
          </w:p>
        </w:tc>
        <w:tc>
          <w:tcPr>
            <w:tcW w:w="84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Total Equity</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82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2"/>
              </w:rPr>
            </w:pPr>
            <w:r>
              <w:rPr>
                <w:rFonts w:ascii="Arial;Helvetica;sans-serif" w:hAnsi="Arial;Helvetica;sans-serif"/>
                <w:b/>
                <w:sz w:val="12"/>
              </w:rPr>
              <w:t>Balance as of March 31, 2025</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47,804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478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4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(584,900)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4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423,368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74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(122,973)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548,001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2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17,532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281,506</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826" w:type="dxa"/>
            <w:tcBorders/>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Net income</w:t>
            </w:r>
          </w:p>
        </w:tc>
        <w:tc>
          <w:tcPr>
            <w:tcW w:w="346" w:type="dxa"/>
            <w:tcBorders/>
            <w:vAlign w:val="center"/>
          </w:tcPr>
          <w:p>
            <w:pPr>
              <w:pStyle w:val="TableContents"/>
              <w:bidi w:val="0"/>
              <w:spacing w:lineRule="auto" w:line="285" w:before="0" w:after="0"/>
              <w:ind w:left="0" w:right="0" w:hanging="0"/>
              <w:jc w:val="left"/>
              <w:rPr/>
            </w:pPr>
            <w:r>
              <w:rPr/>
              <w:t> </w:t>
            </w:r>
          </w:p>
        </w:tc>
        <w:tc>
          <w:tcPr>
            <w:tcW w:w="48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34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54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76" w:type="dxa"/>
            <w:tcBorders/>
            <w:vAlign w:val="center"/>
          </w:tcPr>
          <w:p>
            <w:pPr>
              <w:pStyle w:val="TableContents"/>
              <w:bidi w:val="0"/>
              <w:spacing w:lineRule="auto" w:line="285" w:before="0" w:after="0"/>
              <w:ind w:left="0" w:right="0" w:hanging="0"/>
              <w:jc w:val="left"/>
              <w:rPr/>
            </w:pPr>
            <w:r>
              <w:rPr/>
              <w:t> </w:t>
            </w:r>
          </w:p>
        </w:tc>
        <w:tc>
          <w:tcPr>
            <w:tcW w:w="540"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8" w:type="dxa"/>
            <w:tcBorders/>
            <w:vAlign w:val="center"/>
          </w:tcPr>
          <w:p>
            <w:pPr>
              <w:pStyle w:val="TableContents"/>
              <w:bidi w:val="0"/>
              <w:spacing w:lineRule="auto" w:line="285" w:before="0" w:after="0"/>
              <w:ind w:left="0" w:right="0" w:hanging="0"/>
              <w:jc w:val="left"/>
              <w:rPr/>
            </w:pPr>
            <w:r>
              <w:rPr/>
              <w:t> </w:t>
            </w:r>
          </w:p>
        </w:tc>
        <w:tc>
          <w:tcPr>
            <w:tcW w:w="748"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right"/>
              <w:rPr/>
            </w:pPr>
            <w:r>
              <w:rPr/>
              <w:t>​</w:t>
            </w:r>
          </w:p>
        </w:tc>
        <w:tc>
          <w:tcPr>
            <w:tcW w:w="496"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(7,987)</w:t>
            </w:r>
          </w:p>
        </w:tc>
        <w:tc>
          <w:tcPr>
            <w:tcW w:w="346" w:type="dxa"/>
            <w:tcBorders/>
            <w:vAlign w:val="center"/>
          </w:tcPr>
          <w:p>
            <w:pPr>
              <w:pStyle w:val="TableContents"/>
              <w:bidi w:val="0"/>
              <w:spacing w:lineRule="auto" w:line="285" w:before="0" w:after="0"/>
              <w:ind w:left="0" w:right="0" w:hanging="0"/>
              <w:jc w:val="left"/>
              <w:rPr/>
            </w:pPr>
            <w:r>
              <w:rPr/>
              <w:t>​</w:t>
            </w:r>
          </w:p>
        </w:tc>
        <w:tc>
          <w:tcPr>
            <w:tcW w:w="425" w:type="dxa"/>
            <w:tcBorders/>
            <w:vAlign w:val="center"/>
          </w:tcPr>
          <w:p>
            <w:pPr>
              <w:pStyle w:val="TableContents"/>
              <w:bidi w:val="0"/>
              <w:spacing w:lineRule="auto" w:line="285" w:before="0" w:after="0"/>
              <w:ind w:left="0" w:right="0" w:hanging="0"/>
              <w:jc w:val="left"/>
              <w:rPr/>
            </w:pPr>
            <w:r>
              <w:rPr/>
              <w:t> </w:t>
            </w:r>
          </w:p>
        </w:tc>
        <w:tc>
          <w:tcPr>
            <w:tcW w:w="536"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1,263</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496"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(6,724)</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82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Payments distributed to noncontrolling interest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48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54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76" w:type="dxa"/>
            <w:tcBorders/>
            <w:shd w:fill="CCEEFF" w:val="clear"/>
            <w:vAlign w:val="center"/>
          </w:tcPr>
          <w:p>
            <w:pPr>
              <w:pStyle w:val="TableContents"/>
              <w:bidi w:val="0"/>
              <w:spacing w:lineRule="auto" w:line="285" w:before="0" w:after="0"/>
              <w:ind w:left="0" w:right="0" w:hanging="0"/>
              <w:jc w:val="left"/>
              <w:rPr/>
            </w:pPr>
            <w:r>
              <w:rPr/>
              <w:t> </w:t>
            </w:r>
          </w:p>
        </w:tc>
        <w:tc>
          <w:tcPr>
            <w:tcW w:w="540"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8" w:type="dxa"/>
            <w:tcBorders/>
            <w:shd w:fill="CCEEFF" w:val="clear"/>
            <w:vAlign w:val="center"/>
          </w:tcPr>
          <w:p>
            <w:pPr>
              <w:pStyle w:val="TableContents"/>
              <w:bidi w:val="0"/>
              <w:spacing w:lineRule="auto" w:line="285" w:before="0" w:after="0"/>
              <w:ind w:left="0" w:right="0" w:hanging="0"/>
              <w:jc w:val="left"/>
              <w:rPr/>
            </w:pPr>
            <w:r>
              <w:rPr/>
              <w:t> </w:t>
            </w:r>
          </w:p>
        </w:tc>
        <w:tc>
          <w:tcPr>
            <w:tcW w:w="748"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right"/>
              <w:rPr/>
            </w:pPr>
            <w:r>
              <w:rPr/>
              <w:t> </w:t>
            </w:r>
          </w:p>
        </w:tc>
        <w:tc>
          <w:tcPr>
            <w:tcW w:w="49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25" w:type="dxa"/>
            <w:tcBorders/>
            <w:shd w:fill="CCEEFF" w:val="clear"/>
            <w:vAlign w:val="center"/>
          </w:tcPr>
          <w:p>
            <w:pPr>
              <w:pStyle w:val="TableContents"/>
              <w:bidi w:val="0"/>
              <w:spacing w:lineRule="auto" w:line="285" w:before="0" w:after="0"/>
              <w:ind w:left="0" w:right="0" w:hanging="0"/>
              <w:jc w:val="left"/>
              <w:rPr/>
            </w:pPr>
            <w:r>
              <w:rPr/>
              <w:t> </w:t>
            </w:r>
          </w:p>
        </w:tc>
        <w:tc>
          <w:tcPr>
            <w:tcW w:w="53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(1,890)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49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(1,890)</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826" w:type="dxa"/>
            <w:tcBorders/>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Foreign currency translation adjustments</w:t>
            </w:r>
          </w:p>
        </w:tc>
        <w:tc>
          <w:tcPr>
            <w:tcW w:w="346" w:type="dxa"/>
            <w:tcBorders/>
            <w:vAlign w:val="center"/>
          </w:tcPr>
          <w:p>
            <w:pPr>
              <w:pStyle w:val="TableContents"/>
              <w:bidi w:val="0"/>
              <w:spacing w:lineRule="auto" w:line="285" w:before="0" w:after="0"/>
              <w:ind w:left="0" w:right="0" w:hanging="0"/>
              <w:jc w:val="left"/>
              <w:rPr/>
            </w:pPr>
            <w:r>
              <w:rPr/>
              <w:t> </w:t>
            </w:r>
          </w:p>
        </w:tc>
        <w:tc>
          <w:tcPr>
            <w:tcW w:w="48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34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54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76" w:type="dxa"/>
            <w:tcBorders/>
            <w:vAlign w:val="center"/>
          </w:tcPr>
          <w:p>
            <w:pPr>
              <w:pStyle w:val="TableContents"/>
              <w:bidi w:val="0"/>
              <w:spacing w:lineRule="auto" w:line="285" w:before="0" w:after="0"/>
              <w:ind w:left="0" w:right="0" w:hanging="0"/>
              <w:jc w:val="left"/>
              <w:rPr/>
            </w:pPr>
            <w:r>
              <w:rPr/>
              <w:t> </w:t>
            </w:r>
          </w:p>
        </w:tc>
        <w:tc>
          <w:tcPr>
            <w:tcW w:w="540"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8" w:type="dxa"/>
            <w:tcBorders/>
            <w:vAlign w:val="center"/>
          </w:tcPr>
          <w:p>
            <w:pPr>
              <w:pStyle w:val="TableContents"/>
              <w:bidi w:val="0"/>
              <w:spacing w:lineRule="auto" w:line="285" w:before="0" w:after="0"/>
              <w:ind w:left="0" w:right="0" w:hanging="0"/>
              <w:jc w:val="left"/>
              <w:rPr/>
            </w:pPr>
            <w:r>
              <w:rPr/>
              <w:t> </w:t>
            </w:r>
          </w:p>
        </w:tc>
        <w:tc>
          <w:tcPr>
            <w:tcW w:w="748"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15,858</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right"/>
              <w:rPr/>
            </w:pPr>
            <w:r>
              <w:rPr/>
              <w:t> </w:t>
            </w:r>
          </w:p>
        </w:tc>
        <w:tc>
          <w:tcPr>
            <w:tcW w:w="49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25" w:type="dxa"/>
            <w:tcBorders/>
            <w:vAlign w:val="center"/>
          </w:tcPr>
          <w:p>
            <w:pPr>
              <w:pStyle w:val="TableContents"/>
              <w:bidi w:val="0"/>
              <w:spacing w:lineRule="auto" w:line="285" w:before="0" w:after="0"/>
              <w:ind w:left="0" w:right="0" w:hanging="0"/>
              <w:jc w:val="left"/>
              <w:rPr/>
            </w:pPr>
            <w:r>
              <w:rPr/>
              <w:t> </w:t>
            </w:r>
          </w:p>
        </w:tc>
        <w:tc>
          <w:tcPr>
            <w:tcW w:w="536"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385</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496"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16,243</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82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Derivatives valuation, net of tax</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48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54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76" w:type="dxa"/>
            <w:tcBorders/>
            <w:shd w:fill="CCEEFF" w:val="clear"/>
            <w:vAlign w:val="center"/>
          </w:tcPr>
          <w:p>
            <w:pPr>
              <w:pStyle w:val="TableContents"/>
              <w:bidi w:val="0"/>
              <w:spacing w:lineRule="auto" w:line="285" w:before="0" w:after="0"/>
              <w:ind w:left="0" w:right="0" w:hanging="0"/>
              <w:jc w:val="left"/>
              <w:rPr/>
            </w:pPr>
            <w:r>
              <w:rPr/>
              <w:t> </w:t>
            </w:r>
          </w:p>
        </w:tc>
        <w:tc>
          <w:tcPr>
            <w:tcW w:w="540"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8" w:type="dxa"/>
            <w:tcBorders/>
            <w:shd w:fill="CCEEFF" w:val="clear"/>
            <w:vAlign w:val="center"/>
          </w:tcPr>
          <w:p>
            <w:pPr>
              <w:pStyle w:val="TableContents"/>
              <w:bidi w:val="0"/>
              <w:spacing w:lineRule="auto" w:line="285" w:before="0" w:after="0"/>
              <w:ind w:left="0" w:right="0" w:hanging="0"/>
              <w:jc w:val="left"/>
              <w:rPr/>
            </w:pPr>
            <w:r>
              <w:rPr/>
              <w:t> </w:t>
            </w:r>
          </w:p>
        </w:tc>
        <w:tc>
          <w:tcPr>
            <w:tcW w:w="748"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2,753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right"/>
              <w:rPr/>
            </w:pPr>
            <w:r>
              <w:rPr/>
              <w:t> </w:t>
            </w:r>
          </w:p>
        </w:tc>
        <w:tc>
          <w:tcPr>
            <w:tcW w:w="49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25" w:type="dxa"/>
            <w:tcBorders/>
            <w:shd w:fill="CCEEFF" w:val="clear"/>
            <w:vAlign w:val="center"/>
          </w:tcPr>
          <w:p>
            <w:pPr>
              <w:pStyle w:val="TableContents"/>
              <w:bidi w:val="0"/>
              <w:spacing w:lineRule="auto" w:line="285" w:before="0" w:after="0"/>
              <w:ind w:left="0" w:right="0" w:hanging="0"/>
              <w:jc w:val="left"/>
              <w:rPr/>
            </w:pPr>
            <w:r>
              <w:rPr/>
              <w:t> </w:t>
            </w:r>
          </w:p>
        </w:tc>
        <w:tc>
          <w:tcPr>
            <w:tcW w:w="53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49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2,753</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826" w:type="dxa"/>
            <w:tcBorders/>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Vesting of restricted stock units</w:t>
            </w:r>
          </w:p>
        </w:tc>
        <w:tc>
          <w:tcPr>
            <w:tcW w:w="346" w:type="dxa"/>
            <w:tcBorders/>
            <w:vAlign w:val="center"/>
          </w:tcPr>
          <w:p>
            <w:pPr>
              <w:pStyle w:val="TableContents"/>
              <w:bidi w:val="0"/>
              <w:spacing w:lineRule="auto" w:line="285" w:before="0" w:after="0"/>
              <w:ind w:left="0" w:right="0" w:hanging="0"/>
              <w:jc w:val="left"/>
              <w:rPr/>
            </w:pPr>
            <w:r>
              <w:rPr/>
              <w:t> </w:t>
            </w:r>
          </w:p>
        </w:tc>
        <w:tc>
          <w:tcPr>
            <w:tcW w:w="481"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596</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346"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6</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54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76" w:type="dxa"/>
            <w:tcBorders/>
            <w:vAlign w:val="center"/>
          </w:tcPr>
          <w:p>
            <w:pPr>
              <w:pStyle w:val="TableContents"/>
              <w:bidi w:val="0"/>
              <w:spacing w:lineRule="auto" w:line="285" w:before="0" w:after="0"/>
              <w:ind w:left="0" w:right="0" w:hanging="0"/>
              <w:jc w:val="left"/>
              <w:rPr/>
            </w:pPr>
            <w:r>
              <w:rPr/>
              <w:t> </w:t>
            </w:r>
          </w:p>
        </w:tc>
        <w:tc>
          <w:tcPr>
            <w:tcW w:w="540"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(982)</w:t>
            </w:r>
          </w:p>
        </w:tc>
        <w:tc>
          <w:tcPr>
            <w:tcW w:w="346" w:type="dxa"/>
            <w:tcBorders/>
            <w:vAlign w:val="center"/>
          </w:tcPr>
          <w:p>
            <w:pPr>
              <w:pStyle w:val="TableContents"/>
              <w:bidi w:val="0"/>
              <w:spacing w:lineRule="auto" w:line="285" w:before="0" w:after="0"/>
              <w:ind w:left="0" w:right="0" w:hanging="0"/>
              <w:jc w:val="left"/>
              <w:rPr/>
            </w:pPr>
            <w:r>
              <w:rPr/>
              <w:t>​</w:t>
            </w:r>
          </w:p>
        </w:tc>
        <w:tc>
          <w:tcPr>
            <w:tcW w:w="228" w:type="dxa"/>
            <w:tcBorders/>
            <w:vAlign w:val="center"/>
          </w:tcPr>
          <w:p>
            <w:pPr>
              <w:pStyle w:val="TableContents"/>
              <w:bidi w:val="0"/>
              <w:spacing w:lineRule="auto" w:line="285" w:before="0" w:after="0"/>
              <w:ind w:left="0" w:right="0" w:hanging="0"/>
              <w:jc w:val="left"/>
              <w:rPr/>
            </w:pPr>
            <w:r>
              <w:rPr/>
              <w:t> </w:t>
            </w:r>
          </w:p>
        </w:tc>
        <w:tc>
          <w:tcPr>
            <w:tcW w:w="748"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right"/>
              <w:rPr/>
            </w:pPr>
            <w:r>
              <w:rPr/>
              <w:t> </w:t>
            </w:r>
          </w:p>
        </w:tc>
        <w:tc>
          <w:tcPr>
            <w:tcW w:w="49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25" w:type="dxa"/>
            <w:tcBorders/>
            <w:vAlign w:val="center"/>
          </w:tcPr>
          <w:p>
            <w:pPr>
              <w:pStyle w:val="TableContents"/>
              <w:bidi w:val="0"/>
              <w:spacing w:lineRule="auto" w:line="285" w:before="0" w:after="0"/>
              <w:ind w:left="0" w:right="0" w:hanging="0"/>
              <w:jc w:val="left"/>
              <w:rPr/>
            </w:pPr>
            <w:r>
              <w:rPr/>
              <w:t> </w:t>
            </w:r>
          </w:p>
        </w:tc>
        <w:tc>
          <w:tcPr>
            <w:tcW w:w="53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496"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(976)</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82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Equity-based compensation expense</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48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54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76" w:type="dxa"/>
            <w:tcBorders/>
            <w:shd w:fill="CCEEFF" w:val="clear"/>
            <w:vAlign w:val="center"/>
          </w:tcPr>
          <w:p>
            <w:pPr>
              <w:pStyle w:val="TableContents"/>
              <w:bidi w:val="0"/>
              <w:spacing w:lineRule="auto" w:line="285" w:before="0" w:after="0"/>
              <w:ind w:left="0" w:right="0" w:hanging="0"/>
              <w:jc w:val="left"/>
              <w:rPr/>
            </w:pPr>
            <w:r>
              <w:rPr/>
              <w:t> </w:t>
            </w:r>
          </w:p>
        </w:tc>
        <w:tc>
          <w:tcPr>
            <w:tcW w:w="540"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4,051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8" w:type="dxa"/>
            <w:tcBorders/>
            <w:shd w:fill="CCEEFF" w:val="clear"/>
            <w:vAlign w:val="center"/>
          </w:tcPr>
          <w:p>
            <w:pPr>
              <w:pStyle w:val="TableContents"/>
              <w:bidi w:val="0"/>
              <w:spacing w:lineRule="auto" w:line="285" w:before="0" w:after="0"/>
              <w:ind w:left="0" w:right="0" w:hanging="0"/>
              <w:jc w:val="left"/>
              <w:rPr/>
            </w:pPr>
            <w:r>
              <w:rPr/>
              <w:t> </w:t>
            </w:r>
          </w:p>
        </w:tc>
        <w:tc>
          <w:tcPr>
            <w:tcW w:w="748"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right"/>
              <w:rPr/>
            </w:pPr>
            <w:r>
              <w:rPr/>
              <w:t> </w:t>
            </w:r>
          </w:p>
        </w:tc>
        <w:tc>
          <w:tcPr>
            <w:tcW w:w="49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25" w:type="dxa"/>
            <w:tcBorders/>
            <w:shd w:fill="CCEEFF" w:val="clear"/>
            <w:vAlign w:val="center"/>
          </w:tcPr>
          <w:p>
            <w:pPr>
              <w:pStyle w:val="TableContents"/>
              <w:bidi w:val="0"/>
              <w:spacing w:lineRule="auto" w:line="285" w:before="0" w:after="0"/>
              <w:ind w:left="0" w:right="0" w:hanging="0"/>
              <w:jc w:val="left"/>
              <w:rPr/>
            </w:pPr>
            <w:r>
              <w:rPr/>
              <w:t> </w:t>
            </w:r>
          </w:p>
        </w:tc>
        <w:tc>
          <w:tcPr>
            <w:tcW w:w="53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49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4,051</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826" w:type="dxa"/>
            <w:tcBorders/>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Other, net of tax</w:t>
            </w:r>
          </w:p>
        </w:tc>
        <w:tc>
          <w:tcPr>
            <w:tcW w:w="346" w:type="dxa"/>
            <w:tcBorders/>
            <w:vAlign w:val="center"/>
          </w:tcPr>
          <w:p>
            <w:pPr>
              <w:pStyle w:val="TableContents"/>
              <w:bidi w:val="0"/>
              <w:spacing w:lineRule="auto" w:line="285" w:before="0" w:after="0"/>
              <w:ind w:left="0" w:right="0" w:hanging="0"/>
              <w:jc w:val="left"/>
              <w:rPr/>
            </w:pPr>
            <w:r>
              <w:rPr/>
              <w:t> </w:t>
            </w:r>
          </w:p>
        </w:tc>
        <w:tc>
          <w:tcPr>
            <w:tcW w:w="4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7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4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74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213</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4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2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4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213</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82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2"/>
              </w:rPr>
            </w:pPr>
            <w:r>
              <w:rPr>
                <w:rFonts w:ascii="Arial;Helvetica;sans-serif" w:hAnsi="Arial;Helvetica;sans-serif"/>
                <w:b/>
                <w:sz w:val="12"/>
              </w:rPr>
              <w:t>Balance as of June 30, 2025</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4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48,400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484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4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(584,900)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4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426,437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74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(104,149)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540,014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2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17,290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295,176</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Normal"/>
        <w:bidi w:val="0"/>
        <w:spacing w:before="0" w:after="0"/>
        <w:jc w:val="left"/>
        <w:rPr>
          <w:sz w:val="4"/>
          <w:szCs w:val="4"/>
        </w:rPr>
      </w:pPr>
      <w:r>
        <w:rPr>
          <w:sz w:val="4"/>
          <w:szCs w:val="4"/>
        </w:rPr>
      </w:r>
      <w:bookmarkStart w:id="448" w:name="Tc_yto7NYmRjECjkSatCxRVuw_14_22"/>
      <w:bookmarkStart w:id="449" w:name="Tc_N7O0qXOZrEyJMMcaclEs9w_14_19"/>
      <w:bookmarkStart w:id="450" w:name="Tc_uK8fkGBtl0GFT-tpxNlsEQ_14_16"/>
      <w:bookmarkStart w:id="451" w:name="Tc_lxJugAiNP0SFWSRkCGQNEA_14_13"/>
      <w:bookmarkStart w:id="452" w:name="Tc_FbU21Ita0ECePtfcaub9zA_14_10"/>
      <w:bookmarkStart w:id="453" w:name="Tc_TrZpMzWN5kWZTBfx_H9lcw_14_7"/>
      <w:bookmarkStart w:id="454" w:name="Tc_hq1IEiXksU-NV_sPLuTxtA_14_4"/>
      <w:bookmarkStart w:id="455" w:name="Tc_4NnRzDK9q0uaSNlU9kyAqA_14_0"/>
      <w:bookmarkStart w:id="456" w:name="Tc_iBBk4XE3iEaIy6Kbqeq4_Q_13_20"/>
      <w:bookmarkStart w:id="457" w:name="Tc_4Gxn4VvDxESHmuTW3GegIQ_13_17"/>
      <w:bookmarkStart w:id="458" w:name="Tc_9NCKVD-MJ0GVIT5lD0zidg_13_11"/>
      <w:bookmarkStart w:id="459" w:name="Tc_dwFowaXdF0WeT95Vcl0fFQ_13_8"/>
      <w:bookmarkStart w:id="460" w:name="Tc_Ykkss6FczEOga0E6ZdDQ_Q_13_5"/>
      <w:bookmarkStart w:id="461" w:name="Tc_ob57NQz1OEahzFwTgyD7qQ_13_2"/>
      <w:bookmarkStart w:id="462" w:name="Tc_m3QL0Fax-0m0xL7OifMfxg_13_0"/>
      <w:bookmarkStart w:id="463" w:name="Tc_6RoDz7q4ekq8_jZfWPiipw_12_20"/>
      <w:bookmarkStart w:id="464" w:name="Tc_lxU9Ao2Il0u82Svqi8Lrvg_12_17"/>
      <w:bookmarkStart w:id="465" w:name="Tc_zBwBdx4NFUS6nn2YECRuqw_12_14"/>
      <w:bookmarkStart w:id="466" w:name="Tc_jH-_svY-kkq4O1I0BhWRwg_12_8"/>
      <w:bookmarkStart w:id="467" w:name="Tc_yEEtomqMNEG10aEDLe7vCg_12_5"/>
      <w:bookmarkStart w:id="468" w:name="Tc_RyX4zqFPpEuj9w9ZAQA17w_12_2"/>
      <w:bookmarkStart w:id="469" w:name="Tc_g2Irb4rdoUqCs8x50BuEEQ_12_0"/>
      <w:bookmarkStart w:id="470" w:name="Tc_bapzXoWpaEeKT7Ta8i92dQ_11_20"/>
      <w:bookmarkStart w:id="471" w:name="Tc_ksTNYn5JfUKWumYp9j9p1g_11_17"/>
      <w:bookmarkStart w:id="472" w:name="Tc_rhc2_BBXkk6VubS51vF9tg_11_14"/>
      <w:bookmarkStart w:id="473" w:name="Tc_AKVQyNBwUkuYIcuJXI_Gig_11_8"/>
      <w:bookmarkStart w:id="474" w:name="Tc_FIZZrLSHg0S59_BjlOnhFA_11_0"/>
      <w:bookmarkStart w:id="475" w:name="Tc_JMWyUjurvU-EUZhaWydPBA_10_20"/>
      <w:bookmarkStart w:id="476" w:name="Tc_SS1-A-0Gv06SaKncrpMS-Q_10_17"/>
      <w:bookmarkStart w:id="477" w:name="Tc_r7OjkWJuUU-0SE0PwXfc2Q_10_11"/>
      <w:bookmarkStart w:id="478" w:name="Tc_deL3PuVfkECwbJsgU0i5dA_10_8"/>
      <w:bookmarkStart w:id="479" w:name="Tc_V3zYTAm9zEees_wN9Yx_fA_10_5"/>
      <w:bookmarkStart w:id="480" w:name="Tc_e2Wn9pCHtEStLzXSPouL8g_10_2"/>
      <w:bookmarkStart w:id="481" w:name="Tc_LLNDqhUVfEiqENSfcwq9zQ_10_0"/>
      <w:bookmarkStart w:id="482" w:name="Tc_emjK0Bxyj0ys7YpfYmXNyg_9_17"/>
      <w:bookmarkStart w:id="483" w:name="Tc_MdN0YtTv_kKBKfR9KtEZ_w_9_11"/>
      <w:bookmarkStart w:id="484" w:name="Tc_31Ji7lzFe0ur-eFD6XEIaA_9_8"/>
      <w:bookmarkStart w:id="485" w:name="Tc_o25yU9_pW0WO049VOFqvUg_9_5"/>
      <w:bookmarkStart w:id="486" w:name="Tc_anHbBZcFf0uvUeYcfl_LpA_9_2"/>
      <w:bookmarkStart w:id="487" w:name="Tc_7ajZ-OiJNk-i5ci9sUfSCA_9_0"/>
      <w:bookmarkStart w:id="488" w:name="Tc_UmcJKBbMV0Gnzy7XlzuGuA_8_17"/>
      <w:bookmarkStart w:id="489" w:name="Tc_5u3nQVXWj0mSoGym-rcVoA_8_14"/>
      <w:bookmarkStart w:id="490" w:name="Tc_xB3qakEVHUKN05YRt_P03A_8_11"/>
      <w:bookmarkStart w:id="491" w:name="Tc_XR66JQq7702RJhGbw2UQ7A_8_8"/>
      <w:bookmarkStart w:id="492" w:name="Tc_51Gz_YoE6kmGXEN9Ny8OsQ_8_5"/>
      <w:bookmarkStart w:id="493" w:name="Tc_dHGN_bemiEC9hFL30O7qbw_8_2"/>
      <w:bookmarkStart w:id="494" w:name="Tc_sO41rSKKK0iSqI7pijRiJA_8_0"/>
      <w:bookmarkStart w:id="495" w:name="Tc_XDybAZL39US0CDgxlx1KCA_7_14"/>
      <w:bookmarkStart w:id="496" w:name="Tc__lRbe_j6CEadfwkgE9mUZg_7_11"/>
      <w:bookmarkStart w:id="497" w:name="Tc_0f6RdVf9DUuGSP-SRu1igQ_7_8"/>
      <w:bookmarkStart w:id="498" w:name="Tc_cQIsuyhB2kW1MzLVe3HDJw_7_5"/>
      <w:bookmarkStart w:id="499" w:name="Tc_y1N9eUDbn0utsDMyW-JcHQ_7_2"/>
      <w:bookmarkStart w:id="500" w:name="Tc_1Vp7jl4APkyHHQ1qWUIGIA_7_0"/>
      <w:bookmarkStart w:id="501" w:name="Tc_UJsAK-mB5UaasIjFFGYKRg_6_22"/>
      <w:bookmarkStart w:id="502" w:name="Tc_K_cCUJC4WES_D-lxHlxitw_6_19"/>
      <w:bookmarkStart w:id="503" w:name="Tc_bycA395TxkKZlJ5ABwTC4A_6_16"/>
      <w:bookmarkStart w:id="504" w:name="Tc_pgOeDjSljEqbx4imFkJEZA_6_13"/>
      <w:bookmarkStart w:id="505" w:name="Tc_CybG_mLfjEWplorq6xZqXg_6_10"/>
      <w:bookmarkStart w:id="506" w:name="Tc_6aRuEPg2JE2dvzz-7Y_Ecg_6_7"/>
      <w:bookmarkStart w:id="507" w:name="Tc_U1KZ3XPj70qELjlTOSS-sA_6_4"/>
      <w:bookmarkStart w:id="508" w:name="Tc_o1orFPA8FEiT5x3-5uCbIQ_6_0"/>
      <w:bookmarkStart w:id="509" w:name="Tc_ihXV7I_Zl0iowtqeHxZ2bQ_5_22"/>
      <w:bookmarkStart w:id="510" w:name="Tc_ocryTOW0EEq5QrB9H9C4zQ_5_19"/>
      <w:bookmarkStart w:id="511" w:name="Tc_bGvE-rEG7k6XMEV77wQJ3Q_5_16"/>
      <w:bookmarkStart w:id="512" w:name="Tc_GSj902z4DUaCZRtLhtYfow_5_13"/>
      <w:bookmarkStart w:id="513" w:name="Tc_d48Yqf1pw0WNw86rHCcPdg_5_10"/>
      <w:bookmarkStart w:id="514" w:name="Tc_uMIya-T0SEeqagreng6trw_5_7"/>
      <w:bookmarkStart w:id="515" w:name="Tc_UsvOocyon0qkHKK_75DEmA_5_4"/>
      <w:bookmarkStart w:id="516" w:name="Tc_gTvGX_LlBkGMN1r0EZrczA_5_2"/>
      <w:bookmarkStart w:id="517" w:name="Tc_dklW2hX7skiJE4fNHrLwow_4_19"/>
      <w:bookmarkStart w:id="518" w:name="Tc_rdDWZnt_BU2ZbJeqW8mFGg_4_16"/>
      <w:bookmarkStart w:id="519" w:name="Tc_TlSR5cxKzkegfaGQlhZedA_4_13"/>
      <w:bookmarkStart w:id="520" w:name="Tc_c4fwRwVvN0Wd9umNK8KhLw_4_10"/>
      <w:bookmarkStart w:id="521" w:name="Tc_ZYvwD8v_KE2DXnEeLoWg5A_4_7"/>
      <w:bookmarkStart w:id="522" w:name="Tc_feGDMEDx4EioGukhLw6bIQ_4_2"/>
      <w:bookmarkStart w:id="523" w:name="Tc_UgEY1OxjcEqVPAxvOc_zMA_3_13"/>
      <w:bookmarkStart w:id="524" w:name="Tc_QoguhQZhYUmnpVXFZDUWVw_2_13"/>
      <w:bookmarkStart w:id="525" w:name="Tc_0Pi7EfQIGEeLyDb9hPT3fg_1_2"/>
      <w:bookmarkStart w:id="526" w:name="_cb562a98_abdd_4c4f_82b0_0e2a5d052f7a"/>
      <w:bookmarkStart w:id="527" w:name="Tc_yto7NYmRjECjkSatCxRVuw_14_22"/>
      <w:bookmarkStart w:id="528" w:name="Tc_N7O0qXOZrEyJMMcaclEs9w_14_19"/>
      <w:bookmarkStart w:id="529" w:name="Tc_uK8fkGBtl0GFT-tpxNlsEQ_14_16"/>
      <w:bookmarkStart w:id="530" w:name="Tc_lxJugAiNP0SFWSRkCGQNEA_14_13"/>
      <w:bookmarkStart w:id="531" w:name="Tc_FbU21Ita0ECePtfcaub9zA_14_10"/>
      <w:bookmarkStart w:id="532" w:name="Tc_TrZpMzWN5kWZTBfx_H9lcw_14_7"/>
      <w:bookmarkStart w:id="533" w:name="Tc_hq1IEiXksU-NV_sPLuTxtA_14_4"/>
      <w:bookmarkStart w:id="534" w:name="Tc_4NnRzDK9q0uaSNlU9kyAqA_14_0"/>
      <w:bookmarkStart w:id="535" w:name="Tc_iBBk4XE3iEaIy6Kbqeq4_Q_13_20"/>
      <w:bookmarkStart w:id="536" w:name="Tc_4Gxn4VvDxESHmuTW3GegIQ_13_17"/>
      <w:bookmarkStart w:id="537" w:name="Tc_9NCKVD-MJ0GVIT5lD0zidg_13_11"/>
      <w:bookmarkStart w:id="538" w:name="Tc_dwFowaXdF0WeT95Vcl0fFQ_13_8"/>
      <w:bookmarkStart w:id="539" w:name="Tc_Ykkss6FczEOga0E6ZdDQ_Q_13_5"/>
      <w:bookmarkStart w:id="540" w:name="Tc_ob57NQz1OEahzFwTgyD7qQ_13_2"/>
      <w:bookmarkStart w:id="541" w:name="Tc_m3QL0Fax-0m0xL7OifMfxg_13_0"/>
      <w:bookmarkStart w:id="542" w:name="Tc_6RoDz7q4ekq8_jZfWPiipw_12_20"/>
      <w:bookmarkStart w:id="543" w:name="Tc_lxU9Ao2Il0u82Svqi8Lrvg_12_17"/>
      <w:bookmarkStart w:id="544" w:name="Tc_zBwBdx4NFUS6nn2YECRuqw_12_14"/>
      <w:bookmarkStart w:id="545" w:name="Tc_jH-_svY-kkq4O1I0BhWRwg_12_8"/>
      <w:bookmarkStart w:id="546" w:name="Tc_yEEtomqMNEG10aEDLe7vCg_12_5"/>
      <w:bookmarkStart w:id="547" w:name="Tc_RyX4zqFPpEuj9w9ZAQA17w_12_2"/>
      <w:bookmarkStart w:id="548" w:name="Tc_g2Irb4rdoUqCs8x50BuEEQ_12_0"/>
      <w:bookmarkStart w:id="549" w:name="Tc_bapzXoWpaEeKT7Ta8i92dQ_11_20"/>
      <w:bookmarkStart w:id="550" w:name="Tc_ksTNYn5JfUKWumYp9j9p1g_11_17"/>
      <w:bookmarkStart w:id="551" w:name="Tc_rhc2_BBXkk6VubS51vF9tg_11_14"/>
      <w:bookmarkStart w:id="552" w:name="Tc_AKVQyNBwUkuYIcuJXI_Gig_11_8"/>
      <w:bookmarkStart w:id="553" w:name="Tc_FIZZrLSHg0S59_BjlOnhFA_11_0"/>
      <w:bookmarkStart w:id="554" w:name="Tc_JMWyUjurvU-EUZhaWydPBA_10_20"/>
      <w:bookmarkStart w:id="555" w:name="Tc_SS1-A-0Gv06SaKncrpMS-Q_10_17"/>
      <w:bookmarkStart w:id="556" w:name="Tc_r7OjkWJuUU-0SE0PwXfc2Q_10_11"/>
      <w:bookmarkStart w:id="557" w:name="Tc_deL3PuVfkECwbJsgU0i5dA_10_8"/>
      <w:bookmarkStart w:id="558" w:name="Tc_V3zYTAm9zEees_wN9Yx_fA_10_5"/>
      <w:bookmarkStart w:id="559" w:name="Tc_e2Wn9pCHtEStLzXSPouL8g_10_2"/>
      <w:bookmarkStart w:id="560" w:name="Tc_LLNDqhUVfEiqENSfcwq9zQ_10_0"/>
      <w:bookmarkStart w:id="561" w:name="Tc_emjK0Bxyj0ys7YpfYmXNyg_9_17"/>
      <w:bookmarkStart w:id="562" w:name="Tc_MdN0YtTv_kKBKfR9KtEZ_w_9_11"/>
      <w:bookmarkStart w:id="563" w:name="Tc_31Ji7lzFe0ur-eFD6XEIaA_9_8"/>
      <w:bookmarkStart w:id="564" w:name="Tc_o25yU9_pW0WO049VOFqvUg_9_5"/>
      <w:bookmarkStart w:id="565" w:name="Tc_anHbBZcFf0uvUeYcfl_LpA_9_2"/>
      <w:bookmarkStart w:id="566" w:name="Tc_7ajZ-OiJNk-i5ci9sUfSCA_9_0"/>
      <w:bookmarkStart w:id="567" w:name="Tc_UmcJKBbMV0Gnzy7XlzuGuA_8_17"/>
      <w:bookmarkStart w:id="568" w:name="Tc_5u3nQVXWj0mSoGym-rcVoA_8_14"/>
      <w:bookmarkStart w:id="569" w:name="Tc_xB3qakEVHUKN05YRt_P03A_8_11"/>
      <w:bookmarkStart w:id="570" w:name="Tc_XR66JQq7702RJhGbw2UQ7A_8_8"/>
      <w:bookmarkStart w:id="571" w:name="Tc_51Gz_YoE6kmGXEN9Ny8OsQ_8_5"/>
      <w:bookmarkStart w:id="572" w:name="Tc_dHGN_bemiEC9hFL30O7qbw_8_2"/>
      <w:bookmarkStart w:id="573" w:name="Tc_sO41rSKKK0iSqI7pijRiJA_8_0"/>
      <w:bookmarkStart w:id="574" w:name="Tc_XDybAZL39US0CDgxlx1KCA_7_14"/>
      <w:bookmarkStart w:id="575" w:name="Tc__lRbe_j6CEadfwkgE9mUZg_7_11"/>
      <w:bookmarkStart w:id="576" w:name="Tc_0f6RdVf9DUuGSP-SRu1igQ_7_8"/>
      <w:bookmarkStart w:id="577" w:name="Tc_cQIsuyhB2kW1MzLVe3HDJw_7_5"/>
      <w:bookmarkStart w:id="578" w:name="Tc_y1N9eUDbn0utsDMyW-JcHQ_7_2"/>
      <w:bookmarkStart w:id="579" w:name="Tc_1Vp7jl4APkyHHQ1qWUIGIA_7_0"/>
      <w:bookmarkStart w:id="580" w:name="Tc_UJsAK-mB5UaasIjFFGYKRg_6_22"/>
      <w:bookmarkStart w:id="581" w:name="Tc_K_cCUJC4WES_D-lxHlxitw_6_19"/>
      <w:bookmarkStart w:id="582" w:name="Tc_bycA395TxkKZlJ5ABwTC4A_6_16"/>
      <w:bookmarkStart w:id="583" w:name="Tc_pgOeDjSljEqbx4imFkJEZA_6_13"/>
      <w:bookmarkStart w:id="584" w:name="Tc_CybG_mLfjEWplorq6xZqXg_6_10"/>
      <w:bookmarkStart w:id="585" w:name="Tc_6aRuEPg2JE2dvzz-7Y_Ecg_6_7"/>
      <w:bookmarkStart w:id="586" w:name="Tc_U1KZ3XPj70qELjlTOSS-sA_6_4"/>
      <w:bookmarkStart w:id="587" w:name="Tc_o1orFPA8FEiT5x3-5uCbIQ_6_0"/>
      <w:bookmarkStart w:id="588" w:name="Tc_ihXV7I_Zl0iowtqeHxZ2bQ_5_22"/>
      <w:bookmarkStart w:id="589" w:name="Tc_ocryTOW0EEq5QrB9H9C4zQ_5_19"/>
      <w:bookmarkStart w:id="590" w:name="Tc_bGvE-rEG7k6XMEV77wQJ3Q_5_16"/>
      <w:bookmarkStart w:id="591" w:name="Tc_GSj902z4DUaCZRtLhtYfow_5_13"/>
      <w:bookmarkStart w:id="592" w:name="Tc_d48Yqf1pw0WNw86rHCcPdg_5_10"/>
      <w:bookmarkStart w:id="593" w:name="Tc_uMIya-T0SEeqagreng6trw_5_7"/>
      <w:bookmarkStart w:id="594" w:name="Tc_UsvOocyon0qkHKK_75DEmA_5_4"/>
      <w:bookmarkStart w:id="595" w:name="Tc_gTvGX_LlBkGMN1r0EZrczA_5_2"/>
      <w:bookmarkStart w:id="596" w:name="Tc_dklW2hX7skiJE4fNHrLwow_4_19"/>
      <w:bookmarkStart w:id="597" w:name="Tc_rdDWZnt_BU2ZbJeqW8mFGg_4_16"/>
      <w:bookmarkStart w:id="598" w:name="Tc_TlSR5cxKzkegfaGQlhZedA_4_13"/>
      <w:bookmarkStart w:id="599" w:name="Tc_c4fwRwVvN0Wd9umNK8KhLw_4_10"/>
      <w:bookmarkStart w:id="600" w:name="Tc_ZYvwD8v_KE2DXnEeLoWg5A_4_7"/>
      <w:bookmarkStart w:id="601" w:name="Tc_feGDMEDx4EioGukhLw6bIQ_4_2"/>
      <w:bookmarkStart w:id="602" w:name="Tc_UgEY1OxjcEqVPAxvOc_zMA_3_13"/>
      <w:bookmarkStart w:id="603" w:name="Tc_QoguhQZhYUmnpVXFZDUWVw_2_13"/>
      <w:bookmarkStart w:id="604" w:name="Tc_0Pi7EfQIGEeLyDb9hPT3fg_1_2"/>
      <w:bookmarkStart w:id="605" w:name="_cb562a98_abdd_4c4f_82b0_0e2a5d052f7a"/>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p>
    <w:tbl>
      <w:tblPr>
        <w:tblW w:w="10382" w:type="dxa"/>
        <w:jc w:val="left"/>
        <w:tblInd w:w="0" w:type="dxa"/>
        <w:tblLayout w:type="fixed"/>
        <w:tblCellMar>
          <w:top w:w="0" w:type="dxa"/>
          <w:left w:w="0" w:type="dxa"/>
          <w:bottom w:w="0" w:type="dxa"/>
          <w:right w:w="0" w:type="dxa"/>
        </w:tblCellMar>
      </w:tblPr>
      <w:tblGrid>
        <w:gridCol w:w="826"/>
        <w:gridCol w:w="346"/>
        <w:gridCol w:w="481"/>
        <w:gridCol w:w="346"/>
        <w:gridCol w:w="346"/>
        <w:gridCol w:w="346"/>
        <w:gridCol w:w="346"/>
        <w:gridCol w:w="346"/>
        <w:gridCol w:w="541"/>
        <w:gridCol w:w="346"/>
        <w:gridCol w:w="376"/>
        <w:gridCol w:w="540"/>
        <w:gridCol w:w="346"/>
        <w:gridCol w:w="228"/>
        <w:gridCol w:w="748"/>
        <w:gridCol w:w="346"/>
        <w:gridCol w:w="346"/>
        <w:gridCol w:w="496"/>
        <w:gridCol w:w="346"/>
        <w:gridCol w:w="425"/>
        <w:gridCol w:w="536"/>
        <w:gridCol w:w="346"/>
        <w:gridCol w:w="346"/>
        <w:gridCol w:w="496"/>
        <w:gridCol w:w="191"/>
      </w:tblGrid>
      <w:tr>
        <w:trPr/>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524510" cy="175260"/>
                      <wp:effectExtent l="0" t="0" r="0" b="0"/>
                      <wp:wrapNone/>
                      <wp:docPr id="51" name="Frame5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2"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305435" cy="175260"/>
                      <wp:effectExtent l="0" t="0" r="0" b="0"/>
                      <wp:wrapNone/>
                      <wp:docPr id="53" name="Frame53"/>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4"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5"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9710" cy="175260"/>
                      <wp:effectExtent l="0" t="0" r="0" b="0"/>
                      <wp:wrapNone/>
                      <wp:docPr id="56"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9710" cy="175260"/>
                      <wp:effectExtent l="0" t="0" r="0" b="0"/>
                      <wp:wrapNone/>
                      <wp:docPr id="57" name="Frame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58"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343535" cy="175260"/>
                      <wp:effectExtent l="0" t="0" r="0" b="0"/>
                      <wp:wrapNone/>
                      <wp:docPr id="59" name="Frame59"/>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60"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38760" cy="175260"/>
                      <wp:effectExtent l="0" t="0" r="0" b="0"/>
                      <wp:wrapNone/>
                      <wp:docPr id="61" name="Frame61"/>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342900" cy="175260"/>
                      <wp:effectExtent l="0" t="0" r="0" b="0"/>
                      <wp:wrapNone/>
                      <wp:docPr id="62" name="Frame62"/>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63" name="Frame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44780" cy="175260"/>
                      <wp:effectExtent l="0" t="0" r="0" b="0"/>
                      <wp:wrapNone/>
                      <wp:docPr id="64" name="Frame64"/>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74980" cy="175260"/>
                      <wp:effectExtent l="0" t="0" r="0" b="0"/>
                      <wp:wrapNone/>
                      <wp:docPr id="65" name="Frame65"/>
                      <a:graphic xmlns:a="http://schemas.openxmlformats.org/drawingml/2006/main">
                        <a:graphicData uri="http://schemas.microsoft.com/office/word/2010/wordprocessingShape">
                          <wps:wsp>
                            <wps:cNvSpPr txBox="1"/>
                            <wps:spPr>
                              <a:xfrm>
                                <a:off x="0" y="0"/>
                                <a:ext cx="4749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66" name="Frame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67"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314960" cy="175260"/>
                      <wp:effectExtent l="0" t="0" r="0" b="0"/>
                      <wp:wrapNone/>
                      <wp:docPr id="68" name="Frame68"/>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9710" cy="175260"/>
                      <wp:effectExtent l="0" t="0" r="0" b="0"/>
                      <wp:wrapNone/>
                      <wp:docPr id="69" name="Frame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69875" cy="175260"/>
                      <wp:effectExtent l="0" t="0" r="0" b="0"/>
                      <wp:wrapNone/>
                      <wp:docPr id="70" name="Frame70"/>
                      <a:graphic xmlns:a="http://schemas.openxmlformats.org/drawingml/2006/main">
                        <a:graphicData uri="http://schemas.microsoft.com/office/word/2010/wordprocessingShape">
                          <wps:wsp>
                            <wps:cNvSpPr txBox="1"/>
                            <wps:spPr>
                              <a:xfrm>
                                <a:off x="0" y="0"/>
                                <a:ext cx="2698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340360" cy="175260"/>
                      <wp:effectExtent l="0" t="0" r="0" b="0"/>
                      <wp:wrapNone/>
                      <wp:docPr id="71" name="Frame71"/>
                      <a:graphic xmlns:a="http://schemas.openxmlformats.org/drawingml/2006/main">
                        <a:graphicData uri="http://schemas.microsoft.com/office/word/2010/wordprocessingShape">
                          <wps:wsp>
                            <wps:cNvSpPr txBox="1"/>
                            <wps:spPr>
                              <a:xfrm>
                                <a:off x="0" y="0"/>
                                <a:ext cx="3403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19710" cy="175260"/>
                      <wp:effectExtent l="0" t="0" r="0" b="0"/>
                      <wp:wrapNone/>
                      <wp:docPr id="72"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3" name="Frame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314960" cy="175260"/>
                      <wp:effectExtent l="0" t="0" r="0" b="0"/>
                      <wp:wrapNone/>
                      <wp:docPr id="74" name="Frame74"/>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21285" cy="175260"/>
                      <wp:effectExtent l="0" t="0" r="0" b="0"/>
                      <wp:wrapNone/>
                      <wp:docPr id="75" name="Frame75"/>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8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9019" w:type="dxa"/>
            <w:gridSpan w:val="2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Stockholders’ Equity of the Company</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8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481" w:type="dxa"/>
            <w:tcBorders/>
            <w:vAlign w:val="center"/>
          </w:tcPr>
          <w:p>
            <w:pPr>
              <w:pStyle w:val="TableContents"/>
              <w:bidi w:val="0"/>
              <w:spacing w:lineRule="auto" w:line="285" w:before="0" w:after="0"/>
              <w:ind w:left="0" w:right="0" w:hanging="0"/>
              <w:jc w:val="center"/>
              <w:rPr/>
            </w:pPr>
            <w:r>
              <w:rPr/>
              <w:t>  ​ ​ ​</w:t>
            </w:r>
          </w:p>
        </w:tc>
        <w:tc>
          <w:tcPr>
            <w:tcW w:w="346" w:type="dxa"/>
            <w:tcBorders/>
            <w:vAlign w:val="center"/>
          </w:tcPr>
          <w:p>
            <w:pPr>
              <w:pStyle w:val="TableContents"/>
              <w:bidi w:val="0"/>
              <w:spacing w:lineRule="auto" w:line="285" w:before="0" w:after="0"/>
              <w:ind w:left="0" w:right="0" w:hanging="0"/>
              <w:jc w:val="center"/>
              <w:rPr/>
            </w:pPr>
            <w:r>
              <w:rPr/>
              <w:t>  ​ ​ ​</w:t>
            </w:r>
          </w:p>
        </w:tc>
        <w:tc>
          <w:tcPr>
            <w:tcW w:w="346" w:type="dxa"/>
            <w:tcBorders/>
            <w:vAlign w:val="center"/>
          </w:tcPr>
          <w:p>
            <w:pPr>
              <w:pStyle w:val="TableContents"/>
              <w:bidi w:val="0"/>
              <w:spacing w:lineRule="auto" w:line="285" w:before="0" w:after="0"/>
              <w:ind w:left="0" w:right="0" w:hanging="0"/>
              <w:jc w:val="left"/>
              <w:rPr/>
            </w:pPr>
            <w:r>
              <w:rPr/>
              <w:t>  ​ ​ ​</w:t>
            </w:r>
          </w:p>
        </w:tc>
        <w:tc>
          <w:tcPr>
            <w:tcW w:w="34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346" w:type="dxa"/>
            <w:tcBorders/>
            <w:vAlign w:val="center"/>
          </w:tcPr>
          <w:p>
            <w:pPr>
              <w:pStyle w:val="TableContents"/>
              <w:bidi w:val="0"/>
              <w:spacing w:lineRule="auto" w:line="285" w:before="0" w:after="0"/>
              <w:ind w:left="0" w:right="0" w:hanging="0"/>
              <w:jc w:val="left"/>
              <w:rPr/>
            </w:pPr>
            <w:r>
              <w:rPr/>
              <w:t>  ​ ​ ​</w:t>
            </w:r>
          </w:p>
        </w:tc>
        <w:tc>
          <w:tcPr>
            <w:tcW w:w="54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376" w:type="dxa"/>
            <w:tcBorders/>
            <w:vAlign w:val="center"/>
          </w:tcPr>
          <w:p>
            <w:pPr>
              <w:pStyle w:val="TableContents"/>
              <w:bidi w:val="0"/>
              <w:spacing w:lineRule="auto" w:line="285" w:before="0" w:after="0"/>
              <w:ind w:left="0" w:right="0" w:hanging="0"/>
              <w:jc w:val="left"/>
              <w:rPr/>
            </w:pPr>
            <w:r>
              <w:rPr/>
              <w:t>  ​ ​ ​</w:t>
            </w:r>
          </w:p>
        </w:tc>
        <w:tc>
          <w:tcPr>
            <w:tcW w:w="540"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97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Accumulated</w:t>
            </w:r>
          </w:p>
        </w:tc>
        <w:tc>
          <w:tcPr>
            <w:tcW w:w="346" w:type="dxa"/>
            <w:tcBorders/>
            <w:vAlign w:val="center"/>
          </w:tcPr>
          <w:p>
            <w:pPr>
              <w:pStyle w:val="TableContents"/>
              <w:bidi w:val="0"/>
              <w:spacing w:lineRule="auto" w:line="285" w:before="0" w:after="0"/>
              <w:ind w:left="0" w:right="0" w:hanging="0"/>
              <w:jc w:val="center"/>
              <w:rPr/>
            </w:pPr>
            <w:r>
              <w:rPr/>
              <w:t>  ​ ​ ​</w:t>
            </w:r>
          </w:p>
        </w:tc>
        <w:tc>
          <w:tcPr>
            <w:tcW w:w="346" w:type="dxa"/>
            <w:tcBorders/>
            <w:vAlign w:val="center"/>
          </w:tcPr>
          <w:p>
            <w:pPr>
              <w:pStyle w:val="TableContents"/>
              <w:bidi w:val="0"/>
              <w:spacing w:lineRule="auto" w:line="285" w:before="0" w:after="0"/>
              <w:ind w:left="0" w:right="0" w:hanging="0"/>
              <w:jc w:val="center"/>
              <w:rPr/>
            </w:pPr>
            <w:r>
              <w:rPr/>
              <w:t>  ​ ​ ​</w:t>
            </w:r>
          </w:p>
        </w:tc>
        <w:tc>
          <w:tcPr>
            <w:tcW w:w="49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425" w:type="dxa"/>
            <w:tcBorders/>
            <w:vAlign w:val="center"/>
          </w:tcPr>
          <w:p>
            <w:pPr>
              <w:pStyle w:val="TableContents"/>
              <w:bidi w:val="0"/>
              <w:spacing w:lineRule="auto" w:line="285" w:before="0" w:after="0"/>
              <w:ind w:left="0" w:right="0" w:hanging="0"/>
              <w:jc w:val="left"/>
              <w:rPr/>
            </w:pPr>
            <w:r>
              <w:rPr/>
              <w:t>  ​ ​ ​</w:t>
            </w:r>
          </w:p>
        </w:tc>
        <w:tc>
          <w:tcPr>
            <w:tcW w:w="53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346" w:type="dxa"/>
            <w:tcBorders/>
            <w:vAlign w:val="center"/>
          </w:tcPr>
          <w:p>
            <w:pPr>
              <w:pStyle w:val="TableContents"/>
              <w:bidi w:val="0"/>
              <w:spacing w:lineRule="auto" w:line="285" w:before="0" w:after="0"/>
              <w:ind w:left="0" w:right="0" w:hanging="0"/>
              <w:jc w:val="left"/>
              <w:rPr/>
            </w:pPr>
            <w:r>
              <w:rPr/>
              <w:t>  ​ ​ ​</w:t>
            </w:r>
          </w:p>
        </w:tc>
        <w:tc>
          <w:tcPr>
            <w:tcW w:w="496"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8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48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376" w:type="dxa"/>
            <w:tcBorders/>
            <w:vAlign w:val="center"/>
          </w:tcPr>
          <w:p>
            <w:pPr>
              <w:pStyle w:val="TableContents"/>
              <w:bidi w:val="0"/>
              <w:spacing w:lineRule="auto" w:line="285" w:before="0" w:after="0"/>
              <w:ind w:left="0" w:right="0" w:hanging="0"/>
              <w:jc w:val="left"/>
              <w:rPr/>
            </w:pPr>
            <w:r>
              <w:rPr/>
              <w:t>​</w:t>
            </w:r>
          </w:p>
        </w:tc>
        <w:tc>
          <w:tcPr>
            <w:tcW w:w="540"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97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Other</w:t>
            </w:r>
          </w:p>
        </w:tc>
        <w:tc>
          <w:tcPr>
            <w:tcW w:w="34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49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425" w:type="dxa"/>
            <w:tcBorders/>
            <w:vAlign w:val="center"/>
          </w:tcPr>
          <w:p>
            <w:pPr>
              <w:pStyle w:val="TableContents"/>
              <w:bidi w:val="0"/>
              <w:spacing w:lineRule="auto" w:line="285" w:before="0" w:after="0"/>
              <w:ind w:left="0" w:right="0" w:hanging="0"/>
              <w:jc w:val="left"/>
              <w:rPr/>
            </w:pPr>
            <w:r>
              <w:rPr/>
              <w:t>​</w:t>
            </w:r>
          </w:p>
        </w:tc>
        <w:tc>
          <w:tcPr>
            <w:tcW w:w="53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96"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8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519" w:type="dxa"/>
            <w:gridSpan w:val="4"/>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Common Stock</w:t>
            </w:r>
          </w:p>
        </w:tc>
        <w:tc>
          <w:tcPr>
            <w:tcW w:w="346" w:type="dxa"/>
            <w:tcBorders/>
            <w:vAlign w:val="center"/>
          </w:tcPr>
          <w:p>
            <w:pPr>
              <w:pStyle w:val="TableContents"/>
              <w:bidi w:val="0"/>
              <w:spacing w:lineRule="auto" w:line="285" w:before="0" w:after="0"/>
              <w:ind w:left="0" w:right="0" w:hanging="0"/>
              <w:jc w:val="center"/>
              <w:rPr/>
            </w:pPr>
            <w:r>
              <w:rPr/>
              <w:t>​</w:t>
            </w:r>
          </w:p>
        </w:tc>
        <w:tc>
          <w:tcPr>
            <w:tcW w:w="887"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Treasury</w:t>
            </w:r>
          </w:p>
        </w:tc>
        <w:tc>
          <w:tcPr>
            <w:tcW w:w="346" w:type="dxa"/>
            <w:tcBorders/>
            <w:vAlign w:val="center"/>
          </w:tcPr>
          <w:p>
            <w:pPr>
              <w:pStyle w:val="TableContents"/>
              <w:bidi w:val="0"/>
              <w:spacing w:lineRule="auto" w:line="285" w:before="0" w:after="0"/>
              <w:ind w:left="0" w:right="0" w:hanging="0"/>
              <w:jc w:val="center"/>
              <w:rPr/>
            </w:pPr>
            <w:r>
              <w:rPr/>
              <w:t>​</w:t>
            </w:r>
          </w:p>
        </w:tc>
        <w:tc>
          <w:tcPr>
            <w:tcW w:w="91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Additional</w:t>
            </w:r>
          </w:p>
        </w:tc>
        <w:tc>
          <w:tcPr>
            <w:tcW w:w="346" w:type="dxa"/>
            <w:tcBorders/>
            <w:vAlign w:val="center"/>
          </w:tcPr>
          <w:p>
            <w:pPr>
              <w:pStyle w:val="TableContents"/>
              <w:bidi w:val="0"/>
              <w:spacing w:lineRule="auto" w:line="285" w:before="0" w:after="0"/>
              <w:ind w:left="0" w:right="0" w:hanging="0"/>
              <w:jc w:val="center"/>
              <w:rPr/>
            </w:pPr>
            <w:r>
              <w:rPr/>
              <w:t>​</w:t>
            </w:r>
          </w:p>
        </w:tc>
        <w:tc>
          <w:tcPr>
            <w:tcW w:w="97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Comprehensive</w:t>
            </w:r>
          </w:p>
        </w:tc>
        <w:tc>
          <w:tcPr>
            <w:tcW w:w="346" w:type="dxa"/>
            <w:tcBorders/>
            <w:vAlign w:val="center"/>
          </w:tcPr>
          <w:p>
            <w:pPr>
              <w:pStyle w:val="TableContents"/>
              <w:bidi w:val="0"/>
              <w:spacing w:lineRule="auto" w:line="285" w:before="0" w:after="0"/>
              <w:ind w:left="0" w:right="0" w:hanging="0"/>
              <w:jc w:val="center"/>
              <w:rPr/>
            </w:pPr>
            <w:r>
              <w:rPr/>
              <w:t>​</w:t>
            </w:r>
          </w:p>
        </w:tc>
        <w:tc>
          <w:tcPr>
            <w:tcW w:w="842"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Retained</w:t>
            </w:r>
          </w:p>
        </w:tc>
        <w:tc>
          <w:tcPr>
            <w:tcW w:w="346" w:type="dxa"/>
            <w:tcBorders/>
            <w:vAlign w:val="center"/>
          </w:tcPr>
          <w:p>
            <w:pPr>
              <w:pStyle w:val="TableContents"/>
              <w:bidi w:val="0"/>
              <w:spacing w:lineRule="auto" w:line="285" w:before="0" w:after="0"/>
              <w:ind w:left="0" w:right="0" w:hanging="0"/>
              <w:jc w:val="center"/>
              <w:rPr/>
            </w:pPr>
            <w:r>
              <w:rPr/>
              <w:t>​</w:t>
            </w:r>
          </w:p>
        </w:tc>
        <w:tc>
          <w:tcPr>
            <w:tcW w:w="961"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Noncontrolling</w:t>
            </w:r>
          </w:p>
        </w:tc>
        <w:tc>
          <w:tcPr>
            <w:tcW w:w="34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96"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8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48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Shares</w:t>
            </w:r>
          </w:p>
        </w:tc>
        <w:tc>
          <w:tcPr>
            <w:tcW w:w="346" w:type="dxa"/>
            <w:tcBorders/>
            <w:vAlign w:val="center"/>
          </w:tcPr>
          <w:p>
            <w:pPr>
              <w:pStyle w:val="TableContents"/>
              <w:bidi w:val="0"/>
              <w:spacing w:lineRule="auto" w:line="285" w:before="0" w:after="0"/>
              <w:ind w:left="0" w:right="0" w:hanging="0"/>
              <w:jc w:val="center"/>
              <w:rPr/>
            </w:pPr>
            <w:r>
              <w:rPr/>
              <w:t>​</w:t>
            </w:r>
          </w:p>
        </w:tc>
        <w:tc>
          <w:tcPr>
            <w:tcW w:w="6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Amount</w:t>
            </w:r>
          </w:p>
        </w:tc>
        <w:tc>
          <w:tcPr>
            <w:tcW w:w="346" w:type="dxa"/>
            <w:tcBorders/>
            <w:vAlign w:val="center"/>
          </w:tcPr>
          <w:p>
            <w:pPr>
              <w:pStyle w:val="TableContents"/>
              <w:bidi w:val="0"/>
              <w:spacing w:lineRule="auto" w:line="285"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Stock</w:t>
            </w:r>
          </w:p>
        </w:tc>
        <w:tc>
          <w:tcPr>
            <w:tcW w:w="346" w:type="dxa"/>
            <w:tcBorders/>
            <w:vAlign w:val="center"/>
          </w:tcPr>
          <w:p>
            <w:pPr>
              <w:pStyle w:val="TableContents"/>
              <w:bidi w:val="0"/>
              <w:spacing w:lineRule="auto" w:line="285" w:before="0" w:after="0"/>
              <w:ind w:left="0" w:right="0" w:hanging="0"/>
              <w:jc w:val="center"/>
              <w:rPr/>
            </w:pPr>
            <w:r>
              <w:rPr/>
              <w:t>​</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Paid-in Capital</w:t>
            </w:r>
          </w:p>
        </w:tc>
        <w:tc>
          <w:tcPr>
            <w:tcW w:w="346" w:type="dxa"/>
            <w:tcBorders/>
            <w:vAlign w:val="center"/>
          </w:tcPr>
          <w:p>
            <w:pPr>
              <w:pStyle w:val="TableContents"/>
              <w:bidi w:val="0"/>
              <w:spacing w:lineRule="auto" w:line="285" w:before="0" w:after="0"/>
              <w:ind w:left="0" w:right="0" w:hanging="0"/>
              <w:jc w:val="center"/>
              <w:rPr/>
            </w:pPr>
            <w:r>
              <w:rPr/>
              <w:t>​</w:t>
            </w:r>
          </w:p>
        </w:tc>
        <w:tc>
          <w:tcPr>
            <w:tcW w:w="97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Income (Loss)</w:t>
            </w:r>
          </w:p>
        </w:tc>
        <w:tc>
          <w:tcPr>
            <w:tcW w:w="346" w:type="dxa"/>
            <w:tcBorders/>
            <w:vAlign w:val="center"/>
          </w:tcPr>
          <w:p>
            <w:pPr>
              <w:pStyle w:val="TableContents"/>
              <w:bidi w:val="0"/>
              <w:spacing w:lineRule="auto" w:line="285" w:before="0" w:after="0"/>
              <w:ind w:left="0" w:right="0" w:hanging="0"/>
              <w:jc w:val="center"/>
              <w:rPr/>
            </w:pPr>
            <w:r>
              <w:rPr/>
              <w:t>​</w:t>
            </w:r>
          </w:p>
        </w:tc>
        <w:tc>
          <w:tcPr>
            <w:tcW w:w="84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Earnings</w:t>
            </w:r>
          </w:p>
        </w:tc>
        <w:tc>
          <w:tcPr>
            <w:tcW w:w="346" w:type="dxa"/>
            <w:tcBorders/>
            <w:vAlign w:val="center"/>
          </w:tcPr>
          <w:p>
            <w:pPr>
              <w:pStyle w:val="TableContents"/>
              <w:bidi w:val="0"/>
              <w:spacing w:lineRule="auto" w:line="285" w:before="0" w:after="0"/>
              <w:ind w:left="0" w:right="0" w:hanging="0"/>
              <w:jc w:val="center"/>
              <w:rPr/>
            </w:pPr>
            <w:r>
              <w:rPr/>
              <w:t>​</w:t>
            </w:r>
          </w:p>
        </w:tc>
        <w:tc>
          <w:tcPr>
            <w:tcW w:w="96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interest</w:t>
            </w:r>
          </w:p>
        </w:tc>
        <w:tc>
          <w:tcPr>
            <w:tcW w:w="346" w:type="dxa"/>
            <w:tcBorders/>
            <w:vAlign w:val="center"/>
          </w:tcPr>
          <w:p>
            <w:pPr>
              <w:pStyle w:val="TableContents"/>
              <w:bidi w:val="0"/>
              <w:spacing w:lineRule="auto" w:line="285" w:before="0" w:after="0"/>
              <w:ind w:left="0" w:right="0" w:hanging="0"/>
              <w:jc w:val="center"/>
              <w:rPr/>
            </w:pPr>
            <w:r>
              <w:rPr/>
              <w:t>​</w:t>
            </w:r>
          </w:p>
        </w:tc>
        <w:tc>
          <w:tcPr>
            <w:tcW w:w="84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Total Equity</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82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2"/>
              </w:rPr>
            </w:pPr>
            <w:r>
              <w:rPr>
                <w:rFonts w:ascii="Arial;Helvetica;sans-serif" w:hAnsi="Arial;Helvetica;sans-serif"/>
                <w:b/>
                <w:sz w:val="12"/>
              </w:rPr>
              <w:t>Balance as of March 31, 2026</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48,610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487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4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(584,900)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4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435,047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74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(113,657)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346,542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2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18,239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101,758</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826" w:type="dxa"/>
            <w:tcBorders/>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Net (loss) income</w:t>
            </w:r>
          </w:p>
        </w:tc>
        <w:tc>
          <w:tcPr>
            <w:tcW w:w="346" w:type="dxa"/>
            <w:tcBorders/>
            <w:vAlign w:val="center"/>
          </w:tcPr>
          <w:p>
            <w:pPr>
              <w:pStyle w:val="TableContents"/>
              <w:bidi w:val="0"/>
              <w:spacing w:lineRule="auto" w:line="285" w:before="0" w:after="0"/>
              <w:ind w:left="0" w:right="0" w:hanging="0"/>
              <w:jc w:val="left"/>
              <w:rPr/>
            </w:pPr>
            <w:r>
              <w:rPr/>
              <w:t> </w:t>
            </w:r>
          </w:p>
        </w:tc>
        <w:tc>
          <w:tcPr>
            <w:tcW w:w="48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34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54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76" w:type="dxa"/>
            <w:tcBorders/>
            <w:vAlign w:val="center"/>
          </w:tcPr>
          <w:p>
            <w:pPr>
              <w:pStyle w:val="TableContents"/>
              <w:bidi w:val="0"/>
              <w:spacing w:lineRule="auto" w:line="285" w:before="0" w:after="0"/>
              <w:ind w:left="0" w:right="0" w:hanging="0"/>
              <w:jc w:val="left"/>
              <w:rPr/>
            </w:pPr>
            <w:r>
              <w:rPr/>
              <w:t> </w:t>
            </w:r>
          </w:p>
        </w:tc>
        <w:tc>
          <w:tcPr>
            <w:tcW w:w="540"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8" w:type="dxa"/>
            <w:tcBorders/>
            <w:vAlign w:val="center"/>
          </w:tcPr>
          <w:p>
            <w:pPr>
              <w:pStyle w:val="TableContents"/>
              <w:bidi w:val="0"/>
              <w:spacing w:lineRule="auto" w:line="285" w:before="0" w:after="0"/>
              <w:ind w:left="0" w:right="0" w:hanging="0"/>
              <w:jc w:val="left"/>
              <w:rPr/>
            </w:pPr>
            <w:r>
              <w:rPr/>
              <w:t> </w:t>
            </w:r>
          </w:p>
        </w:tc>
        <w:tc>
          <w:tcPr>
            <w:tcW w:w="748"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right"/>
              <w:rPr/>
            </w:pPr>
            <w:r>
              <w:rPr/>
              <w:t> </w:t>
            </w:r>
          </w:p>
        </w:tc>
        <w:tc>
          <w:tcPr>
            <w:tcW w:w="496"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(15,378)</w:t>
            </w:r>
          </w:p>
        </w:tc>
        <w:tc>
          <w:tcPr>
            <w:tcW w:w="346" w:type="dxa"/>
            <w:tcBorders/>
            <w:vAlign w:val="center"/>
          </w:tcPr>
          <w:p>
            <w:pPr>
              <w:pStyle w:val="TableContents"/>
              <w:bidi w:val="0"/>
              <w:spacing w:lineRule="auto" w:line="285" w:before="0" w:after="0"/>
              <w:ind w:left="0" w:right="0" w:hanging="0"/>
              <w:jc w:val="left"/>
              <w:rPr/>
            </w:pPr>
            <w:r>
              <w:rPr/>
              <w:t>​</w:t>
            </w:r>
          </w:p>
        </w:tc>
        <w:tc>
          <w:tcPr>
            <w:tcW w:w="425" w:type="dxa"/>
            <w:tcBorders/>
            <w:vAlign w:val="center"/>
          </w:tcPr>
          <w:p>
            <w:pPr>
              <w:pStyle w:val="TableContents"/>
              <w:bidi w:val="0"/>
              <w:spacing w:lineRule="auto" w:line="285" w:before="0" w:after="0"/>
              <w:ind w:left="0" w:right="0" w:hanging="0"/>
              <w:jc w:val="left"/>
              <w:rPr/>
            </w:pPr>
            <w:r>
              <w:rPr/>
              <w:t> </w:t>
            </w:r>
          </w:p>
        </w:tc>
        <w:tc>
          <w:tcPr>
            <w:tcW w:w="536"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2,370</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496"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(13,008)</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82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Payments distributed to noncontrolling interest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48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54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76" w:type="dxa"/>
            <w:tcBorders/>
            <w:shd w:fill="CCEEFF" w:val="clear"/>
            <w:vAlign w:val="center"/>
          </w:tcPr>
          <w:p>
            <w:pPr>
              <w:pStyle w:val="TableContents"/>
              <w:bidi w:val="0"/>
              <w:spacing w:lineRule="auto" w:line="285" w:before="0" w:after="0"/>
              <w:ind w:left="0" w:right="0" w:hanging="0"/>
              <w:jc w:val="left"/>
              <w:rPr/>
            </w:pPr>
            <w:r>
              <w:rPr/>
              <w:t> </w:t>
            </w:r>
          </w:p>
        </w:tc>
        <w:tc>
          <w:tcPr>
            <w:tcW w:w="540"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8" w:type="dxa"/>
            <w:tcBorders/>
            <w:shd w:fill="CCEEFF" w:val="clear"/>
            <w:vAlign w:val="center"/>
          </w:tcPr>
          <w:p>
            <w:pPr>
              <w:pStyle w:val="TableContents"/>
              <w:bidi w:val="0"/>
              <w:spacing w:lineRule="auto" w:line="285" w:before="0" w:after="0"/>
              <w:ind w:left="0" w:right="0" w:hanging="0"/>
              <w:jc w:val="left"/>
              <w:rPr/>
            </w:pPr>
            <w:r>
              <w:rPr/>
              <w:t> </w:t>
            </w:r>
          </w:p>
        </w:tc>
        <w:tc>
          <w:tcPr>
            <w:tcW w:w="748"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right"/>
              <w:rPr/>
            </w:pPr>
            <w:r>
              <w:rPr/>
              <w:t> </w:t>
            </w:r>
          </w:p>
        </w:tc>
        <w:tc>
          <w:tcPr>
            <w:tcW w:w="49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25" w:type="dxa"/>
            <w:tcBorders/>
            <w:shd w:fill="CCEEFF" w:val="clear"/>
            <w:vAlign w:val="center"/>
          </w:tcPr>
          <w:p>
            <w:pPr>
              <w:pStyle w:val="TableContents"/>
              <w:bidi w:val="0"/>
              <w:spacing w:lineRule="auto" w:line="285" w:before="0" w:after="0"/>
              <w:ind w:left="0" w:right="0" w:hanging="0"/>
              <w:jc w:val="left"/>
              <w:rPr/>
            </w:pPr>
            <w:r>
              <w:rPr/>
              <w:t> </w:t>
            </w:r>
          </w:p>
        </w:tc>
        <w:tc>
          <w:tcPr>
            <w:tcW w:w="53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(1,800)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49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(1,800)</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826" w:type="dxa"/>
            <w:tcBorders/>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Foreign currency translation adjustments</w:t>
            </w:r>
          </w:p>
        </w:tc>
        <w:tc>
          <w:tcPr>
            <w:tcW w:w="346" w:type="dxa"/>
            <w:tcBorders/>
            <w:vAlign w:val="center"/>
          </w:tcPr>
          <w:p>
            <w:pPr>
              <w:pStyle w:val="TableContents"/>
              <w:bidi w:val="0"/>
              <w:spacing w:lineRule="auto" w:line="285" w:before="0" w:after="0"/>
              <w:ind w:left="0" w:right="0" w:hanging="0"/>
              <w:jc w:val="left"/>
              <w:rPr/>
            </w:pPr>
            <w:r>
              <w:rPr/>
              <w:t> </w:t>
            </w:r>
          </w:p>
        </w:tc>
        <w:tc>
          <w:tcPr>
            <w:tcW w:w="48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34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54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76" w:type="dxa"/>
            <w:tcBorders/>
            <w:vAlign w:val="center"/>
          </w:tcPr>
          <w:p>
            <w:pPr>
              <w:pStyle w:val="TableContents"/>
              <w:bidi w:val="0"/>
              <w:spacing w:lineRule="auto" w:line="285" w:before="0" w:after="0"/>
              <w:ind w:left="0" w:right="0" w:hanging="0"/>
              <w:jc w:val="left"/>
              <w:rPr/>
            </w:pPr>
            <w:r>
              <w:rPr/>
              <w:t> </w:t>
            </w:r>
          </w:p>
        </w:tc>
        <w:tc>
          <w:tcPr>
            <w:tcW w:w="540"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8" w:type="dxa"/>
            <w:tcBorders/>
            <w:vAlign w:val="center"/>
          </w:tcPr>
          <w:p>
            <w:pPr>
              <w:pStyle w:val="TableContents"/>
              <w:bidi w:val="0"/>
              <w:spacing w:lineRule="auto" w:line="285" w:before="0" w:after="0"/>
              <w:ind w:left="0" w:right="0" w:hanging="0"/>
              <w:jc w:val="left"/>
              <w:rPr/>
            </w:pPr>
            <w:r>
              <w:rPr/>
              <w:t> </w:t>
            </w:r>
          </w:p>
        </w:tc>
        <w:tc>
          <w:tcPr>
            <w:tcW w:w="748"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1,224</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right"/>
              <w:rPr/>
            </w:pPr>
            <w:r>
              <w:rPr/>
              <w:t> </w:t>
            </w:r>
          </w:p>
        </w:tc>
        <w:tc>
          <w:tcPr>
            <w:tcW w:w="49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25" w:type="dxa"/>
            <w:tcBorders/>
            <w:vAlign w:val="center"/>
          </w:tcPr>
          <w:p>
            <w:pPr>
              <w:pStyle w:val="TableContents"/>
              <w:bidi w:val="0"/>
              <w:spacing w:lineRule="auto" w:line="285" w:before="0" w:after="0"/>
              <w:ind w:left="0" w:right="0" w:hanging="0"/>
              <w:jc w:val="left"/>
              <w:rPr/>
            </w:pPr>
            <w:r>
              <w:rPr/>
              <w:t> </w:t>
            </w:r>
          </w:p>
        </w:tc>
        <w:tc>
          <w:tcPr>
            <w:tcW w:w="536"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(180)</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496"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1,044</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82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Derivatives valuation, net of tax</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48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54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76" w:type="dxa"/>
            <w:tcBorders/>
            <w:shd w:fill="CCEEFF" w:val="clear"/>
            <w:vAlign w:val="center"/>
          </w:tcPr>
          <w:p>
            <w:pPr>
              <w:pStyle w:val="TableContents"/>
              <w:bidi w:val="0"/>
              <w:spacing w:lineRule="auto" w:line="285" w:before="0" w:after="0"/>
              <w:ind w:left="0" w:right="0" w:hanging="0"/>
              <w:jc w:val="left"/>
              <w:rPr/>
            </w:pPr>
            <w:r>
              <w:rPr/>
              <w:t> </w:t>
            </w:r>
          </w:p>
        </w:tc>
        <w:tc>
          <w:tcPr>
            <w:tcW w:w="540"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8" w:type="dxa"/>
            <w:tcBorders/>
            <w:shd w:fill="CCEEFF" w:val="clear"/>
            <w:vAlign w:val="center"/>
          </w:tcPr>
          <w:p>
            <w:pPr>
              <w:pStyle w:val="TableContents"/>
              <w:bidi w:val="0"/>
              <w:spacing w:lineRule="auto" w:line="285" w:before="0" w:after="0"/>
              <w:ind w:left="0" w:right="0" w:hanging="0"/>
              <w:jc w:val="left"/>
              <w:rPr/>
            </w:pPr>
            <w:r>
              <w:rPr/>
              <w:t> </w:t>
            </w:r>
          </w:p>
        </w:tc>
        <w:tc>
          <w:tcPr>
            <w:tcW w:w="748"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904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right"/>
              <w:rPr/>
            </w:pPr>
            <w:r>
              <w:rPr/>
              <w:t> </w:t>
            </w:r>
          </w:p>
        </w:tc>
        <w:tc>
          <w:tcPr>
            <w:tcW w:w="49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25" w:type="dxa"/>
            <w:tcBorders/>
            <w:shd w:fill="CCEEFF" w:val="clear"/>
            <w:vAlign w:val="center"/>
          </w:tcPr>
          <w:p>
            <w:pPr>
              <w:pStyle w:val="TableContents"/>
              <w:bidi w:val="0"/>
              <w:spacing w:lineRule="auto" w:line="285" w:before="0" w:after="0"/>
              <w:ind w:left="0" w:right="0" w:hanging="0"/>
              <w:jc w:val="left"/>
              <w:rPr/>
            </w:pPr>
            <w:r>
              <w:rPr/>
              <w:t> </w:t>
            </w:r>
          </w:p>
        </w:tc>
        <w:tc>
          <w:tcPr>
            <w:tcW w:w="53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49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904</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826" w:type="dxa"/>
            <w:tcBorders/>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Vesting of restricted stock units</w:t>
            </w:r>
          </w:p>
        </w:tc>
        <w:tc>
          <w:tcPr>
            <w:tcW w:w="346" w:type="dxa"/>
            <w:tcBorders/>
            <w:vAlign w:val="center"/>
          </w:tcPr>
          <w:p>
            <w:pPr>
              <w:pStyle w:val="TableContents"/>
              <w:bidi w:val="0"/>
              <w:spacing w:lineRule="auto" w:line="285" w:before="0" w:after="0"/>
              <w:ind w:left="0" w:right="0" w:hanging="0"/>
              <w:jc w:val="left"/>
              <w:rPr/>
            </w:pPr>
            <w:r>
              <w:rPr/>
              <w:t> </w:t>
            </w:r>
          </w:p>
        </w:tc>
        <w:tc>
          <w:tcPr>
            <w:tcW w:w="481"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645</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346"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5</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54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76" w:type="dxa"/>
            <w:tcBorders/>
            <w:vAlign w:val="center"/>
          </w:tcPr>
          <w:p>
            <w:pPr>
              <w:pStyle w:val="TableContents"/>
              <w:bidi w:val="0"/>
              <w:spacing w:lineRule="auto" w:line="285" w:before="0" w:after="0"/>
              <w:ind w:left="0" w:right="0" w:hanging="0"/>
              <w:jc w:val="left"/>
              <w:rPr/>
            </w:pPr>
            <w:r>
              <w:rPr/>
              <w:t> </w:t>
            </w:r>
          </w:p>
        </w:tc>
        <w:tc>
          <w:tcPr>
            <w:tcW w:w="540"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(529)</w:t>
            </w:r>
          </w:p>
        </w:tc>
        <w:tc>
          <w:tcPr>
            <w:tcW w:w="346" w:type="dxa"/>
            <w:tcBorders/>
            <w:vAlign w:val="center"/>
          </w:tcPr>
          <w:p>
            <w:pPr>
              <w:pStyle w:val="TableContents"/>
              <w:bidi w:val="0"/>
              <w:spacing w:lineRule="auto" w:line="285" w:before="0" w:after="0"/>
              <w:ind w:left="0" w:right="0" w:hanging="0"/>
              <w:jc w:val="left"/>
              <w:rPr/>
            </w:pPr>
            <w:r>
              <w:rPr/>
              <w:t>​</w:t>
            </w:r>
          </w:p>
        </w:tc>
        <w:tc>
          <w:tcPr>
            <w:tcW w:w="228" w:type="dxa"/>
            <w:tcBorders/>
            <w:vAlign w:val="center"/>
          </w:tcPr>
          <w:p>
            <w:pPr>
              <w:pStyle w:val="TableContents"/>
              <w:bidi w:val="0"/>
              <w:spacing w:lineRule="auto" w:line="285" w:before="0" w:after="0"/>
              <w:ind w:left="0" w:right="0" w:hanging="0"/>
              <w:jc w:val="left"/>
              <w:rPr/>
            </w:pPr>
            <w:r>
              <w:rPr/>
              <w:t> </w:t>
            </w:r>
          </w:p>
        </w:tc>
        <w:tc>
          <w:tcPr>
            <w:tcW w:w="748"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right"/>
              <w:rPr/>
            </w:pPr>
            <w:r>
              <w:rPr/>
              <w:t> </w:t>
            </w:r>
          </w:p>
        </w:tc>
        <w:tc>
          <w:tcPr>
            <w:tcW w:w="49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25" w:type="dxa"/>
            <w:tcBorders/>
            <w:vAlign w:val="center"/>
          </w:tcPr>
          <w:p>
            <w:pPr>
              <w:pStyle w:val="TableContents"/>
              <w:bidi w:val="0"/>
              <w:spacing w:lineRule="auto" w:line="285" w:before="0" w:after="0"/>
              <w:ind w:left="0" w:right="0" w:hanging="0"/>
              <w:jc w:val="left"/>
              <w:rPr/>
            </w:pPr>
            <w:r>
              <w:rPr/>
              <w:t> </w:t>
            </w:r>
          </w:p>
        </w:tc>
        <w:tc>
          <w:tcPr>
            <w:tcW w:w="53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496"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(524)</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82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Equity-based compensation expense</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48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54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76" w:type="dxa"/>
            <w:tcBorders/>
            <w:shd w:fill="CCEEFF" w:val="clear"/>
            <w:vAlign w:val="center"/>
          </w:tcPr>
          <w:p>
            <w:pPr>
              <w:pStyle w:val="TableContents"/>
              <w:bidi w:val="0"/>
              <w:spacing w:lineRule="auto" w:line="285" w:before="0" w:after="0"/>
              <w:ind w:left="0" w:right="0" w:hanging="0"/>
              <w:jc w:val="left"/>
              <w:rPr/>
            </w:pPr>
            <w:r>
              <w:rPr/>
              <w:t> </w:t>
            </w:r>
          </w:p>
        </w:tc>
        <w:tc>
          <w:tcPr>
            <w:tcW w:w="540"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2,258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8" w:type="dxa"/>
            <w:tcBorders/>
            <w:shd w:fill="CCEEFF" w:val="clear"/>
            <w:vAlign w:val="center"/>
          </w:tcPr>
          <w:p>
            <w:pPr>
              <w:pStyle w:val="TableContents"/>
              <w:bidi w:val="0"/>
              <w:spacing w:lineRule="auto" w:line="285" w:before="0" w:after="0"/>
              <w:ind w:left="0" w:right="0" w:hanging="0"/>
              <w:jc w:val="left"/>
              <w:rPr/>
            </w:pPr>
            <w:r>
              <w:rPr/>
              <w:t> </w:t>
            </w:r>
          </w:p>
        </w:tc>
        <w:tc>
          <w:tcPr>
            <w:tcW w:w="748"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right"/>
              <w:rPr/>
            </w:pPr>
            <w:r>
              <w:rPr/>
              <w:t> </w:t>
            </w:r>
          </w:p>
        </w:tc>
        <w:tc>
          <w:tcPr>
            <w:tcW w:w="49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25" w:type="dxa"/>
            <w:tcBorders/>
            <w:shd w:fill="CCEEFF" w:val="clear"/>
            <w:vAlign w:val="center"/>
          </w:tcPr>
          <w:p>
            <w:pPr>
              <w:pStyle w:val="TableContents"/>
              <w:bidi w:val="0"/>
              <w:spacing w:lineRule="auto" w:line="285" w:before="0" w:after="0"/>
              <w:ind w:left="0" w:right="0" w:hanging="0"/>
              <w:jc w:val="left"/>
              <w:rPr/>
            </w:pPr>
            <w:r>
              <w:rPr/>
              <w:t> </w:t>
            </w:r>
          </w:p>
        </w:tc>
        <w:tc>
          <w:tcPr>
            <w:tcW w:w="53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49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2,258</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826" w:type="dxa"/>
            <w:tcBorders/>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Other, net of tax</w:t>
            </w:r>
          </w:p>
        </w:tc>
        <w:tc>
          <w:tcPr>
            <w:tcW w:w="346" w:type="dxa"/>
            <w:tcBorders/>
            <w:vAlign w:val="center"/>
          </w:tcPr>
          <w:p>
            <w:pPr>
              <w:pStyle w:val="TableContents"/>
              <w:bidi w:val="0"/>
              <w:spacing w:lineRule="auto" w:line="285" w:before="0" w:after="0"/>
              <w:ind w:left="0" w:right="0" w:hanging="0"/>
              <w:jc w:val="left"/>
              <w:rPr/>
            </w:pPr>
            <w:r>
              <w:rPr/>
              <w:t> </w:t>
            </w:r>
          </w:p>
        </w:tc>
        <w:tc>
          <w:tcPr>
            <w:tcW w:w="4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7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4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74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198</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4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2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4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198</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82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2"/>
              </w:rPr>
            </w:pPr>
            <w:r>
              <w:rPr>
                <w:rFonts w:ascii="Arial;Helvetica;sans-serif" w:hAnsi="Arial;Helvetica;sans-serif"/>
                <w:b/>
                <w:sz w:val="12"/>
              </w:rPr>
              <w:t>Balance as of June 30, 2026</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4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49,255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492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4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(584,900)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4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436,776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74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(111,331)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331,164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2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18,629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90,830</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b/>
          <w:sz w:val="14"/>
        </w:rPr>
      </w:pPr>
      <w:r>
        <w:rPr>
          <w:rFonts w:ascii="Arial;Helvetica;sans-serif" w:hAnsi="Arial;Helvetica;sans-serif"/>
          <w:b/>
          <w:sz w:val="14"/>
        </w:rPr>
        <w:t>Six months ended June 30, 2025 and 2026</w:t>
      </w:r>
    </w:p>
    <w:p>
      <w:pPr>
        <w:pStyle w:val="TextBody"/>
        <w:bidi w:val="0"/>
        <w:spacing w:lineRule="auto" w:line="285" w:before="0" w:after="0"/>
        <w:ind w:left="0" w:right="0" w:hanging="0"/>
        <w:jc w:val="left"/>
        <w:rPr/>
      </w:pPr>
      <w:r>
        <w:rPr/>
        <w:t>​</w:t>
      </w:r>
    </w:p>
    <w:p>
      <w:pPr>
        <w:pStyle w:val="Normal"/>
        <w:bidi w:val="0"/>
        <w:spacing w:before="0" w:after="0"/>
        <w:jc w:val="left"/>
        <w:rPr>
          <w:sz w:val="4"/>
          <w:szCs w:val="4"/>
        </w:rPr>
      </w:pPr>
      <w:r>
        <w:rPr>
          <w:sz w:val="4"/>
          <w:szCs w:val="4"/>
        </w:rPr>
      </w:r>
      <w:bookmarkStart w:id="606" w:name="Tc_yohMuE3Fk0-Br9lzNyJUOw_14_22"/>
      <w:bookmarkStart w:id="607" w:name="Tc_TWfSRhwlRkOR8aOr6Cd7zw_14_19"/>
      <w:bookmarkStart w:id="608" w:name="Tc_2oMG05XwVEqaFbxQx6QPZA_14_16"/>
      <w:bookmarkStart w:id="609" w:name="Tc_CfO8W8ucp0SGOML9p6da_A_14_13"/>
      <w:bookmarkStart w:id="610" w:name="Tc_Szj3HDyRsUCnbqdp0JVu_g_14_10"/>
      <w:bookmarkStart w:id="611" w:name="Tc_4UYHB8cZJ0aoobzeHqmBMQ_14_7"/>
      <w:bookmarkStart w:id="612" w:name="Tc_A9E49ysCeUiTsFrUkudYoQ_14_4"/>
      <w:bookmarkStart w:id="613" w:name="Tc_H4Tkn0iYbEWGQ3glq_C_Ig_14_0"/>
      <w:bookmarkStart w:id="614" w:name="Tc_Xfl1qO36-kO3lSQ0citpDg_13_20"/>
      <w:bookmarkStart w:id="615" w:name="Tc_2d83HlgSOUWuXi1-b7b5HA_13_17"/>
      <w:bookmarkStart w:id="616" w:name="Tc_q6zj5ptEQEyFoX66sjd_jA_13_11"/>
      <w:bookmarkStart w:id="617" w:name="Tc_208jyx7P_UOLZ0S2Rmt1Eg_13_8"/>
      <w:bookmarkStart w:id="618" w:name="Tc_LxRAewEQHUKUQ5D-HN4UOA_13_5"/>
      <w:bookmarkStart w:id="619" w:name="Tc_yx21LXdz4Emb52rVkIUtEg_13_2"/>
      <w:bookmarkStart w:id="620" w:name="Tc_VTmQy0mqfk-tf4zwbTho3Q_13_0"/>
      <w:bookmarkStart w:id="621" w:name="Tc_9PMpWTAe2EWdOhOPXpuYCQ_12_20"/>
      <w:bookmarkStart w:id="622" w:name="Tc_m3sec6CKjkec53Rmwqvk7Q_12_17"/>
      <w:bookmarkStart w:id="623" w:name="Tc_obPDXfj5TkmGNt84S7oPVQ_12_14"/>
      <w:bookmarkStart w:id="624" w:name="Tc_KhFYhuSpHECULmQEO_61vw_12_8"/>
      <w:bookmarkStart w:id="625" w:name="Tc_PqAahaSVF0Cg4ZWBtCeK9Q_12_5"/>
      <w:bookmarkStart w:id="626" w:name="Tc_6sXd8GBUYEOlLG6ydoUHbw_12_2"/>
      <w:bookmarkStart w:id="627" w:name="Tc_CvVjmz2aQUSjygxx03tmEQ_12_0"/>
      <w:bookmarkStart w:id="628" w:name="Tc_addR-7cZTUGDaEwpC5zFIA_11_20"/>
      <w:bookmarkStart w:id="629" w:name="Tc_UZmtpeR-K0GSCFbBDf93vA_11_17"/>
      <w:bookmarkStart w:id="630" w:name="Tc_XUWOHC1PqkyQMC2SpmXW7A_11_14"/>
      <w:bookmarkStart w:id="631" w:name="Tc_OAZTNEKorkuluQ7nXQla-Q_11_8"/>
      <w:bookmarkStart w:id="632" w:name="Tc_ufDnVIND9kq6nK5AubcxGw_11_0"/>
      <w:bookmarkStart w:id="633" w:name="Tc_uem1a07gIkW71Zd8OvaBaQ_10_20"/>
      <w:bookmarkStart w:id="634" w:name="Tc_R2B85qOZhUGrhhfGCUO4oQ_10_17"/>
      <w:bookmarkStart w:id="635" w:name="Tc_aNFFlzh-1ku-v0mQbpF-RA_10_11"/>
      <w:bookmarkStart w:id="636" w:name="Tc_-Sr7ZRg9IUimUCDE3_XQUQ_10_8"/>
      <w:bookmarkStart w:id="637" w:name="Tc_Ye-XpU4tyEe6K-Rzw1BmPQ_10_5"/>
      <w:bookmarkStart w:id="638" w:name="Tc_T9bUCFyFBUCGwbiMMAmVqw_10_2"/>
      <w:bookmarkStart w:id="639" w:name="Tc_yzJA7kYm1ka8-uzAth4a1Q_10_0"/>
      <w:bookmarkStart w:id="640" w:name="Tc_BvFdjSt620amiqWQIhkZhQ_9_17"/>
      <w:bookmarkStart w:id="641" w:name="Tc_Oo4iAMZSQEKEMWk2Cu_L0g_9_11"/>
      <w:bookmarkStart w:id="642" w:name="Tc_CXY2h_2RuU2gyk7_0OpelQ_9_8"/>
      <w:bookmarkStart w:id="643" w:name="Tc_QZXs3btdjkuYznhzwAg0jg_9_5"/>
      <w:bookmarkStart w:id="644" w:name="Tc_6bm1E5fx2kOw3iUnHYd4uw_9_2"/>
      <w:bookmarkStart w:id="645" w:name="Tc_qnjgEs6nekSDK-uL2eQvTA_9_0"/>
      <w:bookmarkStart w:id="646" w:name="Tc_d07onfCIhU-wOsWoLvhQ5g_8_17"/>
      <w:bookmarkStart w:id="647" w:name="Tc_88HBDbY-ukujFnEieBFd0A_8_14"/>
      <w:bookmarkStart w:id="648" w:name="Tc_OxHyoNE2_kCrv-U9-3QtTg_8_11"/>
      <w:bookmarkStart w:id="649" w:name="Tc_AhUs8OM1-06uACsUZJQqTA_8_8"/>
      <w:bookmarkStart w:id="650" w:name="Tc_iQZBv7I4406FptInMJVlKQ_8_5"/>
      <w:bookmarkStart w:id="651" w:name="Tc_lsQ3izHe1kCC9oNP98H2eA_8_2"/>
      <w:bookmarkStart w:id="652" w:name="Tc_bVcKVlif1UWz0OXxCunrPw_8_0"/>
      <w:bookmarkStart w:id="653" w:name="Tc_z3J0FvolEEef1TzdDOZjbw_7_14"/>
      <w:bookmarkStart w:id="654" w:name="Tc_6aGELal7l0e5bbd9cPwU7A_7_11"/>
      <w:bookmarkStart w:id="655" w:name="Tc_MwxlcAIZL0eBDzsLJFH6-w_7_8"/>
      <w:bookmarkStart w:id="656" w:name="Tc_a3-Cy83Ui0ShRf7oPuekPA_7_5"/>
      <w:bookmarkStart w:id="657" w:name="Tc_UpxpsPlW-USQgVcKH440nA_7_2"/>
      <w:bookmarkStart w:id="658" w:name="Tc_FNpHLYMWwkSUPbvhZ9Tzlg_7_0"/>
      <w:bookmarkStart w:id="659" w:name="Tc_HSG27UbJaUufkPsnh8Ciyg_6_22"/>
      <w:bookmarkStart w:id="660" w:name="Tc_69zRi3Sr10m4cxx8cCc1tg_6_19"/>
      <w:bookmarkStart w:id="661" w:name="Tc_XXR063T4xUihmy7rvCDmng_6_16"/>
      <w:bookmarkStart w:id="662" w:name="Tc_ZxRVzpXCo063q3omjvxxGA_6_13"/>
      <w:bookmarkStart w:id="663" w:name="Tc_Xd7CK4EKvU-D9ysjL5EzKA_6_10"/>
      <w:bookmarkStart w:id="664" w:name="Tc_J9SebIeE6kS2Gx9udv9OqQ_6_7"/>
      <w:bookmarkStart w:id="665" w:name="Tc_ccbM--NlU0mkQNDYUbUd6g_6_4"/>
      <w:bookmarkStart w:id="666" w:name="Tc_61RVhYV6ykuZ_fvHds04zA_6_0"/>
      <w:bookmarkStart w:id="667" w:name="Tc__m6hZCA5ak2iuka6rT8L3A_5_22"/>
      <w:bookmarkStart w:id="668" w:name="Tc_oU3kicORP0S89gp5G8b17g_5_19"/>
      <w:bookmarkStart w:id="669" w:name="Tc_PKBgTiekT0K_yWvbx15Dmw_5_16"/>
      <w:bookmarkStart w:id="670" w:name="Tc_P6Qp01KAP0aOvfUgEy6K_Q_5_13"/>
      <w:bookmarkStart w:id="671" w:name="Tc_jmIkrc2hYkWBhFSw2UOG-Q_5_10"/>
      <w:bookmarkStart w:id="672" w:name="Tc_QoNhNuNwmU-G2njx_eE6QA_5_7"/>
      <w:bookmarkStart w:id="673" w:name="Tc_s9RKPBoI30yJHCQidJ9OFg_5_4"/>
      <w:bookmarkStart w:id="674" w:name="Tc_-WwSSHh58ES2wCWCeiY27g_5_2"/>
      <w:bookmarkStart w:id="675" w:name="Tc_3vS_sooIRECh9j0_DG-IIA_4_19"/>
      <w:bookmarkStart w:id="676" w:name="Tc_gNndoNdxJUKU8F_8a0N_LA_4_16"/>
      <w:bookmarkStart w:id="677" w:name="Tc_4HWDgAKE6E-OQtlDmjPeBg_4_13"/>
      <w:bookmarkStart w:id="678" w:name="Tc_baQNoAuuakWl1S8RTRAzkA_4_10"/>
      <w:bookmarkStart w:id="679" w:name="Tc_1lruCS0bUkGVpon_0uOx5g_4_7"/>
      <w:bookmarkStart w:id="680" w:name="Tc_cXLtyn2VkU6K1DKHbphmXg_4_2"/>
      <w:bookmarkStart w:id="681" w:name="Tc_p3GY893o6EKlyIqlPhQN7g_3_13"/>
      <w:bookmarkStart w:id="682" w:name="Tc_qLaXTLabgkKipbIgxFqHyw_2_13"/>
      <w:bookmarkStart w:id="683" w:name="Tc_moB4fXj9QEaR9PSN9UW3Ww_1_2"/>
      <w:bookmarkStart w:id="684" w:name="_5647ff73_49f4_4ca4_ac27_744d3f2cb2d0"/>
      <w:bookmarkStart w:id="685" w:name="Tc_yohMuE3Fk0-Br9lzNyJUOw_14_22"/>
      <w:bookmarkStart w:id="686" w:name="Tc_TWfSRhwlRkOR8aOr6Cd7zw_14_19"/>
      <w:bookmarkStart w:id="687" w:name="Tc_2oMG05XwVEqaFbxQx6QPZA_14_16"/>
      <w:bookmarkStart w:id="688" w:name="Tc_CfO8W8ucp0SGOML9p6da_A_14_13"/>
      <w:bookmarkStart w:id="689" w:name="Tc_Szj3HDyRsUCnbqdp0JVu_g_14_10"/>
      <w:bookmarkStart w:id="690" w:name="Tc_4UYHB8cZJ0aoobzeHqmBMQ_14_7"/>
      <w:bookmarkStart w:id="691" w:name="Tc_A9E49ysCeUiTsFrUkudYoQ_14_4"/>
      <w:bookmarkStart w:id="692" w:name="Tc_H4Tkn0iYbEWGQ3glq_C_Ig_14_0"/>
      <w:bookmarkStart w:id="693" w:name="Tc_Xfl1qO36-kO3lSQ0citpDg_13_20"/>
      <w:bookmarkStart w:id="694" w:name="Tc_2d83HlgSOUWuXi1-b7b5HA_13_17"/>
      <w:bookmarkStart w:id="695" w:name="Tc_q6zj5ptEQEyFoX66sjd_jA_13_11"/>
      <w:bookmarkStart w:id="696" w:name="Tc_208jyx7P_UOLZ0S2Rmt1Eg_13_8"/>
      <w:bookmarkStart w:id="697" w:name="Tc_LxRAewEQHUKUQ5D-HN4UOA_13_5"/>
      <w:bookmarkStart w:id="698" w:name="Tc_yx21LXdz4Emb52rVkIUtEg_13_2"/>
      <w:bookmarkStart w:id="699" w:name="Tc_VTmQy0mqfk-tf4zwbTho3Q_13_0"/>
      <w:bookmarkStart w:id="700" w:name="Tc_9PMpWTAe2EWdOhOPXpuYCQ_12_20"/>
      <w:bookmarkStart w:id="701" w:name="Tc_m3sec6CKjkec53Rmwqvk7Q_12_17"/>
      <w:bookmarkStart w:id="702" w:name="Tc_obPDXfj5TkmGNt84S7oPVQ_12_14"/>
      <w:bookmarkStart w:id="703" w:name="Tc_KhFYhuSpHECULmQEO_61vw_12_8"/>
      <w:bookmarkStart w:id="704" w:name="Tc_PqAahaSVF0Cg4ZWBtCeK9Q_12_5"/>
      <w:bookmarkStart w:id="705" w:name="Tc_6sXd8GBUYEOlLG6ydoUHbw_12_2"/>
      <w:bookmarkStart w:id="706" w:name="Tc_CvVjmz2aQUSjygxx03tmEQ_12_0"/>
      <w:bookmarkStart w:id="707" w:name="Tc_addR-7cZTUGDaEwpC5zFIA_11_20"/>
      <w:bookmarkStart w:id="708" w:name="Tc_UZmtpeR-K0GSCFbBDf93vA_11_17"/>
      <w:bookmarkStart w:id="709" w:name="Tc_XUWOHC1PqkyQMC2SpmXW7A_11_14"/>
      <w:bookmarkStart w:id="710" w:name="Tc_OAZTNEKorkuluQ7nXQla-Q_11_8"/>
      <w:bookmarkStart w:id="711" w:name="Tc_ufDnVIND9kq6nK5AubcxGw_11_0"/>
      <w:bookmarkStart w:id="712" w:name="Tc_uem1a07gIkW71Zd8OvaBaQ_10_20"/>
      <w:bookmarkStart w:id="713" w:name="Tc_R2B85qOZhUGrhhfGCUO4oQ_10_17"/>
      <w:bookmarkStart w:id="714" w:name="Tc_aNFFlzh-1ku-v0mQbpF-RA_10_11"/>
      <w:bookmarkStart w:id="715" w:name="Tc_-Sr7ZRg9IUimUCDE3_XQUQ_10_8"/>
      <w:bookmarkStart w:id="716" w:name="Tc_Ye-XpU4tyEe6K-Rzw1BmPQ_10_5"/>
      <w:bookmarkStart w:id="717" w:name="Tc_T9bUCFyFBUCGwbiMMAmVqw_10_2"/>
      <w:bookmarkStart w:id="718" w:name="Tc_yzJA7kYm1ka8-uzAth4a1Q_10_0"/>
      <w:bookmarkStart w:id="719" w:name="Tc_BvFdjSt620amiqWQIhkZhQ_9_17"/>
      <w:bookmarkStart w:id="720" w:name="Tc_Oo4iAMZSQEKEMWk2Cu_L0g_9_11"/>
      <w:bookmarkStart w:id="721" w:name="Tc_CXY2h_2RuU2gyk7_0OpelQ_9_8"/>
      <w:bookmarkStart w:id="722" w:name="Tc_QZXs3btdjkuYznhzwAg0jg_9_5"/>
      <w:bookmarkStart w:id="723" w:name="Tc_6bm1E5fx2kOw3iUnHYd4uw_9_2"/>
      <w:bookmarkStart w:id="724" w:name="Tc_qnjgEs6nekSDK-uL2eQvTA_9_0"/>
      <w:bookmarkStart w:id="725" w:name="Tc_d07onfCIhU-wOsWoLvhQ5g_8_17"/>
      <w:bookmarkStart w:id="726" w:name="Tc_88HBDbY-ukujFnEieBFd0A_8_14"/>
      <w:bookmarkStart w:id="727" w:name="Tc_OxHyoNE2_kCrv-U9-3QtTg_8_11"/>
      <w:bookmarkStart w:id="728" w:name="Tc_AhUs8OM1-06uACsUZJQqTA_8_8"/>
      <w:bookmarkStart w:id="729" w:name="Tc_iQZBv7I4406FptInMJVlKQ_8_5"/>
      <w:bookmarkStart w:id="730" w:name="Tc_lsQ3izHe1kCC9oNP98H2eA_8_2"/>
      <w:bookmarkStart w:id="731" w:name="Tc_bVcKVlif1UWz0OXxCunrPw_8_0"/>
      <w:bookmarkStart w:id="732" w:name="Tc_z3J0FvolEEef1TzdDOZjbw_7_14"/>
      <w:bookmarkStart w:id="733" w:name="Tc_6aGELal7l0e5bbd9cPwU7A_7_11"/>
      <w:bookmarkStart w:id="734" w:name="Tc_MwxlcAIZL0eBDzsLJFH6-w_7_8"/>
      <w:bookmarkStart w:id="735" w:name="Tc_a3-Cy83Ui0ShRf7oPuekPA_7_5"/>
      <w:bookmarkStart w:id="736" w:name="Tc_UpxpsPlW-USQgVcKH440nA_7_2"/>
      <w:bookmarkStart w:id="737" w:name="Tc_FNpHLYMWwkSUPbvhZ9Tzlg_7_0"/>
      <w:bookmarkStart w:id="738" w:name="Tc_HSG27UbJaUufkPsnh8Ciyg_6_22"/>
      <w:bookmarkStart w:id="739" w:name="Tc_69zRi3Sr10m4cxx8cCc1tg_6_19"/>
      <w:bookmarkStart w:id="740" w:name="Tc_XXR063T4xUihmy7rvCDmng_6_16"/>
      <w:bookmarkStart w:id="741" w:name="Tc_ZxRVzpXCo063q3omjvxxGA_6_13"/>
      <w:bookmarkStart w:id="742" w:name="Tc_Xd7CK4EKvU-D9ysjL5EzKA_6_10"/>
      <w:bookmarkStart w:id="743" w:name="Tc_J9SebIeE6kS2Gx9udv9OqQ_6_7"/>
      <w:bookmarkStart w:id="744" w:name="Tc_ccbM--NlU0mkQNDYUbUd6g_6_4"/>
      <w:bookmarkStart w:id="745" w:name="Tc_61RVhYV6ykuZ_fvHds04zA_6_0"/>
      <w:bookmarkStart w:id="746" w:name="Tc__m6hZCA5ak2iuka6rT8L3A_5_22"/>
      <w:bookmarkStart w:id="747" w:name="Tc_oU3kicORP0S89gp5G8b17g_5_19"/>
      <w:bookmarkStart w:id="748" w:name="Tc_PKBgTiekT0K_yWvbx15Dmw_5_16"/>
      <w:bookmarkStart w:id="749" w:name="Tc_P6Qp01KAP0aOvfUgEy6K_Q_5_13"/>
      <w:bookmarkStart w:id="750" w:name="Tc_jmIkrc2hYkWBhFSw2UOG-Q_5_10"/>
      <w:bookmarkStart w:id="751" w:name="Tc_QoNhNuNwmU-G2njx_eE6QA_5_7"/>
      <w:bookmarkStart w:id="752" w:name="Tc_s9RKPBoI30yJHCQidJ9OFg_5_4"/>
      <w:bookmarkStart w:id="753" w:name="Tc_-WwSSHh58ES2wCWCeiY27g_5_2"/>
      <w:bookmarkStart w:id="754" w:name="Tc_3vS_sooIRECh9j0_DG-IIA_4_19"/>
      <w:bookmarkStart w:id="755" w:name="Tc_gNndoNdxJUKU8F_8a0N_LA_4_16"/>
      <w:bookmarkStart w:id="756" w:name="Tc_4HWDgAKE6E-OQtlDmjPeBg_4_13"/>
      <w:bookmarkStart w:id="757" w:name="Tc_baQNoAuuakWl1S8RTRAzkA_4_10"/>
      <w:bookmarkStart w:id="758" w:name="Tc_1lruCS0bUkGVpon_0uOx5g_4_7"/>
      <w:bookmarkStart w:id="759" w:name="Tc_cXLtyn2VkU6K1DKHbphmXg_4_2"/>
      <w:bookmarkStart w:id="760" w:name="Tc_p3GY893o6EKlyIqlPhQN7g_3_13"/>
      <w:bookmarkStart w:id="761" w:name="Tc_qLaXTLabgkKipbIgxFqHyw_2_13"/>
      <w:bookmarkStart w:id="762" w:name="Tc_moB4fXj9QEaR9PSN9UW3Ww_1_2"/>
      <w:bookmarkStart w:id="763" w:name="_5647ff73_49f4_4ca4_ac27_744d3f2cb2d0"/>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p>
    <w:tbl>
      <w:tblPr>
        <w:tblW w:w="10412" w:type="dxa"/>
        <w:jc w:val="left"/>
        <w:tblInd w:w="0" w:type="dxa"/>
        <w:tblLayout w:type="fixed"/>
        <w:tblCellMar>
          <w:top w:w="0" w:type="dxa"/>
          <w:left w:w="0" w:type="dxa"/>
          <w:bottom w:w="0" w:type="dxa"/>
          <w:right w:w="0" w:type="dxa"/>
        </w:tblCellMar>
      </w:tblPr>
      <w:tblGrid>
        <w:gridCol w:w="856"/>
        <w:gridCol w:w="346"/>
        <w:gridCol w:w="481"/>
        <w:gridCol w:w="346"/>
        <w:gridCol w:w="346"/>
        <w:gridCol w:w="346"/>
        <w:gridCol w:w="346"/>
        <w:gridCol w:w="346"/>
        <w:gridCol w:w="541"/>
        <w:gridCol w:w="346"/>
        <w:gridCol w:w="376"/>
        <w:gridCol w:w="540"/>
        <w:gridCol w:w="346"/>
        <w:gridCol w:w="228"/>
        <w:gridCol w:w="748"/>
        <w:gridCol w:w="346"/>
        <w:gridCol w:w="346"/>
        <w:gridCol w:w="496"/>
        <w:gridCol w:w="346"/>
        <w:gridCol w:w="425"/>
        <w:gridCol w:w="536"/>
        <w:gridCol w:w="346"/>
        <w:gridCol w:w="346"/>
        <w:gridCol w:w="496"/>
        <w:gridCol w:w="191"/>
      </w:tblGrid>
      <w:tr>
        <w:trPr/>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43560" cy="175260"/>
                      <wp:effectExtent l="0" t="0" r="0" b="0"/>
                      <wp:wrapNone/>
                      <wp:docPr id="76" name="Frame76"/>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77"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305435" cy="175260"/>
                      <wp:effectExtent l="0" t="0" r="0" b="0"/>
                      <wp:wrapNone/>
                      <wp:docPr id="78" name="Frame78"/>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710" cy="175260"/>
                      <wp:effectExtent l="0" t="0" r="0" b="0"/>
                      <wp:wrapNone/>
                      <wp:docPr id="79" name="Frame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19710" cy="175260"/>
                      <wp:effectExtent l="0" t="0" r="0" b="0"/>
                      <wp:wrapNone/>
                      <wp:docPr id="80" name="Frame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81"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9710" cy="175260"/>
                      <wp:effectExtent l="0" t="0" r="0" b="0"/>
                      <wp:wrapNone/>
                      <wp:docPr id="82" name="Frame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3" name="Frame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343535" cy="175260"/>
                      <wp:effectExtent l="0" t="0" r="0" b="0"/>
                      <wp:wrapNone/>
                      <wp:docPr id="84" name="Frame84"/>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19710" cy="175260"/>
                      <wp:effectExtent l="0" t="0" r="0" b="0"/>
                      <wp:wrapNone/>
                      <wp:docPr id="85"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38760" cy="175260"/>
                      <wp:effectExtent l="0" t="0" r="0" b="0"/>
                      <wp:wrapNone/>
                      <wp:docPr id="86" name="Frame86"/>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342900" cy="175260"/>
                      <wp:effectExtent l="0" t="0" r="0" b="0"/>
                      <wp:wrapNone/>
                      <wp:docPr id="87" name="Frame87"/>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9710" cy="175260"/>
                      <wp:effectExtent l="0" t="0" r="0" b="0"/>
                      <wp:wrapNone/>
                      <wp:docPr id="88" name="Frame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44780" cy="175260"/>
                      <wp:effectExtent l="0" t="0" r="0" b="0"/>
                      <wp:wrapNone/>
                      <wp:docPr id="89" name="Frame89"/>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474980" cy="175260"/>
                      <wp:effectExtent l="0" t="0" r="0" b="0"/>
                      <wp:wrapNone/>
                      <wp:docPr id="90" name="Frame90"/>
                      <a:graphic xmlns:a="http://schemas.openxmlformats.org/drawingml/2006/main">
                        <a:graphicData uri="http://schemas.microsoft.com/office/word/2010/wordprocessingShape">
                          <wps:wsp>
                            <wps:cNvSpPr txBox="1"/>
                            <wps:spPr>
                              <a:xfrm>
                                <a:off x="0" y="0"/>
                                <a:ext cx="4749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9710" cy="175260"/>
                      <wp:effectExtent l="0" t="0" r="0" b="0"/>
                      <wp:wrapNone/>
                      <wp:docPr id="91" name="Frame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2" name="Frame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314960" cy="175260"/>
                      <wp:effectExtent l="0" t="0" r="0" b="0"/>
                      <wp:wrapNone/>
                      <wp:docPr id="93" name="Frame93"/>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9710" cy="175260"/>
                      <wp:effectExtent l="0" t="0" r="0" b="0"/>
                      <wp:wrapNone/>
                      <wp:docPr id="94"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69875" cy="175260"/>
                      <wp:effectExtent l="0" t="0" r="0" b="0"/>
                      <wp:wrapNone/>
                      <wp:docPr id="95" name="Frame95"/>
                      <a:graphic xmlns:a="http://schemas.openxmlformats.org/drawingml/2006/main">
                        <a:graphicData uri="http://schemas.microsoft.com/office/word/2010/wordprocessingShape">
                          <wps:wsp>
                            <wps:cNvSpPr txBox="1"/>
                            <wps:spPr>
                              <a:xfrm>
                                <a:off x="0" y="0"/>
                                <a:ext cx="2698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340360" cy="175260"/>
                      <wp:effectExtent l="0" t="0" r="0" b="0"/>
                      <wp:wrapNone/>
                      <wp:docPr id="96" name="Frame96"/>
                      <a:graphic xmlns:a="http://schemas.openxmlformats.org/drawingml/2006/main">
                        <a:graphicData uri="http://schemas.microsoft.com/office/word/2010/wordprocessingShape">
                          <wps:wsp>
                            <wps:cNvSpPr txBox="1"/>
                            <wps:spPr>
                              <a:xfrm>
                                <a:off x="0" y="0"/>
                                <a:ext cx="3403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9710" cy="175260"/>
                      <wp:effectExtent l="0" t="0" r="0" b="0"/>
                      <wp:wrapNone/>
                      <wp:docPr id="97" name="Frame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19710" cy="175260"/>
                      <wp:effectExtent l="0" t="0" r="0" b="0"/>
                      <wp:wrapNone/>
                      <wp:docPr id="98" name="Frame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314960" cy="175260"/>
                      <wp:effectExtent l="0" t="0" r="0" b="0"/>
                      <wp:wrapNone/>
                      <wp:docPr id="99" name="Frame99"/>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21285" cy="175260"/>
                      <wp:effectExtent l="0" t="0" r="0" b="0"/>
                      <wp:wrapNone/>
                      <wp:docPr id="100" name="Frame100"/>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85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9019" w:type="dxa"/>
            <w:gridSpan w:val="2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Stockholders’ Equity of the Company</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85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481" w:type="dxa"/>
            <w:tcBorders/>
            <w:vAlign w:val="center"/>
          </w:tcPr>
          <w:p>
            <w:pPr>
              <w:pStyle w:val="TableContents"/>
              <w:bidi w:val="0"/>
              <w:spacing w:lineRule="auto" w:line="285" w:before="0" w:after="0"/>
              <w:ind w:left="0" w:right="0" w:hanging="0"/>
              <w:jc w:val="center"/>
              <w:rPr/>
            </w:pPr>
            <w:r>
              <w:rPr/>
              <w:t>  ​ ​ ​</w:t>
            </w:r>
          </w:p>
        </w:tc>
        <w:tc>
          <w:tcPr>
            <w:tcW w:w="346" w:type="dxa"/>
            <w:tcBorders/>
            <w:vAlign w:val="center"/>
          </w:tcPr>
          <w:p>
            <w:pPr>
              <w:pStyle w:val="TableContents"/>
              <w:bidi w:val="0"/>
              <w:spacing w:lineRule="auto" w:line="285" w:before="0" w:after="0"/>
              <w:ind w:left="0" w:right="0" w:hanging="0"/>
              <w:jc w:val="center"/>
              <w:rPr/>
            </w:pPr>
            <w:r>
              <w:rPr/>
              <w:t>  ​ ​ ​</w:t>
            </w:r>
          </w:p>
        </w:tc>
        <w:tc>
          <w:tcPr>
            <w:tcW w:w="346" w:type="dxa"/>
            <w:tcBorders/>
            <w:vAlign w:val="center"/>
          </w:tcPr>
          <w:p>
            <w:pPr>
              <w:pStyle w:val="TableContents"/>
              <w:bidi w:val="0"/>
              <w:spacing w:lineRule="auto" w:line="285" w:before="0" w:after="0"/>
              <w:ind w:left="0" w:right="0" w:hanging="0"/>
              <w:jc w:val="left"/>
              <w:rPr/>
            </w:pPr>
            <w:r>
              <w:rPr/>
              <w:t>  ​ ​ ​</w:t>
            </w:r>
          </w:p>
        </w:tc>
        <w:tc>
          <w:tcPr>
            <w:tcW w:w="34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346" w:type="dxa"/>
            <w:tcBorders/>
            <w:vAlign w:val="center"/>
          </w:tcPr>
          <w:p>
            <w:pPr>
              <w:pStyle w:val="TableContents"/>
              <w:bidi w:val="0"/>
              <w:spacing w:lineRule="auto" w:line="285" w:before="0" w:after="0"/>
              <w:ind w:left="0" w:right="0" w:hanging="0"/>
              <w:jc w:val="left"/>
              <w:rPr/>
            </w:pPr>
            <w:r>
              <w:rPr/>
              <w:t>  ​ ​ ​</w:t>
            </w:r>
          </w:p>
        </w:tc>
        <w:tc>
          <w:tcPr>
            <w:tcW w:w="54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376" w:type="dxa"/>
            <w:tcBorders/>
            <w:vAlign w:val="center"/>
          </w:tcPr>
          <w:p>
            <w:pPr>
              <w:pStyle w:val="TableContents"/>
              <w:bidi w:val="0"/>
              <w:spacing w:lineRule="auto" w:line="285" w:before="0" w:after="0"/>
              <w:ind w:left="0" w:right="0" w:hanging="0"/>
              <w:jc w:val="left"/>
              <w:rPr/>
            </w:pPr>
            <w:r>
              <w:rPr/>
              <w:t>  ​ ​ ​</w:t>
            </w:r>
          </w:p>
        </w:tc>
        <w:tc>
          <w:tcPr>
            <w:tcW w:w="540"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97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Accumulated</w:t>
            </w:r>
          </w:p>
        </w:tc>
        <w:tc>
          <w:tcPr>
            <w:tcW w:w="346" w:type="dxa"/>
            <w:tcBorders/>
            <w:vAlign w:val="center"/>
          </w:tcPr>
          <w:p>
            <w:pPr>
              <w:pStyle w:val="TableContents"/>
              <w:bidi w:val="0"/>
              <w:spacing w:lineRule="auto" w:line="285" w:before="0" w:after="0"/>
              <w:ind w:left="0" w:right="0" w:hanging="0"/>
              <w:jc w:val="center"/>
              <w:rPr/>
            </w:pPr>
            <w:r>
              <w:rPr/>
              <w:t>  ​ ​ ​</w:t>
            </w:r>
          </w:p>
        </w:tc>
        <w:tc>
          <w:tcPr>
            <w:tcW w:w="346" w:type="dxa"/>
            <w:tcBorders/>
            <w:vAlign w:val="center"/>
          </w:tcPr>
          <w:p>
            <w:pPr>
              <w:pStyle w:val="TableContents"/>
              <w:bidi w:val="0"/>
              <w:spacing w:lineRule="auto" w:line="285" w:before="0" w:after="0"/>
              <w:ind w:left="0" w:right="0" w:hanging="0"/>
              <w:jc w:val="center"/>
              <w:rPr/>
            </w:pPr>
            <w:r>
              <w:rPr/>
              <w:t>  ​ ​ ​</w:t>
            </w:r>
          </w:p>
        </w:tc>
        <w:tc>
          <w:tcPr>
            <w:tcW w:w="49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425" w:type="dxa"/>
            <w:tcBorders/>
            <w:vAlign w:val="center"/>
          </w:tcPr>
          <w:p>
            <w:pPr>
              <w:pStyle w:val="TableContents"/>
              <w:bidi w:val="0"/>
              <w:spacing w:lineRule="auto" w:line="285" w:before="0" w:after="0"/>
              <w:ind w:left="0" w:right="0" w:hanging="0"/>
              <w:jc w:val="left"/>
              <w:rPr/>
            </w:pPr>
            <w:r>
              <w:rPr/>
              <w:t>  ​ ​ ​</w:t>
            </w:r>
          </w:p>
        </w:tc>
        <w:tc>
          <w:tcPr>
            <w:tcW w:w="53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346" w:type="dxa"/>
            <w:tcBorders/>
            <w:vAlign w:val="center"/>
          </w:tcPr>
          <w:p>
            <w:pPr>
              <w:pStyle w:val="TableContents"/>
              <w:bidi w:val="0"/>
              <w:spacing w:lineRule="auto" w:line="285" w:before="0" w:after="0"/>
              <w:ind w:left="0" w:right="0" w:hanging="0"/>
              <w:jc w:val="left"/>
              <w:rPr/>
            </w:pPr>
            <w:r>
              <w:rPr/>
              <w:t>  ​ ​ ​</w:t>
            </w:r>
          </w:p>
        </w:tc>
        <w:tc>
          <w:tcPr>
            <w:tcW w:w="496"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85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48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376" w:type="dxa"/>
            <w:tcBorders/>
            <w:vAlign w:val="center"/>
          </w:tcPr>
          <w:p>
            <w:pPr>
              <w:pStyle w:val="TableContents"/>
              <w:bidi w:val="0"/>
              <w:spacing w:lineRule="auto" w:line="285" w:before="0" w:after="0"/>
              <w:ind w:left="0" w:right="0" w:hanging="0"/>
              <w:jc w:val="left"/>
              <w:rPr/>
            </w:pPr>
            <w:r>
              <w:rPr/>
              <w:t>​</w:t>
            </w:r>
          </w:p>
        </w:tc>
        <w:tc>
          <w:tcPr>
            <w:tcW w:w="540"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97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Other</w:t>
            </w:r>
          </w:p>
        </w:tc>
        <w:tc>
          <w:tcPr>
            <w:tcW w:w="34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49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425" w:type="dxa"/>
            <w:tcBorders/>
            <w:vAlign w:val="center"/>
          </w:tcPr>
          <w:p>
            <w:pPr>
              <w:pStyle w:val="TableContents"/>
              <w:bidi w:val="0"/>
              <w:spacing w:lineRule="auto" w:line="285" w:before="0" w:after="0"/>
              <w:ind w:left="0" w:right="0" w:hanging="0"/>
              <w:jc w:val="left"/>
              <w:rPr/>
            </w:pPr>
            <w:r>
              <w:rPr/>
              <w:t>​</w:t>
            </w:r>
          </w:p>
        </w:tc>
        <w:tc>
          <w:tcPr>
            <w:tcW w:w="53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96"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85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519" w:type="dxa"/>
            <w:gridSpan w:val="4"/>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Common Stock</w:t>
            </w:r>
          </w:p>
        </w:tc>
        <w:tc>
          <w:tcPr>
            <w:tcW w:w="346" w:type="dxa"/>
            <w:tcBorders/>
            <w:vAlign w:val="center"/>
          </w:tcPr>
          <w:p>
            <w:pPr>
              <w:pStyle w:val="TableContents"/>
              <w:bidi w:val="0"/>
              <w:spacing w:lineRule="auto" w:line="285" w:before="0" w:after="0"/>
              <w:ind w:left="0" w:right="0" w:hanging="0"/>
              <w:jc w:val="center"/>
              <w:rPr/>
            </w:pPr>
            <w:r>
              <w:rPr/>
              <w:t>​</w:t>
            </w:r>
          </w:p>
        </w:tc>
        <w:tc>
          <w:tcPr>
            <w:tcW w:w="887"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Treasury</w:t>
            </w:r>
          </w:p>
        </w:tc>
        <w:tc>
          <w:tcPr>
            <w:tcW w:w="346" w:type="dxa"/>
            <w:tcBorders/>
            <w:vAlign w:val="center"/>
          </w:tcPr>
          <w:p>
            <w:pPr>
              <w:pStyle w:val="TableContents"/>
              <w:bidi w:val="0"/>
              <w:spacing w:lineRule="auto" w:line="285" w:before="0" w:after="0"/>
              <w:ind w:left="0" w:right="0" w:hanging="0"/>
              <w:jc w:val="center"/>
              <w:rPr/>
            </w:pPr>
            <w:r>
              <w:rPr/>
              <w:t>​</w:t>
            </w:r>
          </w:p>
        </w:tc>
        <w:tc>
          <w:tcPr>
            <w:tcW w:w="91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Additional</w:t>
            </w:r>
          </w:p>
        </w:tc>
        <w:tc>
          <w:tcPr>
            <w:tcW w:w="346" w:type="dxa"/>
            <w:tcBorders/>
            <w:vAlign w:val="center"/>
          </w:tcPr>
          <w:p>
            <w:pPr>
              <w:pStyle w:val="TableContents"/>
              <w:bidi w:val="0"/>
              <w:spacing w:lineRule="auto" w:line="285" w:before="0" w:after="0"/>
              <w:ind w:left="0" w:right="0" w:hanging="0"/>
              <w:jc w:val="center"/>
              <w:rPr/>
            </w:pPr>
            <w:r>
              <w:rPr/>
              <w:t>​</w:t>
            </w:r>
          </w:p>
        </w:tc>
        <w:tc>
          <w:tcPr>
            <w:tcW w:w="97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Comprehensive</w:t>
            </w:r>
          </w:p>
        </w:tc>
        <w:tc>
          <w:tcPr>
            <w:tcW w:w="346" w:type="dxa"/>
            <w:tcBorders/>
            <w:vAlign w:val="center"/>
          </w:tcPr>
          <w:p>
            <w:pPr>
              <w:pStyle w:val="TableContents"/>
              <w:bidi w:val="0"/>
              <w:spacing w:lineRule="auto" w:line="285" w:before="0" w:after="0"/>
              <w:ind w:left="0" w:right="0" w:hanging="0"/>
              <w:jc w:val="center"/>
              <w:rPr/>
            </w:pPr>
            <w:r>
              <w:rPr/>
              <w:t>​</w:t>
            </w:r>
          </w:p>
        </w:tc>
        <w:tc>
          <w:tcPr>
            <w:tcW w:w="842"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Retained</w:t>
            </w:r>
          </w:p>
        </w:tc>
        <w:tc>
          <w:tcPr>
            <w:tcW w:w="346" w:type="dxa"/>
            <w:tcBorders/>
            <w:vAlign w:val="center"/>
          </w:tcPr>
          <w:p>
            <w:pPr>
              <w:pStyle w:val="TableContents"/>
              <w:bidi w:val="0"/>
              <w:spacing w:lineRule="auto" w:line="285" w:before="0" w:after="0"/>
              <w:ind w:left="0" w:right="0" w:hanging="0"/>
              <w:jc w:val="center"/>
              <w:rPr/>
            </w:pPr>
            <w:r>
              <w:rPr/>
              <w:t>​</w:t>
            </w:r>
          </w:p>
        </w:tc>
        <w:tc>
          <w:tcPr>
            <w:tcW w:w="961"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Noncontrolling</w:t>
            </w:r>
          </w:p>
        </w:tc>
        <w:tc>
          <w:tcPr>
            <w:tcW w:w="34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96"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85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48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Shares</w:t>
            </w:r>
          </w:p>
        </w:tc>
        <w:tc>
          <w:tcPr>
            <w:tcW w:w="346" w:type="dxa"/>
            <w:tcBorders/>
            <w:vAlign w:val="center"/>
          </w:tcPr>
          <w:p>
            <w:pPr>
              <w:pStyle w:val="TableContents"/>
              <w:bidi w:val="0"/>
              <w:spacing w:lineRule="auto" w:line="285" w:before="0" w:after="0"/>
              <w:ind w:left="0" w:right="0" w:hanging="0"/>
              <w:jc w:val="center"/>
              <w:rPr/>
            </w:pPr>
            <w:r>
              <w:rPr/>
              <w:t>​</w:t>
            </w:r>
          </w:p>
        </w:tc>
        <w:tc>
          <w:tcPr>
            <w:tcW w:w="6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Amount</w:t>
            </w:r>
          </w:p>
        </w:tc>
        <w:tc>
          <w:tcPr>
            <w:tcW w:w="346" w:type="dxa"/>
            <w:tcBorders/>
            <w:vAlign w:val="center"/>
          </w:tcPr>
          <w:p>
            <w:pPr>
              <w:pStyle w:val="TableContents"/>
              <w:bidi w:val="0"/>
              <w:spacing w:lineRule="auto" w:line="285"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Stock</w:t>
            </w:r>
          </w:p>
        </w:tc>
        <w:tc>
          <w:tcPr>
            <w:tcW w:w="346" w:type="dxa"/>
            <w:tcBorders/>
            <w:vAlign w:val="center"/>
          </w:tcPr>
          <w:p>
            <w:pPr>
              <w:pStyle w:val="TableContents"/>
              <w:bidi w:val="0"/>
              <w:spacing w:lineRule="auto" w:line="285" w:before="0" w:after="0"/>
              <w:ind w:left="0" w:right="0" w:hanging="0"/>
              <w:jc w:val="center"/>
              <w:rPr/>
            </w:pPr>
            <w:r>
              <w:rPr/>
              <w:t>​</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Paid-in Capital</w:t>
            </w:r>
          </w:p>
        </w:tc>
        <w:tc>
          <w:tcPr>
            <w:tcW w:w="346" w:type="dxa"/>
            <w:tcBorders/>
            <w:vAlign w:val="center"/>
          </w:tcPr>
          <w:p>
            <w:pPr>
              <w:pStyle w:val="TableContents"/>
              <w:bidi w:val="0"/>
              <w:spacing w:lineRule="auto" w:line="285" w:before="0" w:after="0"/>
              <w:ind w:left="0" w:right="0" w:hanging="0"/>
              <w:jc w:val="center"/>
              <w:rPr/>
            </w:pPr>
            <w:r>
              <w:rPr/>
              <w:t>​</w:t>
            </w:r>
          </w:p>
        </w:tc>
        <w:tc>
          <w:tcPr>
            <w:tcW w:w="97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Income (Loss)</w:t>
            </w:r>
          </w:p>
        </w:tc>
        <w:tc>
          <w:tcPr>
            <w:tcW w:w="346" w:type="dxa"/>
            <w:tcBorders/>
            <w:vAlign w:val="center"/>
          </w:tcPr>
          <w:p>
            <w:pPr>
              <w:pStyle w:val="TableContents"/>
              <w:bidi w:val="0"/>
              <w:spacing w:lineRule="auto" w:line="285" w:before="0" w:after="0"/>
              <w:ind w:left="0" w:right="0" w:hanging="0"/>
              <w:jc w:val="center"/>
              <w:rPr/>
            </w:pPr>
            <w:r>
              <w:rPr/>
              <w:t>​</w:t>
            </w:r>
          </w:p>
        </w:tc>
        <w:tc>
          <w:tcPr>
            <w:tcW w:w="84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Earnings</w:t>
            </w:r>
          </w:p>
        </w:tc>
        <w:tc>
          <w:tcPr>
            <w:tcW w:w="346" w:type="dxa"/>
            <w:tcBorders/>
            <w:vAlign w:val="center"/>
          </w:tcPr>
          <w:p>
            <w:pPr>
              <w:pStyle w:val="TableContents"/>
              <w:bidi w:val="0"/>
              <w:spacing w:lineRule="auto" w:line="285" w:before="0" w:after="0"/>
              <w:ind w:left="0" w:right="0" w:hanging="0"/>
              <w:jc w:val="center"/>
              <w:rPr/>
            </w:pPr>
            <w:r>
              <w:rPr/>
              <w:t>​</w:t>
            </w:r>
          </w:p>
        </w:tc>
        <w:tc>
          <w:tcPr>
            <w:tcW w:w="96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interest</w:t>
            </w:r>
          </w:p>
        </w:tc>
        <w:tc>
          <w:tcPr>
            <w:tcW w:w="346" w:type="dxa"/>
            <w:tcBorders/>
            <w:vAlign w:val="center"/>
          </w:tcPr>
          <w:p>
            <w:pPr>
              <w:pStyle w:val="TableContents"/>
              <w:bidi w:val="0"/>
              <w:spacing w:lineRule="auto" w:line="285" w:before="0" w:after="0"/>
              <w:ind w:left="0" w:right="0" w:hanging="0"/>
              <w:jc w:val="center"/>
              <w:rPr/>
            </w:pPr>
            <w:r>
              <w:rPr/>
              <w:t>​</w:t>
            </w:r>
          </w:p>
        </w:tc>
        <w:tc>
          <w:tcPr>
            <w:tcW w:w="84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Total Equity</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85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2"/>
              </w:rPr>
            </w:pPr>
            <w:r>
              <w:rPr>
                <w:rFonts w:ascii="Arial;Helvetica;sans-serif" w:hAnsi="Arial;Helvetica;sans-serif"/>
                <w:b/>
                <w:sz w:val="12"/>
              </w:rPr>
              <w:t>Balance as of December 31, 2024</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47,749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477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4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(584,900)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4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420,181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74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(132,121)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546,617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2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17,865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268,119</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856" w:type="dxa"/>
            <w:tcBorders/>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Net (loss) income</w:t>
            </w:r>
          </w:p>
        </w:tc>
        <w:tc>
          <w:tcPr>
            <w:tcW w:w="346" w:type="dxa"/>
            <w:tcBorders/>
            <w:vAlign w:val="center"/>
          </w:tcPr>
          <w:p>
            <w:pPr>
              <w:pStyle w:val="TableContents"/>
              <w:bidi w:val="0"/>
              <w:spacing w:lineRule="auto" w:line="285" w:before="0" w:after="0"/>
              <w:ind w:left="0" w:right="0" w:hanging="0"/>
              <w:jc w:val="left"/>
              <w:rPr/>
            </w:pPr>
            <w:r>
              <w:rPr/>
              <w:t> </w:t>
            </w:r>
          </w:p>
        </w:tc>
        <w:tc>
          <w:tcPr>
            <w:tcW w:w="48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34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54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76" w:type="dxa"/>
            <w:tcBorders/>
            <w:vAlign w:val="center"/>
          </w:tcPr>
          <w:p>
            <w:pPr>
              <w:pStyle w:val="TableContents"/>
              <w:bidi w:val="0"/>
              <w:spacing w:lineRule="auto" w:line="285" w:before="0" w:after="0"/>
              <w:ind w:left="0" w:right="0" w:hanging="0"/>
              <w:jc w:val="left"/>
              <w:rPr/>
            </w:pPr>
            <w:r>
              <w:rPr/>
              <w:t> </w:t>
            </w:r>
          </w:p>
        </w:tc>
        <w:tc>
          <w:tcPr>
            <w:tcW w:w="540"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8" w:type="dxa"/>
            <w:tcBorders/>
            <w:vAlign w:val="center"/>
          </w:tcPr>
          <w:p>
            <w:pPr>
              <w:pStyle w:val="TableContents"/>
              <w:bidi w:val="0"/>
              <w:spacing w:lineRule="auto" w:line="285" w:before="0" w:after="0"/>
              <w:ind w:left="0" w:right="0" w:hanging="0"/>
              <w:jc w:val="left"/>
              <w:rPr/>
            </w:pPr>
            <w:r>
              <w:rPr/>
              <w:t> </w:t>
            </w:r>
          </w:p>
        </w:tc>
        <w:tc>
          <w:tcPr>
            <w:tcW w:w="748"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right"/>
              <w:rPr/>
            </w:pPr>
            <w:r>
              <w:rPr/>
              <w:t>​</w:t>
            </w:r>
          </w:p>
        </w:tc>
        <w:tc>
          <w:tcPr>
            <w:tcW w:w="496"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(6,603)</w:t>
            </w:r>
          </w:p>
        </w:tc>
        <w:tc>
          <w:tcPr>
            <w:tcW w:w="346" w:type="dxa"/>
            <w:tcBorders/>
            <w:vAlign w:val="center"/>
          </w:tcPr>
          <w:p>
            <w:pPr>
              <w:pStyle w:val="TableContents"/>
              <w:bidi w:val="0"/>
              <w:spacing w:lineRule="auto" w:line="285" w:before="0" w:after="0"/>
              <w:ind w:left="0" w:right="0" w:hanging="0"/>
              <w:jc w:val="left"/>
              <w:rPr/>
            </w:pPr>
            <w:r>
              <w:rPr/>
              <w:t>​</w:t>
            </w:r>
          </w:p>
        </w:tc>
        <w:tc>
          <w:tcPr>
            <w:tcW w:w="425" w:type="dxa"/>
            <w:tcBorders/>
            <w:vAlign w:val="center"/>
          </w:tcPr>
          <w:p>
            <w:pPr>
              <w:pStyle w:val="TableContents"/>
              <w:bidi w:val="0"/>
              <w:spacing w:lineRule="auto" w:line="285" w:before="0" w:after="0"/>
              <w:ind w:left="0" w:right="0" w:hanging="0"/>
              <w:jc w:val="left"/>
              <w:rPr/>
            </w:pPr>
            <w:r>
              <w:rPr/>
              <w:t> </w:t>
            </w:r>
          </w:p>
        </w:tc>
        <w:tc>
          <w:tcPr>
            <w:tcW w:w="536"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3,125</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496"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(3,478)</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85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Payments distributed to noncontrolling interest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48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54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76" w:type="dxa"/>
            <w:tcBorders/>
            <w:shd w:fill="CCEEFF" w:val="clear"/>
            <w:vAlign w:val="center"/>
          </w:tcPr>
          <w:p>
            <w:pPr>
              <w:pStyle w:val="TableContents"/>
              <w:bidi w:val="0"/>
              <w:spacing w:lineRule="auto" w:line="285" w:before="0" w:after="0"/>
              <w:ind w:left="0" w:right="0" w:hanging="0"/>
              <w:jc w:val="left"/>
              <w:rPr/>
            </w:pPr>
            <w:r>
              <w:rPr/>
              <w:t> </w:t>
            </w:r>
          </w:p>
        </w:tc>
        <w:tc>
          <w:tcPr>
            <w:tcW w:w="540"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8" w:type="dxa"/>
            <w:tcBorders/>
            <w:shd w:fill="CCEEFF" w:val="clear"/>
            <w:vAlign w:val="center"/>
          </w:tcPr>
          <w:p>
            <w:pPr>
              <w:pStyle w:val="TableContents"/>
              <w:bidi w:val="0"/>
              <w:spacing w:lineRule="auto" w:line="285" w:before="0" w:after="0"/>
              <w:ind w:left="0" w:right="0" w:hanging="0"/>
              <w:jc w:val="left"/>
              <w:rPr/>
            </w:pPr>
            <w:r>
              <w:rPr/>
              <w:t> </w:t>
            </w:r>
          </w:p>
        </w:tc>
        <w:tc>
          <w:tcPr>
            <w:tcW w:w="748"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right"/>
              <w:rPr/>
            </w:pPr>
            <w:r>
              <w:rPr/>
              <w:t> </w:t>
            </w:r>
          </w:p>
        </w:tc>
        <w:tc>
          <w:tcPr>
            <w:tcW w:w="49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25" w:type="dxa"/>
            <w:tcBorders/>
            <w:shd w:fill="CCEEFF" w:val="clear"/>
            <w:vAlign w:val="center"/>
          </w:tcPr>
          <w:p>
            <w:pPr>
              <w:pStyle w:val="TableContents"/>
              <w:bidi w:val="0"/>
              <w:spacing w:lineRule="auto" w:line="285" w:before="0" w:after="0"/>
              <w:ind w:left="0" w:right="0" w:hanging="0"/>
              <w:jc w:val="left"/>
              <w:rPr/>
            </w:pPr>
            <w:r>
              <w:rPr/>
              <w:t> </w:t>
            </w:r>
          </w:p>
        </w:tc>
        <w:tc>
          <w:tcPr>
            <w:tcW w:w="53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(4,101)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49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(4,101)</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856" w:type="dxa"/>
            <w:tcBorders/>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Foreign currency translation adjustments</w:t>
            </w:r>
          </w:p>
        </w:tc>
        <w:tc>
          <w:tcPr>
            <w:tcW w:w="346" w:type="dxa"/>
            <w:tcBorders/>
            <w:vAlign w:val="center"/>
          </w:tcPr>
          <w:p>
            <w:pPr>
              <w:pStyle w:val="TableContents"/>
              <w:bidi w:val="0"/>
              <w:spacing w:lineRule="auto" w:line="285" w:before="0" w:after="0"/>
              <w:ind w:left="0" w:right="0" w:hanging="0"/>
              <w:jc w:val="left"/>
              <w:rPr/>
            </w:pPr>
            <w:r>
              <w:rPr/>
              <w:t> </w:t>
            </w:r>
          </w:p>
        </w:tc>
        <w:tc>
          <w:tcPr>
            <w:tcW w:w="48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34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54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76" w:type="dxa"/>
            <w:tcBorders/>
            <w:vAlign w:val="center"/>
          </w:tcPr>
          <w:p>
            <w:pPr>
              <w:pStyle w:val="TableContents"/>
              <w:bidi w:val="0"/>
              <w:spacing w:lineRule="auto" w:line="285" w:before="0" w:after="0"/>
              <w:ind w:left="0" w:right="0" w:hanging="0"/>
              <w:jc w:val="left"/>
              <w:rPr/>
            </w:pPr>
            <w:r>
              <w:rPr/>
              <w:t> </w:t>
            </w:r>
          </w:p>
        </w:tc>
        <w:tc>
          <w:tcPr>
            <w:tcW w:w="540"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8" w:type="dxa"/>
            <w:tcBorders/>
            <w:vAlign w:val="center"/>
          </w:tcPr>
          <w:p>
            <w:pPr>
              <w:pStyle w:val="TableContents"/>
              <w:bidi w:val="0"/>
              <w:spacing w:lineRule="auto" w:line="285" w:before="0" w:after="0"/>
              <w:ind w:left="0" w:right="0" w:hanging="0"/>
              <w:jc w:val="left"/>
              <w:rPr/>
            </w:pPr>
            <w:r>
              <w:rPr/>
              <w:t> </w:t>
            </w:r>
          </w:p>
        </w:tc>
        <w:tc>
          <w:tcPr>
            <w:tcW w:w="748"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22,480</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right"/>
              <w:rPr/>
            </w:pPr>
            <w:r>
              <w:rPr/>
              <w:t> </w:t>
            </w:r>
          </w:p>
        </w:tc>
        <w:tc>
          <w:tcPr>
            <w:tcW w:w="49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25" w:type="dxa"/>
            <w:tcBorders/>
            <w:vAlign w:val="center"/>
          </w:tcPr>
          <w:p>
            <w:pPr>
              <w:pStyle w:val="TableContents"/>
              <w:bidi w:val="0"/>
              <w:spacing w:lineRule="auto" w:line="285" w:before="0" w:after="0"/>
              <w:ind w:left="0" w:right="0" w:hanging="0"/>
              <w:jc w:val="left"/>
              <w:rPr/>
            </w:pPr>
            <w:r>
              <w:rPr/>
              <w:t> </w:t>
            </w:r>
          </w:p>
        </w:tc>
        <w:tc>
          <w:tcPr>
            <w:tcW w:w="536"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401</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496"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22,881</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85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Derivatives valuation, net of tax</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48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54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76" w:type="dxa"/>
            <w:tcBorders/>
            <w:shd w:fill="CCEEFF" w:val="clear"/>
            <w:vAlign w:val="center"/>
          </w:tcPr>
          <w:p>
            <w:pPr>
              <w:pStyle w:val="TableContents"/>
              <w:bidi w:val="0"/>
              <w:spacing w:lineRule="auto" w:line="285" w:before="0" w:after="0"/>
              <w:ind w:left="0" w:right="0" w:hanging="0"/>
              <w:jc w:val="left"/>
              <w:rPr/>
            </w:pPr>
            <w:r>
              <w:rPr/>
              <w:t> </w:t>
            </w:r>
          </w:p>
        </w:tc>
        <w:tc>
          <w:tcPr>
            <w:tcW w:w="540"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8" w:type="dxa"/>
            <w:tcBorders/>
            <w:shd w:fill="CCEEFF" w:val="clear"/>
            <w:vAlign w:val="center"/>
          </w:tcPr>
          <w:p>
            <w:pPr>
              <w:pStyle w:val="TableContents"/>
              <w:bidi w:val="0"/>
              <w:spacing w:lineRule="auto" w:line="285" w:before="0" w:after="0"/>
              <w:ind w:left="0" w:right="0" w:hanging="0"/>
              <w:jc w:val="left"/>
              <w:rPr/>
            </w:pPr>
            <w:r>
              <w:rPr/>
              <w:t> </w:t>
            </w:r>
          </w:p>
        </w:tc>
        <w:tc>
          <w:tcPr>
            <w:tcW w:w="748"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5,221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right"/>
              <w:rPr/>
            </w:pPr>
            <w:r>
              <w:rPr/>
              <w:t> </w:t>
            </w:r>
          </w:p>
        </w:tc>
        <w:tc>
          <w:tcPr>
            <w:tcW w:w="49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25" w:type="dxa"/>
            <w:tcBorders/>
            <w:shd w:fill="CCEEFF" w:val="clear"/>
            <w:vAlign w:val="center"/>
          </w:tcPr>
          <w:p>
            <w:pPr>
              <w:pStyle w:val="TableContents"/>
              <w:bidi w:val="0"/>
              <w:spacing w:lineRule="auto" w:line="285" w:before="0" w:after="0"/>
              <w:ind w:left="0" w:right="0" w:hanging="0"/>
              <w:jc w:val="left"/>
              <w:rPr/>
            </w:pPr>
            <w:r>
              <w:rPr/>
              <w:t> </w:t>
            </w:r>
          </w:p>
        </w:tc>
        <w:tc>
          <w:tcPr>
            <w:tcW w:w="53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49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5,221</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856" w:type="dxa"/>
            <w:tcBorders/>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Vesting of restricted stock units</w:t>
            </w:r>
          </w:p>
        </w:tc>
        <w:tc>
          <w:tcPr>
            <w:tcW w:w="346" w:type="dxa"/>
            <w:tcBorders/>
            <w:vAlign w:val="center"/>
          </w:tcPr>
          <w:p>
            <w:pPr>
              <w:pStyle w:val="TableContents"/>
              <w:bidi w:val="0"/>
              <w:spacing w:lineRule="auto" w:line="285" w:before="0" w:after="0"/>
              <w:ind w:left="0" w:right="0" w:hanging="0"/>
              <w:jc w:val="left"/>
              <w:rPr/>
            </w:pPr>
            <w:r>
              <w:rPr/>
              <w:t> </w:t>
            </w:r>
          </w:p>
        </w:tc>
        <w:tc>
          <w:tcPr>
            <w:tcW w:w="481"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651</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346"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7</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54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76" w:type="dxa"/>
            <w:tcBorders/>
            <w:vAlign w:val="center"/>
          </w:tcPr>
          <w:p>
            <w:pPr>
              <w:pStyle w:val="TableContents"/>
              <w:bidi w:val="0"/>
              <w:spacing w:lineRule="auto" w:line="285" w:before="0" w:after="0"/>
              <w:ind w:left="0" w:right="0" w:hanging="0"/>
              <w:jc w:val="left"/>
              <w:rPr/>
            </w:pPr>
            <w:r>
              <w:rPr/>
              <w:t> </w:t>
            </w:r>
          </w:p>
        </w:tc>
        <w:tc>
          <w:tcPr>
            <w:tcW w:w="540"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(1,045)</w:t>
            </w:r>
          </w:p>
        </w:tc>
        <w:tc>
          <w:tcPr>
            <w:tcW w:w="346" w:type="dxa"/>
            <w:tcBorders/>
            <w:vAlign w:val="center"/>
          </w:tcPr>
          <w:p>
            <w:pPr>
              <w:pStyle w:val="TableContents"/>
              <w:bidi w:val="0"/>
              <w:spacing w:lineRule="auto" w:line="285" w:before="0" w:after="0"/>
              <w:ind w:left="0" w:right="0" w:hanging="0"/>
              <w:jc w:val="left"/>
              <w:rPr/>
            </w:pPr>
            <w:r>
              <w:rPr/>
              <w:t>​</w:t>
            </w:r>
          </w:p>
        </w:tc>
        <w:tc>
          <w:tcPr>
            <w:tcW w:w="228" w:type="dxa"/>
            <w:tcBorders/>
            <w:vAlign w:val="center"/>
          </w:tcPr>
          <w:p>
            <w:pPr>
              <w:pStyle w:val="TableContents"/>
              <w:bidi w:val="0"/>
              <w:spacing w:lineRule="auto" w:line="285" w:before="0" w:after="0"/>
              <w:ind w:left="0" w:right="0" w:hanging="0"/>
              <w:jc w:val="left"/>
              <w:rPr/>
            </w:pPr>
            <w:r>
              <w:rPr/>
              <w:t> </w:t>
            </w:r>
          </w:p>
        </w:tc>
        <w:tc>
          <w:tcPr>
            <w:tcW w:w="748"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right"/>
              <w:rPr/>
            </w:pPr>
            <w:r>
              <w:rPr/>
              <w:t> </w:t>
            </w:r>
          </w:p>
        </w:tc>
        <w:tc>
          <w:tcPr>
            <w:tcW w:w="49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25" w:type="dxa"/>
            <w:tcBorders/>
            <w:vAlign w:val="center"/>
          </w:tcPr>
          <w:p>
            <w:pPr>
              <w:pStyle w:val="TableContents"/>
              <w:bidi w:val="0"/>
              <w:spacing w:lineRule="auto" w:line="285" w:before="0" w:after="0"/>
              <w:ind w:left="0" w:right="0" w:hanging="0"/>
              <w:jc w:val="left"/>
              <w:rPr/>
            </w:pPr>
            <w:r>
              <w:rPr/>
              <w:t> </w:t>
            </w:r>
          </w:p>
        </w:tc>
        <w:tc>
          <w:tcPr>
            <w:tcW w:w="53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496"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(1,038)</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85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Equity-based compensation expense</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48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54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76" w:type="dxa"/>
            <w:tcBorders/>
            <w:shd w:fill="CCEEFF" w:val="clear"/>
            <w:vAlign w:val="center"/>
          </w:tcPr>
          <w:p>
            <w:pPr>
              <w:pStyle w:val="TableContents"/>
              <w:bidi w:val="0"/>
              <w:spacing w:lineRule="auto" w:line="285" w:before="0" w:after="0"/>
              <w:ind w:left="0" w:right="0" w:hanging="0"/>
              <w:jc w:val="left"/>
              <w:rPr/>
            </w:pPr>
            <w:r>
              <w:rPr/>
              <w:t> </w:t>
            </w:r>
          </w:p>
        </w:tc>
        <w:tc>
          <w:tcPr>
            <w:tcW w:w="540"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7,301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8" w:type="dxa"/>
            <w:tcBorders/>
            <w:shd w:fill="CCEEFF" w:val="clear"/>
            <w:vAlign w:val="center"/>
          </w:tcPr>
          <w:p>
            <w:pPr>
              <w:pStyle w:val="TableContents"/>
              <w:bidi w:val="0"/>
              <w:spacing w:lineRule="auto" w:line="285" w:before="0" w:after="0"/>
              <w:ind w:left="0" w:right="0" w:hanging="0"/>
              <w:jc w:val="left"/>
              <w:rPr/>
            </w:pPr>
            <w:r>
              <w:rPr/>
              <w:t> </w:t>
            </w:r>
          </w:p>
        </w:tc>
        <w:tc>
          <w:tcPr>
            <w:tcW w:w="748"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right"/>
              <w:rPr/>
            </w:pPr>
            <w:r>
              <w:rPr/>
              <w:t> </w:t>
            </w:r>
          </w:p>
        </w:tc>
        <w:tc>
          <w:tcPr>
            <w:tcW w:w="49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25" w:type="dxa"/>
            <w:tcBorders/>
            <w:shd w:fill="CCEEFF" w:val="clear"/>
            <w:vAlign w:val="center"/>
          </w:tcPr>
          <w:p>
            <w:pPr>
              <w:pStyle w:val="TableContents"/>
              <w:bidi w:val="0"/>
              <w:spacing w:lineRule="auto" w:line="285" w:before="0" w:after="0"/>
              <w:ind w:left="0" w:right="0" w:hanging="0"/>
              <w:jc w:val="left"/>
              <w:rPr/>
            </w:pPr>
            <w:r>
              <w:rPr/>
              <w:t> </w:t>
            </w:r>
          </w:p>
        </w:tc>
        <w:tc>
          <w:tcPr>
            <w:tcW w:w="53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49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7,301</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856" w:type="dxa"/>
            <w:tcBorders/>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Other, net of tax</w:t>
            </w:r>
          </w:p>
        </w:tc>
        <w:tc>
          <w:tcPr>
            <w:tcW w:w="346" w:type="dxa"/>
            <w:tcBorders/>
            <w:vAlign w:val="center"/>
          </w:tcPr>
          <w:p>
            <w:pPr>
              <w:pStyle w:val="TableContents"/>
              <w:bidi w:val="0"/>
              <w:spacing w:lineRule="auto" w:line="285" w:before="0" w:after="0"/>
              <w:ind w:left="0" w:right="0" w:hanging="0"/>
              <w:jc w:val="left"/>
              <w:rPr/>
            </w:pPr>
            <w:r>
              <w:rPr/>
              <w:t> </w:t>
            </w:r>
          </w:p>
        </w:tc>
        <w:tc>
          <w:tcPr>
            <w:tcW w:w="4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7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4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74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271</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4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2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4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271</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85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2"/>
              </w:rPr>
            </w:pPr>
            <w:r>
              <w:rPr>
                <w:rFonts w:ascii="Arial;Helvetica;sans-serif" w:hAnsi="Arial;Helvetica;sans-serif"/>
                <w:b/>
                <w:sz w:val="12"/>
              </w:rPr>
              <w:t>Balance as of June 30, 2025</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4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48,400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484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4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(584,900)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4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426,437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74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(104,149)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540,014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2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17,290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295,176</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Normal"/>
        <w:bidi w:val="0"/>
        <w:spacing w:before="0" w:after="0"/>
        <w:jc w:val="left"/>
        <w:rPr>
          <w:sz w:val="4"/>
          <w:szCs w:val="4"/>
        </w:rPr>
      </w:pPr>
      <w:r>
        <w:rPr>
          <w:sz w:val="4"/>
          <w:szCs w:val="4"/>
        </w:rPr>
      </w:r>
      <w:bookmarkStart w:id="764" w:name="Tc_bLX8WRsXok-F-Zi-EbgMRQ_14_22"/>
      <w:bookmarkStart w:id="765" w:name="Tc_dAvW7ipbC0m8Dpd8C8Q8iA_14_19"/>
      <w:bookmarkStart w:id="766" w:name="Tc_3rqecy7oNk-CcvV5g5dMNg_14_16"/>
      <w:bookmarkStart w:id="767" w:name="Tc_1DYdTC5t4EGWXwemOC5umg_14_13"/>
      <w:bookmarkStart w:id="768" w:name="Tc_4rxAlkOziEm4lquzb-f11A_14_10"/>
      <w:bookmarkStart w:id="769" w:name="Tc_XOR3HPnpNkGA5mpC-U6tYA_14_7"/>
      <w:bookmarkStart w:id="770" w:name="Tc_CXF2BHS7pEO69apL5J5JRg_14_4"/>
      <w:bookmarkStart w:id="771" w:name="Tc_Ni97aj5iBEiXf9TjPe9VPA_14_0"/>
      <w:bookmarkStart w:id="772" w:name="Tc_zmCM5sVOxkmJSwgUdtErJQ_13_20"/>
      <w:bookmarkStart w:id="773" w:name="Tc_gR3CD4W3IEGNyCW-bnPWaA_13_17"/>
      <w:bookmarkStart w:id="774" w:name="Tc_yiwpTwMWpkuNfTv5vcA1Zg_13_11"/>
      <w:bookmarkStart w:id="775" w:name="Tc_Rwg-w_y9R0upaB9Cnc5opQ_13_8"/>
      <w:bookmarkStart w:id="776" w:name="Tc_2rdyKBwubkisO_QLQ_I_Rw_13_5"/>
      <w:bookmarkStart w:id="777" w:name="Tc_FdZeQtC18keoHvXRYOjeug_13_2"/>
      <w:bookmarkStart w:id="778" w:name="Tc_GE70PK5uKUG5ISBqBoBa-w_13_0"/>
      <w:bookmarkStart w:id="779" w:name="Tc_cNonSLbho0OxQIiwyfDkYg_12_20"/>
      <w:bookmarkStart w:id="780" w:name="Tc_SG3LZi2dVEyH6J-bV0GomQ_12_17"/>
      <w:bookmarkStart w:id="781" w:name="Tc_QR2GLw_8vEmFUJzjNAyurQ_12_14"/>
      <w:bookmarkStart w:id="782" w:name="Tc_0liTj9VOt0WbqlPZyUwZ4g_12_8"/>
      <w:bookmarkStart w:id="783" w:name="Tc_sxl7IQ6owkutQJNcs4eIaw_12_5"/>
      <w:bookmarkStart w:id="784" w:name="Tc_iyjg0Cy-4UyxPTKxg9Lxug_12_2"/>
      <w:bookmarkStart w:id="785" w:name="Tc_TyGPmtV2_UueC6Gax0Q4rg_12_0"/>
      <w:bookmarkStart w:id="786" w:name="Tc__S8y6VUTFkOdDjjCqM27og_11_20"/>
      <w:bookmarkStart w:id="787" w:name="Tc_GGPMnTQv4k2GuAUDngppOQ_11_17"/>
      <w:bookmarkStart w:id="788" w:name="Tc_fTSod-ndEkqvyMVfG-oAbw_11_14"/>
      <w:bookmarkStart w:id="789" w:name="Tc_V-NrGORO0EizF5M1CF7ZsQ_11_8"/>
      <w:bookmarkStart w:id="790" w:name="Tc_VNr6t_zz2EuVsBS8Od8ZbA_11_0"/>
      <w:bookmarkStart w:id="791" w:name="Tc_J_GYBXkNGUmkvIxUhu9_pw_10_20"/>
      <w:bookmarkStart w:id="792" w:name="Tc_Gq3knsyaQkSpf3MyDXJIhA_10_17"/>
      <w:bookmarkStart w:id="793" w:name="Tc_syHWyXu9JEWtMyR_f8CIzA_10_11"/>
      <w:bookmarkStart w:id="794" w:name="Tc_VM5r9DwKnEaa3bo9Y24MWw_10_8"/>
      <w:bookmarkStart w:id="795" w:name="Tc_xwakToETcEWdaN0s_WlPsw_10_5"/>
      <w:bookmarkStart w:id="796" w:name="Tc_OudXlq_lkUWr-Q_EWwzRjw_10_2"/>
      <w:bookmarkStart w:id="797" w:name="Tc_gD67xFA7R0KvjPkwUkqk9Q_10_0"/>
      <w:bookmarkStart w:id="798" w:name="Tc_gbvyPHnxpEeHreZcgjdrxg_9_17"/>
      <w:bookmarkStart w:id="799" w:name="Tc__6SiI-xr4EuASC0QfMmnTA_9_11"/>
      <w:bookmarkStart w:id="800" w:name="Tc_rGpMsPvQ8EmP-QuLmWYsyw_9_8"/>
      <w:bookmarkStart w:id="801" w:name="Tc_fcpWR-5Ba0asMkxSNWKPrw_9_5"/>
      <w:bookmarkStart w:id="802" w:name="Tc_frvnYJiqPUexDNXAcSHWNQ_9_2"/>
      <w:bookmarkStart w:id="803" w:name="Tc_7cO8-oZlG02CnQ6yUTUD-w_9_0"/>
      <w:bookmarkStart w:id="804" w:name="Tc_FkLI7LQVs0S4O2CYlPvBTQ_8_17"/>
      <w:bookmarkStart w:id="805" w:name="Tc_8zdxK7hi-kqrslhfUCsADA_8_14"/>
      <w:bookmarkStart w:id="806" w:name="Tc_yiD_RwDpSkiiDXAskj4kBQ_8_11"/>
      <w:bookmarkStart w:id="807" w:name="Tc_ilG-bhiIa0SbCCZhT3p1-Q_8_8"/>
      <w:bookmarkStart w:id="808" w:name="Tc_NG-TY-v4V06HRTP8oVLACA_8_5"/>
      <w:bookmarkStart w:id="809" w:name="Tc_biNye8kyrkeNaLd4Wb88Vg_8_2"/>
      <w:bookmarkStart w:id="810" w:name="Tc_SGwfSGm3Tka-LcEIV_CRRA_8_0"/>
      <w:bookmarkStart w:id="811" w:name="Tc_cKr2y_7MiESI3QBJsHgCTg_7_14"/>
      <w:bookmarkStart w:id="812" w:name="Tc_e8gKJnBI1kWYs3KiqlVonw_7_11"/>
      <w:bookmarkStart w:id="813" w:name="Tc_BXfYJ5SLbk-Cqpp86HVL_w_7_8"/>
      <w:bookmarkStart w:id="814" w:name="Tc_AgzikSDNlUy8r5eqQspZKA_7_5"/>
      <w:bookmarkStart w:id="815" w:name="Tc_S2ZaXbzHTU2DYr3ABnqTfg_7_2"/>
      <w:bookmarkStart w:id="816" w:name="Tc_e4zatCWnNkOqKd18y-a3Pg_7_0"/>
      <w:bookmarkStart w:id="817" w:name="Tc_yhqP27HM6UeZMtYddP2EFQ_6_22"/>
      <w:bookmarkStart w:id="818" w:name="Tc_frFzqxXqgk--Bd14X1JdZw_6_19"/>
      <w:bookmarkStart w:id="819" w:name="Tc_4IvV_BCMyUqgeL_zu_bybA_6_16"/>
      <w:bookmarkStart w:id="820" w:name="Tc_-PK4BdroUkmN4veh4JVgSQ_6_13"/>
      <w:bookmarkStart w:id="821" w:name="Tc_EWGHJyc090WKBFNX6Jx0lg_6_10"/>
      <w:bookmarkStart w:id="822" w:name="Tc_DyKUZoDD3ESNO0S9-4JgRg_6_7"/>
      <w:bookmarkStart w:id="823" w:name="Tc_uEC3vhbrrEq1C3Vzh5SjWg_6_4"/>
      <w:bookmarkStart w:id="824" w:name="Tc_5burshr1TkSYc8_Cr_roUQ_6_0"/>
      <w:bookmarkStart w:id="825" w:name="Tc_lw74zCe6OU-eoKrhMjfQ4w_5_22"/>
      <w:bookmarkStart w:id="826" w:name="Tc_hEwSPfETi0Wu-ILgW3Vdig_5_19"/>
      <w:bookmarkStart w:id="827" w:name="Tc_IqPji1FV20aUr2Bnno_IGg_5_16"/>
      <w:bookmarkStart w:id="828" w:name="Tc_9u0NTMNDhE-k85CAB8-YHw_5_13"/>
      <w:bookmarkStart w:id="829" w:name="Tc_i0HIZUhykUeaA5Jllc1hAQ_5_10"/>
      <w:bookmarkStart w:id="830" w:name="Tc_-h4Agn6YW0eth8QM18dlyw_5_7"/>
      <w:bookmarkStart w:id="831" w:name="Tc_tv_WwoNd9UKq-MD7w-zM0w_5_4"/>
      <w:bookmarkStart w:id="832" w:name="Tc_fNXU4aGVK0a7NTTiIBDfJg_5_2"/>
      <w:bookmarkStart w:id="833" w:name="Tc_EFC6YMiaQkerAv08cLCP2w_4_19"/>
      <w:bookmarkStart w:id="834" w:name="Tc_-5a4jUYsGUKv3u4lI6f7vA_4_16"/>
      <w:bookmarkStart w:id="835" w:name="Tc_ceu-cPhoV0y1um_-XeNsyg_4_13"/>
      <w:bookmarkStart w:id="836" w:name="Tc_Ecc-BVhau0mK8NsS4Xidng_4_10"/>
      <w:bookmarkStart w:id="837" w:name="Tc_xGm7mU5rpEGpFALHtlkN9Q_4_7"/>
      <w:bookmarkStart w:id="838" w:name="Tc_4fu6n-bHB0q-QouS-E4y-w_4_2"/>
      <w:bookmarkStart w:id="839" w:name="Tc_Cjzv1MAGxEOUaUDRT5odGQ_3_13"/>
      <w:bookmarkStart w:id="840" w:name="Tc_ozc9FyMfKkOH94zc8u_qJw_2_13"/>
      <w:bookmarkStart w:id="841" w:name="Tc_gbv1vZAuCE6dsFcP39gyjQ_1_2"/>
      <w:bookmarkStart w:id="842" w:name="_5c6782ca_59d5_4cde_8b17_42b0c6e4c9af"/>
      <w:bookmarkStart w:id="843" w:name="Tc_bLX8WRsXok-F-Zi-EbgMRQ_14_22"/>
      <w:bookmarkStart w:id="844" w:name="Tc_dAvW7ipbC0m8Dpd8C8Q8iA_14_19"/>
      <w:bookmarkStart w:id="845" w:name="Tc_3rqecy7oNk-CcvV5g5dMNg_14_16"/>
      <w:bookmarkStart w:id="846" w:name="Tc_1DYdTC5t4EGWXwemOC5umg_14_13"/>
      <w:bookmarkStart w:id="847" w:name="Tc_4rxAlkOziEm4lquzb-f11A_14_10"/>
      <w:bookmarkStart w:id="848" w:name="Tc_XOR3HPnpNkGA5mpC-U6tYA_14_7"/>
      <w:bookmarkStart w:id="849" w:name="Tc_CXF2BHS7pEO69apL5J5JRg_14_4"/>
      <w:bookmarkStart w:id="850" w:name="Tc_Ni97aj5iBEiXf9TjPe9VPA_14_0"/>
      <w:bookmarkStart w:id="851" w:name="Tc_zmCM5sVOxkmJSwgUdtErJQ_13_20"/>
      <w:bookmarkStart w:id="852" w:name="Tc_gR3CD4W3IEGNyCW-bnPWaA_13_17"/>
      <w:bookmarkStart w:id="853" w:name="Tc_yiwpTwMWpkuNfTv5vcA1Zg_13_11"/>
      <w:bookmarkStart w:id="854" w:name="Tc_Rwg-w_y9R0upaB9Cnc5opQ_13_8"/>
      <w:bookmarkStart w:id="855" w:name="Tc_2rdyKBwubkisO_QLQ_I_Rw_13_5"/>
      <w:bookmarkStart w:id="856" w:name="Tc_FdZeQtC18keoHvXRYOjeug_13_2"/>
      <w:bookmarkStart w:id="857" w:name="Tc_GE70PK5uKUG5ISBqBoBa-w_13_0"/>
      <w:bookmarkStart w:id="858" w:name="Tc_cNonSLbho0OxQIiwyfDkYg_12_20"/>
      <w:bookmarkStart w:id="859" w:name="Tc_SG3LZi2dVEyH6J-bV0GomQ_12_17"/>
      <w:bookmarkStart w:id="860" w:name="Tc_QR2GLw_8vEmFUJzjNAyurQ_12_14"/>
      <w:bookmarkStart w:id="861" w:name="Tc_0liTj9VOt0WbqlPZyUwZ4g_12_8"/>
      <w:bookmarkStart w:id="862" w:name="Tc_sxl7IQ6owkutQJNcs4eIaw_12_5"/>
      <w:bookmarkStart w:id="863" w:name="Tc_iyjg0Cy-4UyxPTKxg9Lxug_12_2"/>
      <w:bookmarkStart w:id="864" w:name="Tc_TyGPmtV2_UueC6Gax0Q4rg_12_0"/>
      <w:bookmarkStart w:id="865" w:name="Tc__S8y6VUTFkOdDjjCqM27og_11_20"/>
      <w:bookmarkStart w:id="866" w:name="Tc_GGPMnTQv4k2GuAUDngppOQ_11_17"/>
      <w:bookmarkStart w:id="867" w:name="Tc_fTSod-ndEkqvyMVfG-oAbw_11_14"/>
      <w:bookmarkStart w:id="868" w:name="Tc_V-NrGORO0EizF5M1CF7ZsQ_11_8"/>
      <w:bookmarkStart w:id="869" w:name="Tc_VNr6t_zz2EuVsBS8Od8ZbA_11_0"/>
      <w:bookmarkStart w:id="870" w:name="Tc_J_GYBXkNGUmkvIxUhu9_pw_10_20"/>
      <w:bookmarkStart w:id="871" w:name="Tc_Gq3knsyaQkSpf3MyDXJIhA_10_17"/>
      <w:bookmarkStart w:id="872" w:name="Tc_syHWyXu9JEWtMyR_f8CIzA_10_11"/>
      <w:bookmarkStart w:id="873" w:name="Tc_VM5r9DwKnEaa3bo9Y24MWw_10_8"/>
      <w:bookmarkStart w:id="874" w:name="Tc_xwakToETcEWdaN0s_WlPsw_10_5"/>
      <w:bookmarkStart w:id="875" w:name="Tc_OudXlq_lkUWr-Q_EWwzRjw_10_2"/>
      <w:bookmarkStart w:id="876" w:name="Tc_gD67xFA7R0KvjPkwUkqk9Q_10_0"/>
      <w:bookmarkStart w:id="877" w:name="Tc_gbvyPHnxpEeHreZcgjdrxg_9_17"/>
      <w:bookmarkStart w:id="878" w:name="Tc__6SiI-xr4EuASC0QfMmnTA_9_11"/>
      <w:bookmarkStart w:id="879" w:name="Tc_rGpMsPvQ8EmP-QuLmWYsyw_9_8"/>
      <w:bookmarkStart w:id="880" w:name="Tc_fcpWR-5Ba0asMkxSNWKPrw_9_5"/>
      <w:bookmarkStart w:id="881" w:name="Tc_frvnYJiqPUexDNXAcSHWNQ_9_2"/>
      <w:bookmarkStart w:id="882" w:name="Tc_7cO8-oZlG02CnQ6yUTUD-w_9_0"/>
      <w:bookmarkStart w:id="883" w:name="Tc_FkLI7LQVs0S4O2CYlPvBTQ_8_17"/>
      <w:bookmarkStart w:id="884" w:name="Tc_8zdxK7hi-kqrslhfUCsADA_8_14"/>
      <w:bookmarkStart w:id="885" w:name="Tc_yiD_RwDpSkiiDXAskj4kBQ_8_11"/>
      <w:bookmarkStart w:id="886" w:name="Tc_ilG-bhiIa0SbCCZhT3p1-Q_8_8"/>
      <w:bookmarkStart w:id="887" w:name="Tc_NG-TY-v4V06HRTP8oVLACA_8_5"/>
      <w:bookmarkStart w:id="888" w:name="Tc_biNye8kyrkeNaLd4Wb88Vg_8_2"/>
      <w:bookmarkStart w:id="889" w:name="Tc_SGwfSGm3Tka-LcEIV_CRRA_8_0"/>
      <w:bookmarkStart w:id="890" w:name="Tc_cKr2y_7MiESI3QBJsHgCTg_7_14"/>
      <w:bookmarkStart w:id="891" w:name="Tc_e8gKJnBI1kWYs3KiqlVonw_7_11"/>
      <w:bookmarkStart w:id="892" w:name="Tc_BXfYJ5SLbk-Cqpp86HVL_w_7_8"/>
      <w:bookmarkStart w:id="893" w:name="Tc_AgzikSDNlUy8r5eqQspZKA_7_5"/>
      <w:bookmarkStart w:id="894" w:name="Tc_S2ZaXbzHTU2DYr3ABnqTfg_7_2"/>
      <w:bookmarkStart w:id="895" w:name="Tc_e4zatCWnNkOqKd18y-a3Pg_7_0"/>
      <w:bookmarkStart w:id="896" w:name="Tc_yhqP27HM6UeZMtYddP2EFQ_6_22"/>
      <w:bookmarkStart w:id="897" w:name="Tc_frFzqxXqgk--Bd14X1JdZw_6_19"/>
      <w:bookmarkStart w:id="898" w:name="Tc_4IvV_BCMyUqgeL_zu_bybA_6_16"/>
      <w:bookmarkStart w:id="899" w:name="Tc_-PK4BdroUkmN4veh4JVgSQ_6_13"/>
      <w:bookmarkStart w:id="900" w:name="Tc_EWGHJyc090WKBFNX6Jx0lg_6_10"/>
      <w:bookmarkStart w:id="901" w:name="Tc_DyKUZoDD3ESNO0S9-4JgRg_6_7"/>
      <w:bookmarkStart w:id="902" w:name="Tc_uEC3vhbrrEq1C3Vzh5SjWg_6_4"/>
      <w:bookmarkStart w:id="903" w:name="Tc_5burshr1TkSYc8_Cr_roUQ_6_0"/>
      <w:bookmarkStart w:id="904" w:name="Tc_lw74zCe6OU-eoKrhMjfQ4w_5_22"/>
      <w:bookmarkStart w:id="905" w:name="Tc_hEwSPfETi0Wu-ILgW3Vdig_5_19"/>
      <w:bookmarkStart w:id="906" w:name="Tc_IqPji1FV20aUr2Bnno_IGg_5_16"/>
      <w:bookmarkStart w:id="907" w:name="Tc_9u0NTMNDhE-k85CAB8-YHw_5_13"/>
      <w:bookmarkStart w:id="908" w:name="Tc_i0HIZUhykUeaA5Jllc1hAQ_5_10"/>
      <w:bookmarkStart w:id="909" w:name="Tc_-h4Agn6YW0eth8QM18dlyw_5_7"/>
      <w:bookmarkStart w:id="910" w:name="Tc_tv_WwoNd9UKq-MD7w-zM0w_5_4"/>
      <w:bookmarkStart w:id="911" w:name="Tc_fNXU4aGVK0a7NTTiIBDfJg_5_2"/>
      <w:bookmarkStart w:id="912" w:name="Tc_EFC6YMiaQkerAv08cLCP2w_4_19"/>
      <w:bookmarkStart w:id="913" w:name="Tc_-5a4jUYsGUKv3u4lI6f7vA_4_16"/>
      <w:bookmarkStart w:id="914" w:name="Tc_ceu-cPhoV0y1um_-XeNsyg_4_13"/>
      <w:bookmarkStart w:id="915" w:name="Tc_Ecc-BVhau0mK8NsS4Xidng_4_10"/>
      <w:bookmarkStart w:id="916" w:name="Tc_xGm7mU5rpEGpFALHtlkN9Q_4_7"/>
      <w:bookmarkStart w:id="917" w:name="Tc_4fu6n-bHB0q-QouS-E4y-w_4_2"/>
      <w:bookmarkStart w:id="918" w:name="Tc_Cjzv1MAGxEOUaUDRT5odGQ_3_13"/>
      <w:bookmarkStart w:id="919" w:name="Tc_ozc9FyMfKkOH94zc8u_qJw_2_13"/>
      <w:bookmarkStart w:id="920" w:name="Tc_gbv1vZAuCE6dsFcP39gyjQ_1_2"/>
      <w:bookmarkStart w:id="921" w:name="_5c6782ca_59d5_4cde_8b17_42b0c6e4c9af"/>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p>
    <w:tbl>
      <w:tblPr>
        <w:tblW w:w="10412" w:type="dxa"/>
        <w:jc w:val="left"/>
        <w:tblInd w:w="0" w:type="dxa"/>
        <w:tblLayout w:type="fixed"/>
        <w:tblCellMar>
          <w:top w:w="0" w:type="dxa"/>
          <w:left w:w="0" w:type="dxa"/>
          <w:bottom w:w="0" w:type="dxa"/>
          <w:right w:w="0" w:type="dxa"/>
        </w:tblCellMar>
      </w:tblPr>
      <w:tblGrid>
        <w:gridCol w:w="856"/>
        <w:gridCol w:w="346"/>
        <w:gridCol w:w="481"/>
        <w:gridCol w:w="346"/>
        <w:gridCol w:w="346"/>
        <w:gridCol w:w="346"/>
        <w:gridCol w:w="346"/>
        <w:gridCol w:w="346"/>
        <w:gridCol w:w="541"/>
        <w:gridCol w:w="346"/>
        <w:gridCol w:w="376"/>
        <w:gridCol w:w="540"/>
        <w:gridCol w:w="346"/>
        <w:gridCol w:w="228"/>
        <w:gridCol w:w="748"/>
        <w:gridCol w:w="346"/>
        <w:gridCol w:w="346"/>
        <w:gridCol w:w="496"/>
        <w:gridCol w:w="346"/>
        <w:gridCol w:w="425"/>
        <w:gridCol w:w="536"/>
        <w:gridCol w:w="346"/>
        <w:gridCol w:w="346"/>
        <w:gridCol w:w="496"/>
        <w:gridCol w:w="191"/>
      </w:tblGrid>
      <w:tr>
        <w:trPr/>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543560" cy="175260"/>
                      <wp:effectExtent l="0" t="0" r="0" b="0"/>
                      <wp:wrapNone/>
                      <wp:docPr id="101" name="Frame101"/>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102" name="Frame1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305435" cy="175260"/>
                      <wp:effectExtent l="0" t="0" r="0" b="0"/>
                      <wp:wrapNone/>
                      <wp:docPr id="103" name="Frame103"/>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175260"/>
                      <wp:effectExtent l="0" t="0" r="0" b="0"/>
                      <wp:wrapNone/>
                      <wp:docPr id="104" name="Frame1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9710" cy="175260"/>
                      <wp:effectExtent l="0" t="0" r="0" b="0"/>
                      <wp:wrapNone/>
                      <wp:docPr id="105" name="Frame1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9710" cy="175260"/>
                      <wp:effectExtent l="0" t="0" r="0" b="0"/>
                      <wp:wrapNone/>
                      <wp:docPr id="106"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07" name="Frame1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9710" cy="175260"/>
                      <wp:effectExtent l="0" t="0" r="0" b="0"/>
                      <wp:wrapNone/>
                      <wp:docPr id="108" name="Frame1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343535" cy="175260"/>
                      <wp:effectExtent l="0" t="0" r="0" b="0"/>
                      <wp:wrapNone/>
                      <wp:docPr id="109" name="Frame109"/>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10" name="Frame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38760" cy="175260"/>
                      <wp:effectExtent l="0" t="0" r="0" b="0"/>
                      <wp:wrapNone/>
                      <wp:docPr id="111" name="Frame111"/>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342900" cy="175260"/>
                      <wp:effectExtent l="0" t="0" r="0" b="0"/>
                      <wp:wrapNone/>
                      <wp:docPr id="112" name="Frame112"/>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3" name="Frame1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44780" cy="175260"/>
                      <wp:effectExtent l="0" t="0" r="0" b="0"/>
                      <wp:wrapNone/>
                      <wp:docPr id="114" name="Frame114"/>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474980" cy="175260"/>
                      <wp:effectExtent l="0" t="0" r="0" b="0"/>
                      <wp:wrapNone/>
                      <wp:docPr id="115" name="Frame115"/>
                      <a:graphic xmlns:a="http://schemas.openxmlformats.org/drawingml/2006/main">
                        <a:graphicData uri="http://schemas.microsoft.com/office/word/2010/wordprocessingShape">
                          <wps:wsp>
                            <wps:cNvSpPr txBox="1"/>
                            <wps:spPr>
                              <a:xfrm>
                                <a:off x="0" y="0"/>
                                <a:ext cx="4749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9710" cy="175260"/>
                      <wp:effectExtent l="0" t="0" r="0" b="0"/>
                      <wp:wrapNone/>
                      <wp:docPr id="116" name="Frame1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17"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314960" cy="175260"/>
                      <wp:effectExtent l="0" t="0" r="0" b="0"/>
                      <wp:wrapNone/>
                      <wp:docPr id="118" name="Frame118"/>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19710" cy="175260"/>
                      <wp:effectExtent l="0" t="0" r="0" b="0"/>
                      <wp:wrapNone/>
                      <wp:docPr id="119"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69875" cy="175260"/>
                      <wp:effectExtent l="0" t="0" r="0" b="0"/>
                      <wp:wrapNone/>
                      <wp:docPr id="120" name="Frame120"/>
                      <a:graphic xmlns:a="http://schemas.openxmlformats.org/drawingml/2006/main">
                        <a:graphicData uri="http://schemas.microsoft.com/office/word/2010/wordprocessingShape">
                          <wps:wsp>
                            <wps:cNvSpPr txBox="1"/>
                            <wps:spPr>
                              <a:xfrm>
                                <a:off x="0" y="0"/>
                                <a:ext cx="2698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340360" cy="175260"/>
                      <wp:effectExtent l="0" t="0" r="0" b="0"/>
                      <wp:wrapNone/>
                      <wp:docPr id="121" name="Frame121"/>
                      <a:graphic xmlns:a="http://schemas.openxmlformats.org/drawingml/2006/main">
                        <a:graphicData uri="http://schemas.microsoft.com/office/word/2010/wordprocessingShape">
                          <wps:wsp>
                            <wps:cNvSpPr txBox="1"/>
                            <wps:spPr>
                              <a:xfrm>
                                <a:off x="0" y="0"/>
                                <a:ext cx="3403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19710" cy="175260"/>
                      <wp:effectExtent l="0" t="0" r="0" b="0"/>
                      <wp:wrapNone/>
                      <wp:docPr id="122" name="Frame1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3" name="Frame1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314960" cy="175260"/>
                      <wp:effectExtent l="0" t="0" r="0" b="0"/>
                      <wp:wrapNone/>
                      <wp:docPr id="124" name="Frame124"/>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21285" cy="175260"/>
                      <wp:effectExtent l="0" t="0" r="0" b="0"/>
                      <wp:wrapNone/>
                      <wp:docPr id="125" name="Frame125"/>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85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9019" w:type="dxa"/>
            <w:gridSpan w:val="2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Stockholders’ Equity of the Company</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85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481" w:type="dxa"/>
            <w:tcBorders/>
            <w:vAlign w:val="center"/>
          </w:tcPr>
          <w:p>
            <w:pPr>
              <w:pStyle w:val="TableContents"/>
              <w:bidi w:val="0"/>
              <w:spacing w:lineRule="auto" w:line="285" w:before="0" w:after="0"/>
              <w:ind w:left="0" w:right="0" w:hanging="0"/>
              <w:jc w:val="center"/>
              <w:rPr/>
            </w:pPr>
            <w:r>
              <w:rPr/>
              <w:t>  ​ ​ ​</w:t>
            </w:r>
          </w:p>
        </w:tc>
        <w:tc>
          <w:tcPr>
            <w:tcW w:w="346" w:type="dxa"/>
            <w:tcBorders/>
            <w:vAlign w:val="center"/>
          </w:tcPr>
          <w:p>
            <w:pPr>
              <w:pStyle w:val="TableContents"/>
              <w:bidi w:val="0"/>
              <w:spacing w:lineRule="auto" w:line="285" w:before="0" w:after="0"/>
              <w:ind w:left="0" w:right="0" w:hanging="0"/>
              <w:jc w:val="center"/>
              <w:rPr/>
            </w:pPr>
            <w:r>
              <w:rPr/>
              <w:t>  ​ ​ ​</w:t>
            </w:r>
          </w:p>
        </w:tc>
        <w:tc>
          <w:tcPr>
            <w:tcW w:w="346" w:type="dxa"/>
            <w:tcBorders/>
            <w:vAlign w:val="center"/>
          </w:tcPr>
          <w:p>
            <w:pPr>
              <w:pStyle w:val="TableContents"/>
              <w:bidi w:val="0"/>
              <w:spacing w:lineRule="auto" w:line="285" w:before="0" w:after="0"/>
              <w:ind w:left="0" w:right="0" w:hanging="0"/>
              <w:jc w:val="left"/>
              <w:rPr/>
            </w:pPr>
            <w:r>
              <w:rPr/>
              <w:t>  ​ ​ ​</w:t>
            </w:r>
          </w:p>
        </w:tc>
        <w:tc>
          <w:tcPr>
            <w:tcW w:w="34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346" w:type="dxa"/>
            <w:tcBorders/>
            <w:vAlign w:val="center"/>
          </w:tcPr>
          <w:p>
            <w:pPr>
              <w:pStyle w:val="TableContents"/>
              <w:bidi w:val="0"/>
              <w:spacing w:lineRule="auto" w:line="285" w:before="0" w:after="0"/>
              <w:ind w:left="0" w:right="0" w:hanging="0"/>
              <w:jc w:val="left"/>
              <w:rPr/>
            </w:pPr>
            <w:r>
              <w:rPr/>
              <w:t>  ​ ​ ​</w:t>
            </w:r>
          </w:p>
        </w:tc>
        <w:tc>
          <w:tcPr>
            <w:tcW w:w="54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376" w:type="dxa"/>
            <w:tcBorders/>
            <w:vAlign w:val="center"/>
          </w:tcPr>
          <w:p>
            <w:pPr>
              <w:pStyle w:val="TableContents"/>
              <w:bidi w:val="0"/>
              <w:spacing w:lineRule="auto" w:line="285" w:before="0" w:after="0"/>
              <w:ind w:left="0" w:right="0" w:hanging="0"/>
              <w:jc w:val="left"/>
              <w:rPr/>
            </w:pPr>
            <w:r>
              <w:rPr/>
              <w:t>  ​ ​ ​</w:t>
            </w:r>
          </w:p>
        </w:tc>
        <w:tc>
          <w:tcPr>
            <w:tcW w:w="540"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97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Accumulated</w:t>
            </w:r>
          </w:p>
        </w:tc>
        <w:tc>
          <w:tcPr>
            <w:tcW w:w="346" w:type="dxa"/>
            <w:tcBorders/>
            <w:vAlign w:val="center"/>
          </w:tcPr>
          <w:p>
            <w:pPr>
              <w:pStyle w:val="TableContents"/>
              <w:bidi w:val="0"/>
              <w:spacing w:lineRule="auto" w:line="285" w:before="0" w:after="0"/>
              <w:ind w:left="0" w:right="0" w:hanging="0"/>
              <w:jc w:val="center"/>
              <w:rPr/>
            </w:pPr>
            <w:r>
              <w:rPr/>
              <w:t>  ​ ​ ​</w:t>
            </w:r>
          </w:p>
        </w:tc>
        <w:tc>
          <w:tcPr>
            <w:tcW w:w="346" w:type="dxa"/>
            <w:tcBorders/>
            <w:vAlign w:val="center"/>
          </w:tcPr>
          <w:p>
            <w:pPr>
              <w:pStyle w:val="TableContents"/>
              <w:bidi w:val="0"/>
              <w:spacing w:lineRule="auto" w:line="285" w:before="0" w:after="0"/>
              <w:ind w:left="0" w:right="0" w:hanging="0"/>
              <w:jc w:val="center"/>
              <w:rPr/>
            </w:pPr>
            <w:r>
              <w:rPr/>
              <w:t>  ​ ​ ​</w:t>
            </w:r>
          </w:p>
        </w:tc>
        <w:tc>
          <w:tcPr>
            <w:tcW w:w="49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425" w:type="dxa"/>
            <w:tcBorders/>
            <w:vAlign w:val="center"/>
          </w:tcPr>
          <w:p>
            <w:pPr>
              <w:pStyle w:val="TableContents"/>
              <w:bidi w:val="0"/>
              <w:spacing w:lineRule="auto" w:line="285" w:before="0" w:after="0"/>
              <w:ind w:left="0" w:right="0" w:hanging="0"/>
              <w:jc w:val="left"/>
              <w:rPr/>
            </w:pPr>
            <w:r>
              <w:rPr/>
              <w:t>  ​ ​ ​</w:t>
            </w:r>
          </w:p>
        </w:tc>
        <w:tc>
          <w:tcPr>
            <w:tcW w:w="53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346" w:type="dxa"/>
            <w:tcBorders/>
            <w:vAlign w:val="center"/>
          </w:tcPr>
          <w:p>
            <w:pPr>
              <w:pStyle w:val="TableContents"/>
              <w:bidi w:val="0"/>
              <w:spacing w:lineRule="auto" w:line="285" w:before="0" w:after="0"/>
              <w:ind w:left="0" w:right="0" w:hanging="0"/>
              <w:jc w:val="left"/>
              <w:rPr/>
            </w:pPr>
            <w:r>
              <w:rPr/>
              <w:t>  ​ ​ ​</w:t>
            </w:r>
          </w:p>
        </w:tc>
        <w:tc>
          <w:tcPr>
            <w:tcW w:w="496"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85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48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376" w:type="dxa"/>
            <w:tcBorders/>
            <w:vAlign w:val="center"/>
          </w:tcPr>
          <w:p>
            <w:pPr>
              <w:pStyle w:val="TableContents"/>
              <w:bidi w:val="0"/>
              <w:spacing w:lineRule="auto" w:line="285" w:before="0" w:after="0"/>
              <w:ind w:left="0" w:right="0" w:hanging="0"/>
              <w:jc w:val="left"/>
              <w:rPr/>
            </w:pPr>
            <w:r>
              <w:rPr/>
              <w:t>​</w:t>
            </w:r>
          </w:p>
        </w:tc>
        <w:tc>
          <w:tcPr>
            <w:tcW w:w="540"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97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Other</w:t>
            </w:r>
          </w:p>
        </w:tc>
        <w:tc>
          <w:tcPr>
            <w:tcW w:w="34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49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425" w:type="dxa"/>
            <w:tcBorders/>
            <w:vAlign w:val="center"/>
          </w:tcPr>
          <w:p>
            <w:pPr>
              <w:pStyle w:val="TableContents"/>
              <w:bidi w:val="0"/>
              <w:spacing w:lineRule="auto" w:line="285" w:before="0" w:after="0"/>
              <w:ind w:left="0" w:right="0" w:hanging="0"/>
              <w:jc w:val="left"/>
              <w:rPr/>
            </w:pPr>
            <w:r>
              <w:rPr/>
              <w:t>​</w:t>
            </w:r>
          </w:p>
        </w:tc>
        <w:tc>
          <w:tcPr>
            <w:tcW w:w="53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96"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85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519" w:type="dxa"/>
            <w:gridSpan w:val="4"/>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Common Stock</w:t>
            </w:r>
          </w:p>
        </w:tc>
        <w:tc>
          <w:tcPr>
            <w:tcW w:w="346" w:type="dxa"/>
            <w:tcBorders/>
            <w:vAlign w:val="center"/>
          </w:tcPr>
          <w:p>
            <w:pPr>
              <w:pStyle w:val="TableContents"/>
              <w:bidi w:val="0"/>
              <w:spacing w:lineRule="auto" w:line="285" w:before="0" w:after="0"/>
              <w:ind w:left="0" w:right="0" w:hanging="0"/>
              <w:jc w:val="center"/>
              <w:rPr/>
            </w:pPr>
            <w:r>
              <w:rPr/>
              <w:t>​</w:t>
            </w:r>
          </w:p>
        </w:tc>
        <w:tc>
          <w:tcPr>
            <w:tcW w:w="887"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Treasury</w:t>
            </w:r>
          </w:p>
        </w:tc>
        <w:tc>
          <w:tcPr>
            <w:tcW w:w="346" w:type="dxa"/>
            <w:tcBorders/>
            <w:vAlign w:val="center"/>
          </w:tcPr>
          <w:p>
            <w:pPr>
              <w:pStyle w:val="TableContents"/>
              <w:bidi w:val="0"/>
              <w:spacing w:lineRule="auto" w:line="285" w:before="0" w:after="0"/>
              <w:ind w:left="0" w:right="0" w:hanging="0"/>
              <w:jc w:val="center"/>
              <w:rPr/>
            </w:pPr>
            <w:r>
              <w:rPr/>
              <w:t>​</w:t>
            </w:r>
          </w:p>
        </w:tc>
        <w:tc>
          <w:tcPr>
            <w:tcW w:w="91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Additional</w:t>
            </w:r>
          </w:p>
        </w:tc>
        <w:tc>
          <w:tcPr>
            <w:tcW w:w="346" w:type="dxa"/>
            <w:tcBorders/>
            <w:vAlign w:val="center"/>
          </w:tcPr>
          <w:p>
            <w:pPr>
              <w:pStyle w:val="TableContents"/>
              <w:bidi w:val="0"/>
              <w:spacing w:lineRule="auto" w:line="285" w:before="0" w:after="0"/>
              <w:ind w:left="0" w:right="0" w:hanging="0"/>
              <w:jc w:val="center"/>
              <w:rPr/>
            </w:pPr>
            <w:r>
              <w:rPr/>
              <w:t>​</w:t>
            </w:r>
          </w:p>
        </w:tc>
        <w:tc>
          <w:tcPr>
            <w:tcW w:w="97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Comprehensive</w:t>
            </w:r>
          </w:p>
        </w:tc>
        <w:tc>
          <w:tcPr>
            <w:tcW w:w="346" w:type="dxa"/>
            <w:tcBorders/>
            <w:vAlign w:val="center"/>
          </w:tcPr>
          <w:p>
            <w:pPr>
              <w:pStyle w:val="TableContents"/>
              <w:bidi w:val="0"/>
              <w:spacing w:lineRule="auto" w:line="285" w:before="0" w:after="0"/>
              <w:ind w:left="0" w:right="0" w:hanging="0"/>
              <w:jc w:val="center"/>
              <w:rPr/>
            </w:pPr>
            <w:r>
              <w:rPr/>
              <w:t>​</w:t>
            </w:r>
          </w:p>
        </w:tc>
        <w:tc>
          <w:tcPr>
            <w:tcW w:w="842"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Retained</w:t>
            </w:r>
          </w:p>
        </w:tc>
        <w:tc>
          <w:tcPr>
            <w:tcW w:w="346" w:type="dxa"/>
            <w:tcBorders/>
            <w:vAlign w:val="center"/>
          </w:tcPr>
          <w:p>
            <w:pPr>
              <w:pStyle w:val="TableContents"/>
              <w:bidi w:val="0"/>
              <w:spacing w:lineRule="auto" w:line="285" w:before="0" w:after="0"/>
              <w:ind w:left="0" w:right="0" w:hanging="0"/>
              <w:jc w:val="center"/>
              <w:rPr/>
            </w:pPr>
            <w:r>
              <w:rPr/>
              <w:t>​</w:t>
            </w:r>
          </w:p>
        </w:tc>
        <w:tc>
          <w:tcPr>
            <w:tcW w:w="961"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Noncontrolling</w:t>
            </w:r>
          </w:p>
        </w:tc>
        <w:tc>
          <w:tcPr>
            <w:tcW w:w="34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96"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85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48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Shares</w:t>
            </w:r>
          </w:p>
        </w:tc>
        <w:tc>
          <w:tcPr>
            <w:tcW w:w="346" w:type="dxa"/>
            <w:tcBorders/>
            <w:vAlign w:val="center"/>
          </w:tcPr>
          <w:p>
            <w:pPr>
              <w:pStyle w:val="TableContents"/>
              <w:bidi w:val="0"/>
              <w:spacing w:lineRule="auto" w:line="285" w:before="0" w:after="0"/>
              <w:ind w:left="0" w:right="0" w:hanging="0"/>
              <w:jc w:val="center"/>
              <w:rPr/>
            </w:pPr>
            <w:r>
              <w:rPr/>
              <w:t>​</w:t>
            </w:r>
          </w:p>
        </w:tc>
        <w:tc>
          <w:tcPr>
            <w:tcW w:w="6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Amount</w:t>
            </w:r>
          </w:p>
        </w:tc>
        <w:tc>
          <w:tcPr>
            <w:tcW w:w="346" w:type="dxa"/>
            <w:tcBorders/>
            <w:vAlign w:val="center"/>
          </w:tcPr>
          <w:p>
            <w:pPr>
              <w:pStyle w:val="TableContents"/>
              <w:bidi w:val="0"/>
              <w:spacing w:lineRule="auto" w:line="285"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Stock</w:t>
            </w:r>
          </w:p>
        </w:tc>
        <w:tc>
          <w:tcPr>
            <w:tcW w:w="346" w:type="dxa"/>
            <w:tcBorders/>
            <w:vAlign w:val="center"/>
          </w:tcPr>
          <w:p>
            <w:pPr>
              <w:pStyle w:val="TableContents"/>
              <w:bidi w:val="0"/>
              <w:spacing w:lineRule="auto" w:line="285" w:before="0" w:after="0"/>
              <w:ind w:left="0" w:right="0" w:hanging="0"/>
              <w:jc w:val="center"/>
              <w:rPr/>
            </w:pPr>
            <w:r>
              <w:rPr/>
              <w:t>​</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Paid-in Capital</w:t>
            </w:r>
          </w:p>
        </w:tc>
        <w:tc>
          <w:tcPr>
            <w:tcW w:w="346" w:type="dxa"/>
            <w:tcBorders/>
            <w:vAlign w:val="center"/>
          </w:tcPr>
          <w:p>
            <w:pPr>
              <w:pStyle w:val="TableContents"/>
              <w:bidi w:val="0"/>
              <w:spacing w:lineRule="auto" w:line="285" w:before="0" w:after="0"/>
              <w:ind w:left="0" w:right="0" w:hanging="0"/>
              <w:jc w:val="center"/>
              <w:rPr/>
            </w:pPr>
            <w:r>
              <w:rPr/>
              <w:t>​</w:t>
            </w:r>
          </w:p>
        </w:tc>
        <w:tc>
          <w:tcPr>
            <w:tcW w:w="97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Income (Loss)</w:t>
            </w:r>
          </w:p>
        </w:tc>
        <w:tc>
          <w:tcPr>
            <w:tcW w:w="346" w:type="dxa"/>
            <w:tcBorders/>
            <w:vAlign w:val="center"/>
          </w:tcPr>
          <w:p>
            <w:pPr>
              <w:pStyle w:val="TableContents"/>
              <w:bidi w:val="0"/>
              <w:spacing w:lineRule="auto" w:line="285" w:before="0" w:after="0"/>
              <w:ind w:left="0" w:right="0" w:hanging="0"/>
              <w:jc w:val="center"/>
              <w:rPr/>
            </w:pPr>
            <w:r>
              <w:rPr/>
              <w:t>​</w:t>
            </w:r>
          </w:p>
        </w:tc>
        <w:tc>
          <w:tcPr>
            <w:tcW w:w="84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Earnings</w:t>
            </w:r>
          </w:p>
        </w:tc>
        <w:tc>
          <w:tcPr>
            <w:tcW w:w="346" w:type="dxa"/>
            <w:tcBorders/>
            <w:vAlign w:val="center"/>
          </w:tcPr>
          <w:p>
            <w:pPr>
              <w:pStyle w:val="TableContents"/>
              <w:bidi w:val="0"/>
              <w:spacing w:lineRule="auto" w:line="285" w:before="0" w:after="0"/>
              <w:ind w:left="0" w:right="0" w:hanging="0"/>
              <w:jc w:val="center"/>
              <w:rPr/>
            </w:pPr>
            <w:r>
              <w:rPr/>
              <w:t>​</w:t>
            </w:r>
          </w:p>
        </w:tc>
        <w:tc>
          <w:tcPr>
            <w:tcW w:w="96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interest</w:t>
            </w:r>
          </w:p>
        </w:tc>
        <w:tc>
          <w:tcPr>
            <w:tcW w:w="346" w:type="dxa"/>
            <w:tcBorders/>
            <w:vAlign w:val="center"/>
          </w:tcPr>
          <w:p>
            <w:pPr>
              <w:pStyle w:val="TableContents"/>
              <w:bidi w:val="0"/>
              <w:spacing w:lineRule="auto" w:line="285" w:before="0" w:after="0"/>
              <w:ind w:left="0" w:right="0" w:hanging="0"/>
              <w:jc w:val="center"/>
              <w:rPr/>
            </w:pPr>
            <w:r>
              <w:rPr/>
              <w:t>​</w:t>
            </w:r>
          </w:p>
        </w:tc>
        <w:tc>
          <w:tcPr>
            <w:tcW w:w="84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Total Equity</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85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2"/>
              </w:rPr>
            </w:pPr>
            <w:r>
              <w:rPr>
                <w:rFonts w:ascii="Arial;Helvetica;sans-serif" w:hAnsi="Arial;Helvetica;sans-serif"/>
                <w:b/>
                <w:sz w:val="12"/>
              </w:rPr>
              <w:t>Balance as of December 31, 2025</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48,560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486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4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(584,900)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4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432,268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74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(106,938)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354,151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2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17,836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112,903</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856" w:type="dxa"/>
            <w:tcBorders/>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Net (loss) income</w:t>
            </w:r>
          </w:p>
        </w:tc>
        <w:tc>
          <w:tcPr>
            <w:tcW w:w="346" w:type="dxa"/>
            <w:tcBorders/>
            <w:vAlign w:val="center"/>
          </w:tcPr>
          <w:p>
            <w:pPr>
              <w:pStyle w:val="TableContents"/>
              <w:bidi w:val="0"/>
              <w:spacing w:lineRule="auto" w:line="285" w:before="0" w:after="0"/>
              <w:ind w:left="0" w:right="0" w:hanging="0"/>
              <w:jc w:val="left"/>
              <w:rPr/>
            </w:pPr>
            <w:r>
              <w:rPr/>
              <w:t> </w:t>
            </w:r>
          </w:p>
        </w:tc>
        <w:tc>
          <w:tcPr>
            <w:tcW w:w="48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34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54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76" w:type="dxa"/>
            <w:tcBorders/>
            <w:vAlign w:val="center"/>
          </w:tcPr>
          <w:p>
            <w:pPr>
              <w:pStyle w:val="TableContents"/>
              <w:bidi w:val="0"/>
              <w:spacing w:lineRule="auto" w:line="285" w:before="0" w:after="0"/>
              <w:ind w:left="0" w:right="0" w:hanging="0"/>
              <w:jc w:val="left"/>
              <w:rPr/>
            </w:pPr>
            <w:r>
              <w:rPr/>
              <w:t> </w:t>
            </w:r>
          </w:p>
        </w:tc>
        <w:tc>
          <w:tcPr>
            <w:tcW w:w="540"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8" w:type="dxa"/>
            <w:tcBorders/>
            <w:vAlign w:val="center"/>
          </w:tcPr>
          <w:p>
            <w:pPr>
              <w:pStyle w:val="TableContents"/>
              <w:bidi w:val="0"/>
              <w:spacing w:lineRule="auto" w:line="285" w:before="0" w:after="0"/>
              <w:ind w:left="0" w:right="0" w:hanging="0"/>
              <w:jc w:val="left"/>
              <w:rPr/>
            </w:pPr>
            <w:r>
              <w:rPr/>
              <w:t> </w:t>
            </w:r>
          </w:p>
        </w:tc>
        <w:tc>
          <w:tcPr>
            <w:tcW w:w="748"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right"/>
              <w:rPr/>
            </w:pPr>
            <w:r>
              <w:rPr/>
              <w:t> </w:t>
            </w:r>
          </w:p>
        </w:tc>
        <w:tc>
          <w:tcPr>
            <w:tcW w:w="496"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(22,987)</w:t>
            </w:r>
          </w:p>
        </w:tc>
        <w:tc>
          <w:tcPr>
            <w:tcW w:w="346" w:type="dxa"/>
            <w:tcBorders/>
            <w:vAlign w:val="center"/>
          </w:tcPr>
          <w:p>
            <w:pPr>
              <w:pStyle w:val="TableContents"/>
              <w:bidi w:val="0"/>
              <w:spacing w:lineRule="auto" w:line="285" w:before="0" w:after="0"/>
              <w:ind w:left="0" w:right="0" w:hanging="0"/>
              <w:jc w:val="left"/>
              <w:rPr/>
            </w:pPr>
            <w:r>
              <w:rPr/>
              <w:t>​</w:t>
            </w:r>
          </w:p>
        </w:tc>
        <w:tc>
          <w:tcPr>
            <w:tcW w:w="425" w:type="dxa"/>
            <w:tcBorders/>
            <w:vAlign w:val="center"/>
          </w:tcPr>
          <w:p>
            <w:pPr>
              <w:pStyle w:val="TableContents"/>
              <w:bidi w:val="0"/>
              <w:spacing w:lineRule="auto" w:line="285" w:before="0" w:after="0"/>
              <w:ind w:left="0" w:right="0" w:hanging="0"/>
              <w:jc w:val="left"/>
              <w:rPr/>
            </w:pPr>
            <w:r>
              <w:rPr/>
              <w:t> </w:t>
            </w:r>
          </w:p>
        </w:tc>
        <w:tc>
          <w:tcPr>
            <w:tcW w:w="536"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4,802</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496"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(18,185)</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85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Payments distributed to noncontrolling interest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48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54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76" w:type="dxa"/>
            <w:tcBorders/>
            <w:shd w:fill="CCEEFF" w:val="clear"/>
            <w:vAlign w:val="center"/>
          </w:tcPr>
          <w:p>
            <w:pPr>
              <w:pStyle w:val="TableContents"/>
              <w:bidi w:val="0"/>
              <w:spacing w:lineRule="auto" w:line="285" w:before="0" w:after="0"/>
              <w:ind w:left="0" w:right="0" w:hanging="0"/>
              <w:jc w:val="left"/>
              <w:rPr/>
            </w:pPr>
            <w:r>
              <w:rPr/>
              <w:t> </w:t>
            </w:r>
          </w:p>
        </w:tc>
        <w:tc>
          <w:tcPr>
            <w:tcW w:w="540"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8" w:type="dxa"/>
            <w:tcBorders/>
            <w:shd w:fill="CCEEFF" w:val="clear"/>
            <w:vAlign w:val="center"/>
          </w:tcPr>
          <w:p>
            <w:pPr>
              <w:pStyle w:val="TableContents"/>
              <w:bidi w:val="0"/>
              <w:spacing w:lineRule="auto" w:line="285" w:before="0" w:after="0"/>
              <w:ind w:left="0" w:right="0" w:hanging="0"/>
              <w:jc w:val="left"/>
              <w:rPr/>
            </w:pPr>
            <w:r>
              <w:rPr/>
              <w:t> </w:t>
            </w:r>
          </w:p>
        </w:tc>
        <w:tc>
          <w:tcPr>
            <w:tcW w:w="748"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right"/>
              <w:rPr/>
            </w:pPr>
            <w:r>
              <w:rPr/>
              <w:t> </w:t>
            </w:r>
          </w:p>
        </w:tc>
        <w:tc>
          <w:tcPr>
            <w:tcW w:w="49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25" w:type="dxa"/>
            <w:tcBorders/>
            <w:shd w:fill="CCEEFF" w:val="clear"/>
            <w:vAlign w:val="center"/>
          </w:tcPr>
          <w:p>
            <w:pPr>
              <w:pStyle w:val="TableContents"/>
              <w:bidi w:val="0"/>
              <w:spacing w:lineRule="auto" w:line="285" w:before="0" w:after="0"/>
              <w:ind w:left="0" w:right="0" w:hanging="0"/>
              <w:jc w:val="left"/>
              <w:rPr/>
            </w:pPr>
            <w:r>
              <w:rPr/>
              <w:t> </w:t>
            </w:r>
          </w:p>
        </w:tc>
        <w:tc>
          <w:tcPr>
            <w:tcW w:w="53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(3,600)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49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(3,600)</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856" w:type="dxa"/>
            <w:tcBorders/>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Foreign currency translation adjustments</w:t>
            </w:r>
          </w:p>
        </w:tc>
        <w:tc>
          <w:tcPr>
            <w:tcW w:w="346" w:type="dxa"/>
            <w:tcBorders/>
            <w:vAlign w:val="center"/>
          </w:tcPr>
          <w:p>
            <w:pPr>
              <w:pStyle w:val="TableContents"/>
              <w:bidi w:val="0"/>
              <w:spacing w:lineRule="auto" w:line="285" w:before="0" w:after="0"/>
              <w:ind w:left="0" w:right="0" w:hanging="0"/>
              <w:jc w:val="left"/>
              <w:rPr/>
            </w:pPr>
            <w:r>
              <w:rPr/>
              <w:t> </w:t>
            </w:r>
          </w:p>
        </w:tc>
        <w:tc>
          <w:tcPr>
            <w:tcW w:w="48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34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54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76" w:type="dxa"/>
            <w:tcBorders/>
            <w:vAlign w:val="center"/>
          </w:tcPr>
          <w:p>
            <w:pPr>
              <w:pStyle w:val="TableContents"/>
              <w:bidi w:val="0"/>
              <w:spacing w:lineRule="auto" w:line="285" w:before="0" w:after="0"/>
              <w:ind w:left="0" w:right="0" w:hanging="0"/>
              <w:jc w:val="left"/>
              <w:rPr/>
            </w:pPr>
            <w:r>
              <w:rPr/>
              <w:t> </w:t>
            </w:r>
          </w:p>
        </w:tc>
        <w:tc>
          <w:tcPr>
            <w:tcW w:w="540"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8" w:type="dxa"/>
            <w:tcBorders/>
            <w:vAlign w:val="center"/>
          </w:tcPr>
          <w:p>
            <w:pPr>
              <w:pStyle w:val="TableContents"/>
              <w:bidi w:val="0"/>
              <w:spacing w:lineRule="auto" w:line="285" w:before="0" w:after="0"/>
              <w:ind w:left="0" w:right="0" w:hanging="0"/>
              <w:jc w:val="left"/>
              <w:rPr/>
            </w:pPr>
            <w:r>
              <w:rPr/>
              <w:t> </w:t>
            </w:r>
          </w:p>
        </w:tc>
        <w:tc>
          <w:tcPr>
            <w:tcW w:w="748"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(3,802)</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right"/>
              <w:rPr/>
            </w:pPr>
            <w:r>
              <w:rPr/>
              <w:t> </w:t>
            </w:r>
          </w:p>
        </w:tc>
        <w:tc>
          <w:tcPr>
            <w:tcW w:w="49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25" w:type="dxa"/>
            <w:tcBorders/>
            <w:vAlign w:val="center"/>
          </w:tcPr>
          <w:p>
            <w:pPr>
              <w:pStyle w:val="TableContents"/>
              <w:bidi w:val="0"/>
              <w:spacing w:lineRule="auto" w:line="285" w:before="0" w:after="0"/>
              <w:ind w:left="0" w:right="0" w:hanging="0"/>
              <w:jc w:val="left"/>
              <w:rPr/>
            </w:pPr>
            <w:r>
              <w:rPr/>
              <w:t> </w:t>
            </w:r>
          </w:p>
        </w:tc>
        <w:tc>
          <w:tcPr>
            <w:tcW w:w="536"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(409)</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496"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(4,211)</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85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Derivatives valuation, net of tax</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48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54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76" w:type="dxa"/>
            <w:tcBorders/>
            <w:shd w:fill="CCEEFF" w:val="clear"/>
            <w:vAlign w:val="center"/>
          </w:tcPr>
          <w:p>
            <w:pPr>
              <w:pStyle w:val="TableContents"/>
              <w:bidi w:val="0"/>
              <w:spacing w:lineRule="auto" w:line="285" w:before="0" w:after="0"/>
              <w:ind w:left="0" w:right="0" w:hanging="0"/>
              <w:jc w:val="left"/>
              <w:rPr/>
            </w:pPr>
            <w:r>
              <w:rPr/>
              <w:t> </w:t>
            </w:r>
          </w:p>
        </w:tc>
        <w:tc>
          <w:tcPr>
            <w:tcW w:w="540"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8" w:type="dxa"/>
            <w:tcBorders/>
            <w:shd w:fill="CCEEFF" w:val="clear"/>
            <w:vAlign w:val="center"/>
          </w:tcPr>
          <w:p>
            <w:pPr>
              <w:pStyle w:val="TableContents"/>
              <w:bidi w:val="0"/>
              <w:spacing w:lineRule="auto" w:line="285" w:before="0" w:after="0"/>
              <w:ind w:left="0" w:right="0" w:hanging="0"/>
              <w:jc w:val="left"/>
              <w:rPr/>
            </w:pPr>
            <w:r>
              <w:rPr/>
              <w:t> </w:t>
            </w:r>
          </w:p>
        </w:tc>
        <w:tc>
          <w:tcPr>
            <w:tcW w:w="748"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(852)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right"/>
              <w:rPr/>
            </w:pPr>
            <w:r>
              <w:rPr/>
              <w:t> </w:t>
            </w:r>
          </w:p>
        </w:tc>
        <w:tc>
          <w:tcPr>
            <w:tcW w:w="49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25" w:type="dxa"/>
            <w:tcBorders/>
            <w:shd w:fill="CCEEFF" w:val="clear"/>
            <w:vAlign w:val="center"/>
          </w:tcPr>
          <w:p>
            <w:pPr>
              <w:pStyle w:val="TableContents"/>
              <w:bidi w:val="0"/>
              <w:spacing w:lineRule="auto" w:line="285" w:before="0" w:after="0"/>
              <w:ind w:left="0" w:right="0" w:hanging="0"/>
              <w:jc w:val="left"/>
              <w:rPr/>
            </w:pPr>
            <w:r>
              <w:rPr/>
              <w:t> </w:t>
            </w:r>
          </w:p>
        </w:tc>
        <w:tc>
          <w:tcPr>
            <w:tcW w:w="53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49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(852)</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856" w:type="dxa"/>
            <w:tcBorders/>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Vesting of restricted stock units</w:t>
            </w:r>
          </w:p>
        </w:tc>
        <w:tc>
          <w:tcPr>
            <w:tcW w:w="346" w:type="dxa"/>
            <w:tcBorders/>
            <w:vAlign w:val="center"/>
          </w:tcPr>
          <w:p>
            <w:pPr>
              <w:pStyle w:val="TableContents"/>
              <w:bidi w:val="0"/>
              <w:spacing w:lineRule="auto" w:line="285" w:before="0" w:after="0"/>
              <w:ind w:left="0" w:right="0" w:hanging="0"/>
              <w:jc w:val="left"/>
              <w:rPr/>
            </w:pPr>
            <w:r>
              <w:rPr/>
              <w:t> </w:t>
            </w:r>
          </w:p>
        </w:tc>
        <w:tc>
          <w:tcPr>
            <w:tcW w:w="481"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695</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346"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6</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54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76" w:type="dxa"/>
            <w:tcBorders/>
            <w:vAlign w:val="center"/>
          </w:tcPr>
          <w:p>
            <w:pPr>
              <w:pStyle w:val="TableContents"/>
              <w:bidi w:val="0"/>
              <w:spacing w:lineRule="auto" w:line="285" w:before="0" w:after="0"/>
              <w:ind w:left="0" w:right="0" w:hanging="0"/>
              <w:jc w:val="left"/>
              <w:rPr/>
            </w:pPr>
            <w:r>
              <w:rPr/>
              <w:t> </w:t>
            </w:r>
          </w:p>
        </w:tc>
        <w:tc>
          <w:tcPr>
            <w:tcW w:w="540"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(576)</w:t>
            </w:r>
          </w:p>
        </w:tc>
        <w:tc>
          <w:tcPr>
            <w:tcW w:w="346" w:type="dxa"/>
            <w:tcBorders/>
            <w:vAlign w:val="center"/>
          </w:tcPr>
          <w:p>
            <w:pPr>
              <w:pStyle w:val="TableContents"/>
              <w:bidi w:val="0"/>
              <w:spacing w:lineRule="auto" w:line="285" w:before="0" w:after="0"/>
              <w:ind w:left="0" w:right="0" w:hanging="0"/>
              <w:jc w:val="left"/>
              <w:rPr/>
            </w:pPr>
            <w:r>
              <w:rPr/>
              <w:t>​</w:t>
            </w:r>
          </w:p>
        </w:tc>
        <w:tc>
          <w:tcPr>
            <w:tcW w:w="228" w:type="dxa"/>
            <w:tcBorders/>
            <w:vAlign w:val="center"/>
          </w:tcPr>
          <w:p>
            <w:pPr>
              <w:pStyle w:val="TableContents"/>
              <w:bidi w:val="0"/>
              <w:spacing w:lineRule="auto" w:line="285" w:before="0" w:after="0"/>
              <w:ind w:left="0" w:right="0" w:hanging="0"/>
              <w:jc w:val="left"/>
              <w:rPr/>
            </w:pPr>
            <w:r>
              <w:rPr/>
              <w:t> </w:t>
            </w:r>
          </w:p>
        </w:tc>
        <w:tc>
          <w:tcPr>
            <w:tcW w:w="748"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right"/>
              <w:rPr/>
            </w:pPr>
            <w:r>
              <w:rPr/>
              <w:t> </w:t>
            </w:r>
          </w:p>
        </w:tc>
        <w:tc>
          <w:tcPr>
            <w:tcW w:w="49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25" w:type="dxa"/>
            <w:tcBorders/>
            <w:vAlign w:val="center"/>
          </w:tcPr>
          <w:p>
            <w:pPr>
              <w:pStyle w:val="TableContents"/>
              <w:bidi w:val="0"/>
              <w:spacing w:lineRule="auto" w:line="285" w:before="0" w:after="0"/>
              <w:ind w:left="0" w:right="0" w:hanging="0"/>
              <w:jc w:val="left"/>
              <w:rPr/>
            </w:pPr>
            <w:r>
              <w:rPr/>
              <w:t> </w:t>
            </w:r>
          </w:p>
        </w:tc>
        <w:tc>
          <w:tcPr>
            <w:tcW w:w="53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496"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(570)</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85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Equity-based compensation expense</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48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54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76" w:type="dxa"/>
            <w:tcBorders/>
            <w:shd w:fill="CCEEFF" w:val="clear"/>
            <w:vAlign w:val="center"/>
          </w:tcPr>
          <w:p>
            <w:pPr>
              <w:pStyle w:val="TableContents"/>
              <w:bidi w:val="0"/>
              <w:spacing w:lineRule="auto" w:line="285" w:before="0" w:after="0"/>
              <w:ind w:left="0" w:right="0" w:hanging="0"/>
              <w:jc w:val="left"/>
              <w:rPr/>
            </w:pPr>
            <w:r>
              <w:rPr/>
              <w:t> </w:t>
            </w:r>
          </w:p>
        </w:tc>
        <w:tc>
          <w:tcPr>
            <w:tcW w:w="540"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5,084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8" w:type="dxa"/>
            <w:tcBorders/>
            <w:shd w:fill="CCEEFF" w:val="clear"/>
            <w:vAlign w:val="center"/>
          </w:tcPr>
          <w:p>
            <w:pPr>
              <w:pStyle w:val="TableContents"/>
              <w:bidi w:val="0"/>
              <w:spacing w:lineRule="auto" w:line="285" w:before="0" w:after="0"/>
              <w:ind w:left="0" w:right="0" w:hanging="0"/>
              <w:jc w:val="left"/>
              <w:rPr/>
            </w:pPr>
            <w:r>
              <w:rPr/>
              <w:t> </w:t>
            </w:r>
          </w:p>
        </w:tc>
        <w:tc>
          <w:tcPr>
            <w:tcW w:w="748"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right"/>
              <w:rPr/>
            </w:pPr>
            <w:r>
              <w:rPr/>
              <w:t> </w:t>
            </w:r>
          </w:p>
        </w:tc>
        <w:tc>
          <w:tcPr>
            <w:tcW w:w="49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25" w:type="dxa"/>
            <w:tcBorders/>
            <w:shd w:fill="CCEEFF" w:val="clear"/>
            <w:vAlign w:val="center"/>
          </w:tcPr>
          <w:p>
            <w:pPr>
              <w:pStyle w:val="TableContents"/>
              <w:bidi w:val="0"/>
              <w:spacing w:lineRule="auto" w:line="285" w:before="0" w:after="0"/>
              <w:ind w:left="0" w:right="0" w:hanging="0"/>
              <w:jc w:val="left"/>
              <w:rPr/>
            </w:pPr>
            <w:r>
              <w:rPr/>
              <w:t> </w:t>
            </w:r>
          </w:p>
        </w:tc>
        <w:tc>
          <w:tcPr>
            <w:tcW w:w="53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49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5,084</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856" w:type="dxa"/>
            <w:tcBorders/>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Other, net of tax</w:t>
            </w:r>
          </w:p>
        </w:tc>
        <w:tc>
          <w:tcPr>
            <w:tcW w:w="346" w:type="dxa"/>
            <w:tcBorders/>
            <w:vAlign w:val="center"/>
          </w:tcPr>
          <w:p>
            <w:pPr>
              <w:pStyle w:val="TableContents"/>
              <w:bidi w:val="0"/>
              <w:spacing w:lineRule="auto" w:line="285" w:before="0" w:after="0"/>
              <w:ind w:left="0" w:right="0" w:hanging="0"/>
              <w:jc w:val="left"/>
              <w:rPr/>
            </w:pPr>
            <w:r>
              <w:rPr/>
              <w:t> </w:t>
            </w:r>
          </w:p>
        </w:tc>
        <w:tc>
          <w:tcPr>
            <w:tcW w:w="4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7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4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74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261</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4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2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4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261</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85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2"/>
              </w:rPr>
            </w:pPr>
            <w:r>
              <w:rPr>
                <w:rFonts w:ascii="Arial;Helvetica;sans-serif" w:hAnsi="Arial;Helvetica;sans-serif"/>
                <w:b/>
                <w:sz w:val="12"/>
              </w:rPr>
              <w:t>Balance as of June 30, 2026</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4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49,255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492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4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(584,900)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4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436,776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74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(111,331)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331,164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2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18,629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90,830</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sz w:val="12"/>
        </w:rPr>
      </w:pPr>
      <w:r>
        <w:rPr>
          <w:rFonts w:ascii="Arial;Helvetica;sans-serif" w:hAnsi="Arial;Helvetica;sans-serif"/>
          <w:sz w:val="12"/>
        </w:rPr>
        <w:t>The accompanying notes are an integral part of these consolidated financial statements.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3</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0"/>
        <w:ind w:left="0" w:right="0" w:hanging="0"/>
        <w:jc w:val="center"/>
        <w:rPr>
          <w:rFonts w:ascii="Arial;Helvetica;sans-serif" w:hAnsi="Arial;Helvetica;sans-serif"/>
          <w:b/>
          <w:sz w:val="16"/>
        </w:rPr>
      </w:pPr>
      <w:bookmarkStart w:id="922" w:name="_79a20ad5_7fe9_44b4_b3dc_b3f3d3b5d979"/>
      <w:bookmarkEnd w:id="922"/>
      <w:r>
        <w:rPr>
          <w:rFonts w:ascii="Arial;Helvetica;sans-serif" w:hAnsi="Arial;Helvetica;sans-serif"/>
          <w:b/>
          <w:sz w:val="16"/>
        </w:rPr>
        <w:t>TTEC HOLDINGS, INC. AND SUBSIDIARIES</w:t>
      </w:r>
    </w:p>
    <w:p>
      <w:pPr>
        <w:pStyle w:val="TextBody"/>
        <w:bidi w:val="0"/>
        <w:spacing w:lineRule="auto" w:line="285" w:before="0" w:after="0"/>
        <w:ind w:left="0" w:right="0" w:hanging="0"/>
        <w:jc w:val="center"/>
        <w:rPr>
          <w:rFonts w:ascii="Arial;Helvetica;sans-serif" w:hAnsi="Arial;Helvetica;sans-serif"/>
          <w:b/>
          <w:sz w:val="16"/>
        </w:rPr>
      </w:pPr>
      <w:bookmarkStart w:id="923" w:name="ConsolidatedStatementsofCashFlow_112435"/>
      <w:bookmarkEnd w:id="923"/>
      <w:r>
        <w:rPr>
          <w:rFonts w:ascii="Arial;Helvetica;sans-serif" w:hAnsi="Arial;Helvetica;sans-serif"/>
          <w:b/>
          <w:sz w:val="16"/>
        </w:rPr>
        <w:t>Consolidated Statements of Cash Flows</w:t>
      </w:r>
    </w:p>
    <w:p>
      <w:pPr>
        <w:pStyle w:val="TextBody"/>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(Amounts in thousands)</w:t>
      </w:r>
    </w:p>
    <w:p>
      <w:pPr>
        <w:pStyle w:val="TextBody"/>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(Unaudited)</w:t>
      </w:r>
    </w:p>
    <w:p>
      <w:pPr>
        <w:pStyle w:val="TextBody"/>
        <w:bidi w:val="0"/>
        <w:spacing w:lineRule="auto" w:line="285" w:before="0" w:after="0"/>
        <w:ind w:left="0" w:right="0" w:hanging="0"/>
        <w:jc w:val="center"/>
        <w:rPr/>
      </w:pPr>
      <w:r>
        <w:rPr/>
        <w:t>​</w:t>
      </w:r>
    </w:p>
    <w:p>
      <w:pPr>
        <w:pStyle w:val="Normal"/>
        <w:bidi w:val="0"/>
        <w:spacing w:before="0" w:after="0"/>
        <w:jc w:val="left"/>
        <w:rPr>
          <w:sz w:val="4"/>
          <w:szCs w:val="4"/>
        </w:rPr>
      </w:pPr>
      <w:r>
        <w:rPr>
          <w:sz w:val="4"/>
          <w:szCs w:val="4"/>
        </w:rPr>
      </w:r>
      <w:bookmarkStart w:id="924" w:name="Tc_JyVgfzH2zEK_h7SE8P4kfQ_55_5"/>
      <w:bookmarkStart w:id="925" w:name="Tc_7FqQTHJ7yEi5O8G1YnuVFw_55_2"/>
      <w:bookmarkStart w:id="926" w:name="Tc_7DyJwhtMN0O7tIHPDPvqcQ_55_0"/>
      <w:bookmarkStart w:id="927" w:name="Tc_eEdz3bqkNEC0StAHKS9VWg_54_5"/>
      <w:bookmarkStart w:id="928" w:name="Tc_Yc0d-VhR3EOXiFpBqPoSlQ_54_2"/>
      <w:bookmarkStart w:id="929" w:name="Tc_pIvnyRhaJ0O8otEfEQnfiA_54_0"/>
      <w:bookmarkStart w:id="930" w:name="Tc_fU1wr_8Qv0WwWnjS7_FERw_53_0"/>
      <w:bookmarkStart w:id="931" w:name="Tc_ZF4VZZAKp0SXfABmo0hKOg_52_5"/>
      <w:bookmarkStart w:id="932" w:name="Tc_8CWs_q5E8EuOpRT3ae7YjQ_52_2"/>
      <w:bookmarkStart w:id="933" w:name="Tc_Ye_lZv2JR0uYobp7EQXXlw_52_0"/>
      <w:bookmarkStart w:id="934" w:name="Tc_DYNV9_gTb0ixD5l3I2_fQQ_51_5"/>
      <w:bookmarkStart w:id="935" w:name="Tc_2M5mesC3r0-OGqkJC8nnkA_51_2"/>
      <w:bookmarkStart w:id="936" w:name="Tc__gIXN-EV4UeTpBwIFGav1w_51_0"/>
      <w:bookmarkStart w:id="937" w:name="Tc_2DrU3MX2lUi6rpYl41f5fw_50_0"/>
      <w:bookmarkStart w:id="938" w:name="Tc_uihgyonR6UaFULhM2Mm2qg_48_5"/>
      <w:bookmarkStart w:id="939" w:name="Tc_lS0KyRmikkG72d68PcNMwQ_48_2"/>
      <w:bookmarkStart w:id="940" w:name="Tc_UsoDhSX2GUmO6Hz8Htq6CQ_48_0"/>
      <w:bookmarkStart w:id="941" w:name="Tc_CTP0eEu2PkCWbcmL7Ssk5g_47_0"/>
      <w:bookmarkStart w:id="942" w:name="Tc_g9s29SGTSka3BbSdI28N3Q_46_0"/>
      <w:bookmarkStart w:id="943" w:name="Tc_8OnA6OGZ3Uqg6OHdjijdKw_44_0"/>
      <w:bookmarkStart w:id="944" w:name="Tc_VmfHCOOGGkm7TSuAc7j1KA_42_0"/>
      <w:bookmarkStart w:id="945" w:name="Tc_T-JtugS7bESKThArew1Nbg_41_0"/>
      <w:bookmarkStart w:id="946" w:name="Tc_0Rq8xdWnGE2MiAGn-p79dg_40_0"/>
      <w:bookmarkStart w:id="947" w:name="Tc_Tkf-dSBkxEOhZ8eAtBYdvg_39_0"/>
      <w:bookmarkStart w:id="948" w:name="Tc_9-L8zLR6_0yp1BjxYOKyCg_38_6"/>
      <w:bookmarkStart w:id="949" w:name="Tc_Lm0AJ9lbVk6OyhkDgokfbg_38_0"/>
      <w:bookmarkStart w:id="950" w:name="Tc_u2M9Azu-IkyTdqDap1a8Ow_37_0"/>
      <w:bookmarkStart w:id="951" w:name="Tc_MgA3TYYCIUayiAP1QwEzug_36_6"/>
      <w:bookmarkStart w:id="952" w:name="Tc_WCe16ma8vkiv1zVHki0JDw_36_0"/>
      <w:bookmarkStart w:id="953" w:name="Tc_AWBvOcxO5E-yLk_hUeWWeA_35_0"/>
      <w:bookmarkStart w:id="954" w:name="Tc_25Q_MTKCtE2pGyOR1R6PGg_34_0"/>
      <w:bookmarkStart w:id="955" w:name="Tc_4Hbp2WrLAUuDsrEAXGOPnQ_32_0"/>
      <w:bookmarkStart w:id="956" w:name="Tc_WZNwN7woI02vw2BXWFSC_w_31_0"/>
      <w:bookmarkStart w:id="957" w:name="Tc_DnCzrh7EI02h-kcxKMOhAA_30_0"/>
      <w:bookmarkStart w:id="958" w:name="Tc_DVCh5Xhzck-pJflaFHZJLw_29_0"/>
      <w:bookmarkStart w:id="959" w:name="Tc_GsZwSNOENku4nkQ5kmgNeA_27_0"/>
      <w:bookmarkStart w:id="960" w:name="Tc_TAuYjE66_0Cy2VdZwIKahA_26_0"/>
      <w:bookmarkStart w:id="961" w:name="Tc_RYN-3LewPkyCh94TbIG4SQ_25_0"/>
      <w:bookmarkStart w:id="962" w:name="Tc_0aZKMEGLIkerGeWklpr4EQ_24_0"/>
      <w:bookmarkStart w:id="963" w:name="Tc_iTC0L5yx70C2n9VPl7AC2Q_23_0"/>
      <w:bookmarkStart w:id="964" w:name="Tc_nbJCJVVNpkaK0FYM33zrhw_22_0"/>
      <w:bookmarkStart w:id="965" w:name="Tc_kyqasSjQJkaYZ05C4SaIVA_21_0"/>
      <w:bookmarkStart w:id="966" w:name="Tc_sGnMmtnDm0mIb_RV_3zaLg_20_0"/>
      <w:bookmarkStart w:id="967" w:name="Tc_8rRPxC95Hku0s_idvM7RSA_19_0"/>
      <w:bookmarkStart w:id="968" w:name="Tc_w33vnWj8bUepk72RKtYZSw_18_0"/>
      <w:bookmarkStart w:id="969" w:name="Tc_YSPWw-aHsU6vdWh2WecTvw_17_0"/>
      <w:bookmarkStart w:id="970" w:name="Tc_yYsPcWpd8Eqo72qVRFAbog_16_0"/>
      <w:bookmarkStart w:id="971" w:name="Tc_v5nrxmRT7UaJrqifa4pZUQ_15_0"/>
      <w:bookmarkStart w:id="972" w:name="Tc_K9ei0B8szkCxwhMSp7ZVBQ_14_0"/>
      <w:bookmarkStart w:id="973" w:name="Tc_PVNZv713uEKdzpgyvH6d4g_13_0"/>
      <w:bookmarkStart w:id="974" w:name="Tc__ZalqB1N2UWbFwiEuBb__Q_12_0"/>
      <w:bookmarkStart w:id="975" w:name="Tc_tstVp8lATE6yl4UN5rwMow_11_6"/>
      <w:bookmarkStart w:id="976" w:name="Tc_bVr3Ysl6Nk2_tQv9cvfqvQ_11_0"/>
      <w:bookmarkStart w:id="977" w:name="Tc_gTEBnGktckuMqGfBjlxTFA_10_0"/>
      <w:bookmarkStart w:id="978" w:name="Tc_fX7hYsg3HUKG5z-NWT4YXw_9_0"/>
      <w:bookmarkStart w:id="979" w:name="Tc_4-YjivQAbUuyj6rktnrQHQ_8_0"/>
      <w:bookmarkStart w:id="980" w:name="Tc_4E39WQBylkGqtRrgEE88eg_7_0"/>
      <w:bookmarkStart w:id="981" w:name="Tc_WPH3L7kbIEugpjPlm3lcvA_6_0"/>
      <w:bookmarkStart w:id="982" w:name="Tc_kdpFx0u1C0q20j8pi5l3_g_5_0"/>
      <w:bookmarkStart w:id="983" w:name="Tc_zMpeAuSQBUa4J2C3a_yLWw_4_5"/>
      <w:bookmarkStart w:id="984" w:name="Tc_6-Jmb_E0102XZSlZDjjB7w_4_2"/>
      <w:bookmarkStart w:id="985" w:name="Tc_9b0Nul-q_UakMDS7MZrkZQ_4_0"/>
      <w:bookmarkStart w:id="986" w:name="Tc_UELJOZTr5E-R7KYGxzmfnw_3_0"/>
      <w:bookmarkStart w:id="987" w:name="Tc_JDYj9Ap1RkyNdQEGAKP_KA_2_5"/>
      <w:bookmarkStart w:id="988" w:name="Tc_1qjMuaRyqUWyVCz60b8WKA_2_2"/>
      <w:bookmarkStart w:id="989" w:name="Tc_QLprNzUJ-kabV3RNG7Y_Hg_1_2"/>
      <w:bookmarkStart w:id="990" w:name="_8a8b10b4_bea4_4b52_8bb1_1312bfe912ae"/>
      <w:bookmarkStart w:id="991" w:name="Tc_JyVgfzH2zEK_h7SE8P4kfQ_55_5"/>
      <w:bookmarkStart w:id="992" w:name="Tc_7FqQTHJ7yEi5O8G1YnuVFw_55_2"/>
      <w:bookmarkStart w:id="993" w:name="Tc_7DyJwhtMN0O7tIHPDPvqcQ_55_0"/>
      <w:bookmarkStart w:id="994" w:name="Tc_eEdz3bqkNEC0StAHKS9VWg_54_5"/>
      <w:bookmarkStart w:id="995" w:name="Tc_Yc0d-VhR3EOXiFpBqPoSlQ_54_2"/>
      <w:bookmarkStart w:id="996" w:name="Tc_pIvnyRhaJ0O8otEfEQnfiA_54_0"/>
      <w:bookmarkStart w:id="997" w:name="Tc_fU1wr_8Qv0WwWnjS7_FERw_53_0"/>
      <w:bookmarkStart w:id="998" w:name="Tc_ZF4VZZAKp0SXfABmo0hKOg_52_5"/>
      <w:bookmarkStart w:id="999" w:name="Tc_8CWs_q5E8EuOpRT3ae7YjQ_52_2"/>
      <w:bookmarkStart w:id="1000" w:name="Tc_Ye_lZv2JR0uYobp7EQXXlw_52_0"/>
      <w:bookmarkStart w:id="1001" w:name="Tc_DYNV9_gTb0ixD5l3I2_fQQ_51_5"/>
      <w:bookmarkStart w:id="1002" w:name="Tc_2M5mesC3r0-OGqkJC8nnkA_51_2"/>
      <w:bookmarkStart w:id="1003" w:name="Tc__gIXN-EV4UeTpBwIFGav1w_51_0"/>
      <w:bookmarkStart w:id="1004" w:name="Tc_2DrU3MX2lUi6rpYl41f5fw_50_0"/>
      <w:bookmarkStart w:id="1005" w:name="Tc_uihgyonR6UaFULhM2Mm2qg_48_5"/>
      <w:bookmarkStart w:id="1006" w:name="Tc_lS0KyRmikkG72d68PcNMwQ_48_2"/>
      <w:bookmarkStart w:id="1007" w:name="Tc_UsoDhSX2GUmO6Hz8Htq6CQ_48_0"/>
      <w:bookmarkStart w:id="1008" w:name="Tc_CTP0eEu2PkCWbcmL7Ssk5g_47_0"/>
      <w:bookmarkStart w:id="1009" w:name="Tc_g9s29SGTSka3BbSdI28N3Q_46_0"/>
      <w:bookmarkStart w:id="1010" w:name="Tc_8OnA6OGZ3Uqg6OHdjijdKw_44_0"/>
      <w:bookmarkStart w:id="1011" w:name="Tc_VmfHCOOGGkm7TSuAc7j1KA_42_0"/>
      <w:bookmarkStart w:id="1012" w:name="Tc_T-JtugS7bESKThArew1Nbg_41_0"/>
      <w:bookmarkStart w:id="1013" w:name="Tc_0Rq8xdWnGE2MiAGn-p79dg_40_0"/>
      <w:bookmarkStart w:id="1014" w:name="Tc_Tkf-dSBkxEOhZ8eAtBYdvg_39_0"/>
      <w:bookmarkStart w:id="1015" w:name="Tc_9-L8zLR6_0yp1BjxYOKyCg_38_6"/>
      <w:bookmarkStart w:id="1016" w:name="Tc_Lm0AJ9lbVk6OyhkDgokfbg_38_0"/>
      <w:bookmarkStart w:id="1017" w:name="Tc_u2M9Azu-IkyTdqDap1a8Ow_37_0"/>
      <w:bookmarkStart w:id="1018" w:name="Tc_MgA3TYYCIUayiAP1QwEzug_36_6"/>
      <w:bookmarkStart w:id="1019" w:name="Tc_WCe16ma8vkiv1zVHki0JDw_36_0"/>
      <w:bookmarkStart w:id="1020" w:name="Tc_AWBvOcxO5E-yLk_hUeWWeA_35_0"/>
      <w:bookmarkStart w:id="1021" w:name="Tc_25Q_MTKCtE2pGyOR1R6PGg_34_0"/>
      <w:bookmarkStart w:id="1022" w:name="Tc_4Hbp2WrLAUuDsrEAXGOPnQ_32_0"/>
      <w:bookmarkStart w:id="1023" w:name="Tc_WZNwN7woI02vw2BXWFSC_w_31_0"/>
      <w:bookmarkStart w:id="1024" w:name="Tc_DnCzrh7EI02h-kcxKMOhAA_30_0"/>
      <w:bookmarkStart w:id="1025" w:name="Tc_DVCh5Xhzck-pJflaFHZJLw_29_0"/>
      <w:bookmarkStart w:id="1026" w:name="Tc_GsZwSNOENku4nkQ5kmgNeA_27_0"/>
      <w:bookmarkStart w:id="1027" w:name="Tc_TAuYjE66_0Cy2VdZwIKahA_26_0"/>
      <w:bookmarkStart w:id="1028" w:name="Tc_RYN-3LewPkyCh94TbIG4SQ_25_0"/>
      <w:bookmarkStart w:id="1029" w:name="Tc_0aZKMEGLIkerGeWklpr4EQ_24_0"/>
      <w:bookmarkStart w:id="1030" w:name="Tc_iTC0L5yx70C2n9VPl7AC2Q_23_0"/>
      <w:bookmarkStart w:id="1031" w:name="Tc_nbJCJVVNpkaK0FYM33zrhw_22_0"/>
      <w:bookmarkStart w:id="1032" w:name="Tc_kyqasSjQJkaYZ05C4SaIVA_21_0"/>
      <w:bookmarkStart w:id="1033" w:name="Tc_sGnMmtnDm0mIb_RV_3zaLg_20_0"/>
      <w:bookmarkStart w:id="1034" w:name="Tc_8rRPxC95Hku0s_idvM7RSA_19_0"/>
      <w:bookmarkStart w:id="1035" w:name="Tc_w33vnWj8bUepk72RKtYZSw_18_0"/>
      <w:bookmarkStart w:id="1036" w:name="Tc_YSPWw-aHsU6vdWh2WecTvw_17_0"/>
      <w:bookmarkStart w:id="1037" w:name="Tc_yYsPcWpd8Eqo72qVRFAbog_16_0"/>
      <w:bookmarkStart w:id="1038" w:name="Tc_v5nrxmRT7UaJrqifa4pZUQ_15_0"/>
      <w:bookmarkStart w:id="1039" w:name="Tc_K9ei0B8szkCxwhMSp7ZVBQ_14_0"/>
      <w:bookmarkStart w:id="1040" w:name="Tc_PVNZv713uEKdzpgyvH6d4g_13_0"/>
      <w:bookmarkStart w:id="1041" w:name="Tc__ZalqB1N2UWbFwiEuBb__Q_12_0"/>
      <w:bookmarkStart w:id="1042" w:name="Tc_tstVp8lATE6yl4UN5rwMow_11_6"/>
      <w:bookmarkStart w:id="1043" w:name="Tc_bVr3Ysl6Nk2_tQv9cvfqvQ_11_0"/>
      <w:bookmarkStart w:id="1044" w:name="Tc_gTEBnGktckuMqGfBjlxTFA_10_0"/>
      <w:bookmarkStart w:id="1045" w:name="Tc_fX7hYsg3HUKG5z-NWT4YXw_9_0"/>
      <w:bookmarkStart w:id="1046" w:name="Tc_4-YjivQAbUuyj6rktnrQHQ_8_0"/>
      <w:bookmarkStart w:id="1047" w:name="Tc_4E39WQBylkGqtRrgEE88eg_7_0"/>
      <w:bookmarkStart w:id="1048" w:name="Tc_WPH3L7kbIEugpjPlm3lcvA_6_0"/>
      <w:bookmarkStart w:id="1049" w:name="Tc_kdpFx0u1C0q20j8pi5l3_g_5_0"/>
      <w:bookmarkStart w:id="1050" w:name="Tc_zMpeAuSQBUa4J2C3a_yLWw_4_5"/>
      <w:bookmarkStart w:id="1051" w:name="Tc_6-Jmb_E0102XZSlZDjjB7w_4_2"/>
      <w:bookmarkStart w:id="1052" w:name="Tc_9b0Nul-q_UakMDS7MZrkZQ_4_0"/>
      <w:bookmarkStart w:id="1053" w:name="Tc_UELJOZTr5E-R7KYGxzmfnw_3_0"/>
      <w:bookmarkStart w:id="1054" w:name="Tc_JDYj9Ap1RkyNdQEGAKP_KA_2_5"/>
      <w:bookmarkStart w:id="1055" w:name="Tc_1qjMuaRyqUWyVCz60b8WKA_2_2"/>
      <w:bookmarkStart w:id="1056" w:name="Tc_QLprNzUJ-kabV3RNG7Y_Hg_1_2"/>
      <w:bookmarkStart w:id="1057" w:name="_8a8b10b4_bea4_4b52_8bb1_1312bfe912ae"/>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p>
    <w:tbl>
      <w:tblPr>
        <w:tblW w:w="10205" w:type="dxa"/>
        <w:jc w:val="left"/>
        <w:tblInd w:w="0" w:type="dxa"/>
        <w:tblLayout w:type="fixed"/>
        <w:tblCellMar>
          <w:top w:w="0" w:type="dxa"/>
          <w:left w:w="0" w:type="dxa"/>
          <w:bottom w:w="0" w:type="dxa"/>
          <w:right w:w="0" w:type="dxa"/>
        </w:tblCellMar>
      </w:tblPr>
      <w:tblGrid>
        <w:gridCol w:w="7025"/>
        <w:gridCol w:w="346"/>
        <w:gridCol w:w="217"/>
        <w:gridCol w:w="824"/>
        <w:gridCol w:w="357"/>
        <w:gridCol w:w="217"/>
        <w:gridCol w:w="824"/>
        <w:gridCol w:w="395"/>
      </w:tblGrid>
      <w:tr>
        <w:trPr/>
        <w:tc>
          <w:tcPr>
            <w:tcW w:w="70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4460875" cy="175260"/>
                      <wp:effectExtent l="0" t="0" r="0" b="0"/>
                      <wp:wrapNone/>
                      <wp:docPr id="126" name="Frame126"/>
                      <a:graphic xmlns:a="http://schemas.openxmlformats.org/drawingml/2006/main">
                        <a:graphicData uri="http://schemas.microsoft.com/office/word/2010/wordprocessingShape">
                          <wps:wsp>
                            <wps:cNvSpPr txBox="1"/>
                            <wps:spPr>
                              <a:xfrm>
                                <a:off x="0" y="0"/>
                                <a:ext cx="44608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27"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37795" cy="175260"/>
                      <wp:effectExtent l="0" t="0" r="0" b="0"/>
                      <wp:wrapNone/>
                      <wp:docPr id="128" name="Frame128"/>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523240" cy="175260"/>
                      <wp:effectExtent l="0" t="0" r="0" b="0"/>
                      <wp:wrapNone/>
                      <wp:docPr id="129" name="Frame129"/>
                      <a:graphic xmlns:a="http://schemas.openxmlformats.org/drawingml/2006/main">
                        <a:graphicData uri="http://schemas.microsoft.com/office/word/2010/wordprocessingShape">
                          <wps:wsp>
                            <wps:cNvSpPr txBox="1"/>
                            <wps:spPr>
                              <a:xfrm>
                                <a:off x="0" y="0"/>
                                <a:ext cx="5232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26695" cy="175260"/>
                      <wp:effectExtent l="0" t="0" r="0" b="0"/>
                      <wp:wrapNone/>
                      <wp:docPr id="130" name="Frame130"/>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7795" cy="175260"/>
                      <wp:effectExtent l="0" t="0" r="0" b="0"/>
                      <wp:wrapNone/>
                      <wp:docPr id="131" name="Frame131"/>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523240" cy="175260"/>
                      <wp:effectExtent l="0" t="0" r="0" b="0"/>
                      <wp:wrapNone/>
                      <wp:docPr id="132" name="Frame132"/>
                      <a:graphic xmlns:a="http://schemas.openxmlformats.org/drawingml/2006/main">
                        <a:graphicData uri="http://schemas.microsoft.com/office/word/2010/wordprocessingShape">
                          <wps:wsp>
                            <wps:cNvSpPr txBox="1"/>
                            <wps:spPr>
                              <a:xfrm>
                                <a:off x="0" y="0"/>
                                <a:ext cx="5232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50825" cy="175260"/>
                      <wp:effectExtent l="0" t="0" r="0" b="0"/>
                      <wp:wrapNone/>
                      <wp:docPr id="133" name="Frame133"/>
                      <a:graphic xmlns:a="http://schemas.openxmlformats.org/drawingml/2006/main">
                        <a:graphicData uri="http://schemas.microsoft.com/office/word/2010/wordprocessingShape">
                          <wps:wsp>
                            <wps:cNvSpPr txBox="1"/>
                            <wps:spPr>
                              <a:xfrm>
                                <a:off x="0" y="0"/>
                                <a:ext cx="2508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7025"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2439"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xml:space="preserve">Six Months Ended June 30, </w:t>
            </w:r>
          </w:p>
        </w:tc>
        <w:tc>
          <w:tcPr>
            <w:tcW w:w="395" w:type="dxa"/>
            <w:tcBorders/>
            <w:vAlign w:val="center"/>
          </w:tcPr>
          <w:p>
            <w:pPr>
              <w:pStyle w:val="TableContents"/>
              <w:bidi w:val="0"/>
              <w:spacing w:lineRule="auto" w:line="285" w:before="0" w:after="0"/>
              <w:ind w:left="0" w:right="0" w:hanging="0"/>
              <w:jc w:val="left"/>
              <w:rPr/>
            </w:pPr>
            <w:r>
              <w:rPr/>
              <w:t>​</w:t>
            </w:r>
          </w:p>
        </w:tc>
      </w:tr>
      <w:tr>
        <w:trPr/>
        <w:tc>
          <w:tcPr>
            <w:tcW w:w="7025"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04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357" w:type="dxa"/>
            <w:tcBorders/>
            <w:vAlign w:val="center"/>
          </w:tcPr>
          <w:p>
            <w:pPr>
              <w:pStyle w:val="TableContents"/>
              <w:bidi w:val="0"/>
              <w:spacing w:lineRule="auto" w:line="285" w:before="0" w:after="0"/>
              <w:ind w:left="0" w:right="0" w:hanging="0"/>
              <w:jc w:val="center"/>
              <w:rPr/>
            </w:pPr>
            <w:r>
              <w:rPr/>
              <w:t>  ​ ​ ​</w:t>
            </w:r>
          </w:p>
        </w:tc>
        <w:tc>
          <w:tcPr>
            <w:tcW w:w="104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95" w:type="dxa"/>
            <w:tcBorders/>
            <w:vAlign w:val="center"/>
          </w:tcPr>
          <w:p>
            <w:pPr>
              <w:pStyle w:val="TableContents"/>
              <w:bidi w:val="0"/>
              <w:spacing w:lineRule="auto" w:line="285" w:before="0" w:after="0"/>
              <w:ind w:left="0" w:right="0" w:hanging="0"/>
              <w:jc w:val="center"/>
              <w:rPr/>
            </w:pPr>
            <w:r>
              <w:rPr/>
              <w:t>  ​ ​ ​</w:t>
            </w:r>
          </w:p>
        </w:tc>
      </w:tr>
      <w:tr>
        <w:trPr/>
        <w:tc>
          <w:tcPr>
            <w:tcW w:w="7025"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Cash flows from operating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shd w:fill="CCEEFF" w:val="clear"/>
            <w:vAlign w:val="center"/>
          </w:tcPr>
          <w:p>
            <w:pPr>
              <w:pStyle w:val="TableContents"/>
              <w:bidi w:val="0"/>
              <w:spacing w:lineRule="auto" w:line="285" w:before="0" w:after="0"/>
              <w:ind w:left="0" w:right="0" w:hanging="0"/>
              <w:jc w:val="right"/>
              <w:rPr/>
            </w:pPr>
            <w:r>
              <w:rPr/>
              <w:t>​</w:t>
            </w:r>
          </w:p>
        </w:tc>
        <w:tc>
          <w:tcPr>
            <w:tcW w:w="824" w:type="dxa"/>
            <w:tcBorders/>
            <w:shd w:fill="CCEEFF" w:val="clear"/>
            <w:vAlign w:val="center"/>
          </w:tcPr>
          <w:p>
            <w:pPr>
              <w:pStyle w:val="TableContents"/>
              <w:bidi w:val="0"/>
              <w:spacing w:lineRule="auto" w:line="285" w:before="0" w:after="0"/>
              <w:ind w:left="0" w:right="0" w:hanging="0"/>
              <w:jc w:val="right"/>
              <w:rPr/>
            </w:pPr>
            <w:r>
              <w:rPr/>
              <w:t>​</w:t>
            </w:r>
          </w:p>
        </w:tc>
        <w:tc>
          <w:tcPr>
            <w:tcW w:w="357"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shd w:fill="CCEEFF" w:val="clear"/>
            <w:vAlign w:val="center"/>
          </w:tcPr>
          <w:p>
            <w:pPr>
              <w:pStyle w:val="TableContents"/>
              <w:bidi w:val="0"/>
              <w:spacing w:lineRule="auto" w:line="285" w:before="0" w:after="0"/>
              <w:ind w:left="0" w:right="0" w:hanging="0"/>
              <w:jc w:val="right"/>
              <w:rPr/>
            </w:pPr>
            <w:r>
              <w:rPr/>
              <w:t>​</w:t>
            </w:r>
          </w:p>
        </w:tc>
        <w:tc>
          <w:tcPr>
            <w:tcW w:w="824" w:type="dxa"/>
            <w:tcBorders/>
            <w:shd w:fill="CCEEFF" w:val="clear"/>
            <w:vAlign w:val="center"/>
          </w:tcPr>
          <w:p>
            <w:pPr>
              <w:pStyle w:val="TableContents"/>
              <w:bidi w:val="0"/>
              <w:spacing w:lineRule="auto" w:line="285" w:before="0" w:after="0"/>
              <w:ind w:left="0" w:right="0" w:hanging="0"/>
              <w:jc w:val="right"/>
              <w:rPr/>
            </w:pPr>
            <w:r>
              <w:rPr/>
              <w:t>​</w:t>
            </w:r>
          </w:p>
        </w:tc>
        <w:tc>
          <w:tcPr>
            <w:tcW w:w="395" w:type="dxa"/>
            <w:tcBorders/>
            <w:shd w:fill="CCEEFF" w:val="clear"/>
            <w:vAlign w:val="center"/>
          </w:tcPr>
          <w:p>
            <w:pPr>
              <w:pStyle w:val="TableContents"/>
              <w:bidi w:val="0"/>
              <w:spacing w:lineRule="auto" w:line="285" w:before="0" w:after="0"/>
              <w:ind w:left="0" w:right="0" w:hanging="0"/>
              <w:jc w:val="left"/>
              <w:rPr/>
            </w:pPr>
            <w:r>
              <w:rPr/>
              <w:t>​</w:t>
            </w:r>
          </w:p>
        </w:tc>
      </w:tr>
      <w:tr>
        <w:trPr/>
        <w:tc>
          <w:tcPr>
            <w:tcW w:w="7025"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Net income (loss)</w:t>
            </w:r>
          </w:p>
        </w:tc>
        <w:tc>
          <w:tcPr>
            <w:tcW w:w="346"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4"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(18,185)</w:t>
            </w:r>
          </w:p>
        </w:tc>
        <w:tc>
          <w:tcPr>
            <w:tcW w:w="357"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4"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(3,478)</w:t>
            </w:r>
          </w:p>
        </w:tc>
        <w:tc>
          <w:tcPr>
            <w:tcW w:w="395" w:type="dxa"/>
            <w:tcBorders/>
            <w:vAlign w:val="center"/>
          </w:tcPr>
          <w:p>
            <w:pPr>
              <w:pStyle w:val="TableContents"/>
              <w:bidi w:val="0"/>
              <w:spacing w:lineRule="auto" w:line="285" w:before="0" w:after="0"/>
              <w:ind w:left="0" w:right="0" w:hanging="0"/>
              <w:jc w:val="left"/>
              <w:rPr/>
            </w:pPr>
            <w:r>
              <w:rPr/>
              <w:t>​</w:t>
            </w:r>
          </w:p>
        </w:tc>
      </w:tr>
      <w:tr>
        <w:trPr/>
        <w:tc>
          <w:tcPr>
            <w:tcW w:w="7025"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Adjustments to reconcile net income (loss) to net cash provided by operating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shd w:fill="CCEEFF" w:val="clear"/>
            <w:vAlign w:val="center"/>
          </w:tcPr>
          <w:p>
            <w:pPr>
              <w:pStyle w:val="TableContents"/>
              <w:bidi w:val="0"/>
              <w:spacing w:lineRule="auto" w:line="285" w:before="0" w:after="0"/>
              <w:ind w:left="0" w:right="0" w:hanging="0"/>
              <w:jc w:val="right"/>
              <w:rPr/>
            </w:pPr>
            <w:r>
              <w:rPr/>
              <w:t>​</w:t>
            </w:r>
          </w:p>
        </w:tc>
        <w:tc>
          <w:tcPr>
            <w:tcW w:w="824" w:type="dxa"/>
            <w:tcBorders/>
            <w:shd w:fill="CCEEFF" w:val="clear"/>
            <w:vAlign w:val="center"/>
          </w:tcPr>
          <w:p>
            <w:pPr>
              <w:pStyle w:val="TableContents"/>
              <w:bidi w:val="0"/>
              <w:spacing w:lineRule="auto" w:line="285" w:before="0" w:after="0"/>
              <w:ind w:left="0" w:right="0" w:hanging="0"/>
              <w:jc w:val="right"/>
              <w:rPr/>
            </w:pPr>
            <w:r>
              <w:rPr/>
              <w:t>​</w:t>
            </w:r>
          </w:p>
        </w:tc>
        <w:tc>
          <w:tcPr>
            <w:tcW w:w="357"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shd w:fill="CCEEFF" w:val="clear"/>
            <w:vAlign w:val="center"/>
          </w:tcPr>
          <w:p>
            <w:pPr>
              <w:pStyle w:val="TableContents"/>
              <w:bidi w:val="0"/>
              <w:spacing w:lineRule="auto" w:line="285" w:before="0" w:after="0"/>
              <w:ind w:left="0" w:right="0" w:hanging="0"/>
              <w:jc w:val="right"/>
              <w:rPr/>
            </w:pPr>
            <w:r>
              <w:rPr/>
              <w:t>​</w:t>
            </w:r>
          </w:p>
        </w:tc>
        <w:tc>
          <w:tcPr>
            <w:tcW w:w="824" w:type="dxa"/>
            <w:tcBorders/>
            <w:shd w:fill="CCEEFF" w:val="clear"/>
            <w:vAlign w:val="center"/>
          </w:tcPr>
          <w:p>
            <w:pPr>
              <w:pStyle w:val="TableContents"/>
              <w:bidi w:val="0"/>
              <w:spacing w:lineRule="auto" w:line="285" w:before="0" w:after="0"/>
              <w:ind w:left="0" w:right="0" w:hanging="0"/>
              <w:jc w:val="right"/>
              <w:rPr/>
            </w:pPr>
            <w:r>
              <w:rPr/>
              <w:t>​</w:t>
            </w:r>
          </w:p>
        </w:tc>
        <w:tc>
          <w:tcPr>
            <w:tcW w:w="395" w:type="dxa"/>
            <w:tcBorders/>
            <w:shd w:fill="CCEEFF" w:val="clear"/>
            <w:vAlign w:val="center"/>
          </w:tcPr>
          <w:p>
            <w:pPr>
              <w:pStyle w:val="TableContents"/>
              <w:bidi w:val="0"/>
              <w:spacing w:lineRule="auto" w:line="285" w:before="0" w:after="0"/>
              <w:ind w:left="0" w:right="0" w:hanging="0"/>
              <w:jc w:val="left"/>
              <w:rPr/>
            </w:pPr>
            <w:r>
              <w:rPr/>
              <w:t>​</w:t>
            </w:r>
          </w:p>
        </w:tc>
      </w:tr>
      <w:tr>
        <w:trPr/>
        <w:tc>
          <w:tcPr>
            <w:tcW w:w="7025"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Depreciation and amortization</w:t>
            </w:r>
          </w:p>
        </w:tc>
        <w:tc>
          <w:tcPr>
            <w:tcW w:w="346"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0"/>
              <w:ind w:left="0" w:right="0" w:hanging="0"/>
              <w:jc w:val="right"/>
              <w:rPr/>
            </w:pPr>
            <w:r>
              <w:rPr/>
              <w:t> </w:t>
            </w:r>
          </w:p>
        </w:tc>
        <w:tc>
          <w:tcPr>
            <w:tcW w:w="824"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42,446</w:t>
            </w:r>
          </w:p>
        </w:tc>
        <w:tc>
          <w:tcPr>
            <w:tcW w:w="357"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0"/>
              <w:ind w:left="0" w:right="0" w:hanging="0"/>
              <w:jc w:val="right"/>
              <w:rPr/>
            </w:pPr>
            <w:r>
              <w:rPr/>
              <w:t> </w:t>
            </w:r>
          </w:p>
        </w:tc>
        <w:tc>
          <w:tcPr>
            <w:tcW w:w="824"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45,586</w:t>
            </w:r>
          </w:p>
        </w:tc>
        <w:tc>
          <w:tcPr>
            <w:tcW w:w="395" w:type="dxa"/>
            <w:tcBorders/>
            <w:vAlign w:val="center"/>
          </w:tcPr>
          <w:p>
            <w:pPr>
              <w:pStyle w:val="TableContents"/>
              <w:bidi w:val="0"/>
              <w:spacing w:lineRule="auto" w:line="285" w:before="0" w:after="0"/>
              <w:ind w:left="0" w:right="0" w:hanging="0"/>
              <w:jc w:val="left"/>
              <w:rPr/>
            </w:pPr>
            <w:r>
              <w:rPr/>
              <w:t>​</w:t>
            </w:r>
          </w:p>
        </w:tc>
      </w:tr>
      <w:tr>
        <w:trPr/>
        <w:tc>
          <w:tcPr>
            <w:tcW w:w="7025"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Amortization of contract acquisition costs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shd w:fill="CCEEFF" w:val="clear"/>
            <w:vAlign w:val="center"/>
          </w:tcPr>
          <w:p>
            <w:pPr>
              <w:pStyle w:val="TableContents"/>
              <w:bidi w:val="0"/>
              <w:spacing w:lineRule="auto" w:line="285" w:before="0" w:after="0"/>
              <w:ind w:left="0" w:right="0" w:hanging="0"/>
              <w:jc w:val="right"/>
              <w:rPr/>
            </w:pPr>
            <w:r>
              <w:rPr/>
              <w:t> </w:t>
            </w:r>
          </w:p>
        </w:tc>
        <w:tc>
          <w:tcPr>
            <w:tcW w:w="82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646</w:t>
            </w:r>
          </w:p>
        </w:tc>
        <w:tc>
          <w:tcPr>
            <w:tcW w:w="357"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shd w:fill="CCEEFF" w:val="clear"/>
            <w:vAlign w:val="center"/>
          </w:tcPr>
          <w:p>
            <w:pPr>
              <w:pStyle w:val="TableContents"/>
              <w:bidi w:val="0"/>
              <w:spacing w:lineRule="auto" w:line="285" w:before="0" w:after="0"/>
              <w:ind w:left="0" w:right="0" w:hanging="0"/>
              <w:jc w:val="right"/>
              <w:rPr/>
            </w:pPr>
            <w:r>
              <w:rPr/>
              <w:t> </w:t>
            </w:r>
          </w:p>
        </w:tc>
        <w:tc>
          <w:tcPr>
            <w:tcW w:w="82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790</w:t>
            </w:r>
          </w:p>
        </w:tc>
        <w:tc>
          <w:tcPr>
            <w:tcW w:w="395" w:type="dxa"/>
            <w:tcBorders/>
            <w:shd w:fill="CCEEFF" w:val="clear"/>
            <w:vAlign w:val="center"/>
          </w:tcPr>
          <w:p>
            <w:pPr>
              <w:pStyle w:val="TableContents"/>
              <w:bidi w:val="0"/>
              <w:spacing w:lineRule="auto" w:line="285" w:before="0" w:after="0"/>
              <w:ind w:left="0" w:right="0" w:hanging="0"/>
              <w:jc w:val="left"/>
              <w:rPr/>
            </w:pPr>
            <w:r>
              <w:rPr/>
              <w:t>​</w:t>
            </w:r>
          </w:p>
        </w:tc>
      </w:tr>
      <w:tr>
        <w:trPr/>
        <w:tc>
          <w:tcPr>
            <w:tcW w:w="7025"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Amortization of debt issuance costs</w:t>
            </w:r>
          </w:p>
        </w:tc>
        <w:tc>
          <w:tcPr>
            <w:tcW w:w="346"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0"/>
              <w:ind w:left="0" w:right="0" w:hanging="0"/>
              <w:jc w:val="right"/>
              <w:rPr/>
            </w:pPr>
            <w:r>
              <w:rPr/>
              <w:t> </w:t>
            </w:r>
          </w:p>
        </w:tc>
        <w:tc>
          <w:tcPr>
            <w:tcW w:w="824"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1,473</w:t>
            </w:r>
          </w:p>
        </w:tc>
        <w:tc>
          <w:tcPr>
            <w:tcW w:w="357"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0"/>
              <w:ind w:left="0" w:right="0" w:hanging="0"/>
              <w:jc w:val="right"/>
              <w:rPr/>
            </w:pPr>
            <w:r>
              <w:rPr/>
              <w:t> </w:t>
            </w:r>
          </w:p>
        </w:tc>
        <w:tc>
          <w:tcPr>
            <w:tcW w:w="824"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985</w:t>
            </w:r>
          </w:p>
        </w:tc>
        <w:tc>
          <w:tcPr>
            <w:tcW w:w="395" w:type="dxa"/>
            <w:tcBorders/>
            <w:vAlign w:val="center"/>
          </w:tcPr>
          <w:p>
            <w:pPr>
              <w:pStyle w:val="TableContents"/>
              <w:bidi w:val="0"/>
              <w:spacing w:lineRule="auto" w:line="285" w:before="0" w:after="0"/>
              <w:ind w:left="0" w:right="0" w:hanging="0"/>
              <w:jc w:val="left"/>
              <w:rPr/>
            </w:pPr>
            <w:r>
              <w:rPr/>
              <w:t>​</w:t>
            </w:r>
          </w:p>
        </w:tc>
      </w:tr>
      <w:tr>
        <w:trPr/>
        <w:tc>
          <w:tcPr>
            <w:tcW w:w="7025"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Provision for credit losses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shd w:fill="CCEEFF" w:val="clear"/>
            <w:vAlign w:val="center"/>
          </w:tcPr>
          <w:p>
            <w:pPr>
              <w:pStyle w:val="TableContents"/>
              <w:bidi w:val="0"/>
              <w:spacing w:lineRule="auto" w:line="285" w:before="0" w:after="0"/>
              <w:ind w:left="0" w:right="0" w:hanging="0"/>
              <w:jc w:val="right"/>
              <w:rPr/>
            </w:pPr>
            <w:r>
              <w:rPr/>
              <w:t> </w:t>
            </w:r>
          </w:p>
        </w:tc>
        <w:tc>
          <w:tcPr>
            <w:tcW w:w="82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89</w:t>
            </w:r>
          </w:p>
        </w:tc>
        <w:tc>
          <w:tcPr>
            <w:tcW w:w="357"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shd w:fill="CCEEFF" w:val="clear"/>
            <w:vAlign w:val="center"/>
          </w:tcPr>
          <w:p>
            <w:pPr>
              <w:pStyle w:val="TableContents"/>
              <w:bidi w:val="0"/>
              <w:spacing w:lineRule="auto" w:line="285" w:before="0" w:after="0"/>
              <w:ind w:left="0" w:right="0" w:hanging="0"/>
              <w:jc w:val="right"/>
              <w:rPr/>
            </w:pPr>
            <w:r>
              <w:rPr/>
              <w:t> </w:t>
            </w:r>
          </w:p>
        </w:tc>
        <w:tc>
          <w:tcPr>
            <w:tcW w:w="82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598</w:t>
            </w:r>
          </w:p>
        </w:tc>
        <w:tc>
          <w:tcPr>
            <w:tcW w:w="395" w:type="dxa"/>
            <w:tcBorders/>
            <w:shd w:fill="CCEEFF" w:val="clear"/>
            <w:vAlign w:val="center"/>
          </w:tcPr>
          <w:p>
            <w:pPr>
              <w:pStyle w:val="TableContents"/>
              <w:bidi w:val="0"/>
              <w:spacing w:lineRule="auto" w:line="285" w:before="0" w:after="0"/>
              <w:ind w:left="0" w:right="0" w:hanging="0"/>
              <w:jc w:val="left"/>
              <w:rPr/>
            </w:pPr>
            <w:r>
              <w:rPr/>
              <w:t>​</w:t>
            </w:r>
          </w:p>
        </w:tc>
      </w:tr>
      <w:tr>
        <w:trPr/>
        <w:tc>
          <w:tcPr>
            <w:tcW w:w="7025"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Loss on disposal of assets</w:t>
            </w:r>
          </w:p>
        </w:tc>
        <w:tc>
          <w:tcPr>
            <w:tcW w:w="346"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0"/>
              <w:ind w:left="0" w:right="0" w:hanging="0"/>
              <w:jc w:val="right"/>
              <w:rPr/>
            </w:pPr>
            <w:r>
              <w:rPr/>
              <w:t>​</w:t>
            </w:r>
          </w:p>
        </w:tc>
        <w:tc>
          <w:tcPr>
            <w:tcW w:w="824"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109</w:t>
            </w:r>
          </w:p>
        </w:tc>
        <w:tc>
          <w:tcPr>
            <w:tcW w:w="357"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0"/>
              <w:ind w:left="0" w:right="0" w:hanging="0"/>
              <w:jc w:val="right"/>
              <w:rPr/>
            </w:pPr>
            <w:r>
              <w:rPr/>
              <w:t>​</w:t>
            </w:r>
          </w:p>
        </w:tc>
        <w:tc>
          <w:tcPr>
            <w:tcW w:w="824"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597</w:t>
            </w:r>
          </w:p>
        </w:tc>
        <w:tc>
          <w:tcPr>
            <w:tcW w:w="395" w:type="dxa"/>
            <w:tcBorders/>
            <w:vAlign w:val="center"/>
          </w:tcPr>
          <w:p>
            <w:pPr>
              <w:pStyle w:val="TableContents"/>
              <w:bidi w:val="0"/>
              <w:spacing w:lineRule="auto" w:line="285" w:before="0" w:after="0"/>
              <w:ind w:left="0" w:right="0" w:hanging="0"/>
              <w:jc w:val="left"/>
              <w:rPr/>
            </w:pPr>
            <w:r>
              <w:rPr/>
              <w:t>​</w:t>
            </w:r>
          </w:p>
        </w:tc>
      </w:tr>
      <w:tr>
        <w:trPr/>
        <w:tc>
          <w:tcPr>
            <w:tcW w:w="7025"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Loss on dissolution of subsidiary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shd w:fill="CCEEFF" w:val="clear"/>
            <w:vAlign w:val="center"/>
          </w:tcPr>
          <w:p>
            <w:pPr>
              <w:pStyle w:val="TableContents"/>
              <w:bidi w:val="0"/>
              <w:spacing w:lineRule="auto" w:line="285" w:before="0" w:after="0"/>
              <w:ind w:left="0" w:right="0" w:hanging="0"/>
              <w:jc w:val="right"/>
              <w:rPr/>
            </w:pPr>
            <w:r>
              <w:rPr/>
              <w:t>​</w:t>
            </w:r>
          </w:p>
        </w:tc>
        <w:tc>
          <w:tcPr>
            <w:tcW w:w="82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102</w:t>
            </w:r>
          </w:p>
        </w:tc>
        <w:tc>
          <w:tcPr>
            <w:tcW w:w="357"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shd w:fill="CCEEFF" w:val="clear"/>
            <w:vAlign w:val="center"/>
          </w:tcPr>
          <w:p>
            <w:pPr>
              <w:pStyle w:val="TableContents"/>
              <w:bidi w:val="0"/>
              <w:spacing w:lineRule="auto" w:line="285" w:before="0" w:after="0"/>
              <w:ind w:left="0" w:right="0" w:hanging="0"/>
              <w:jc w:val="right"/>
              <w:rPr/>
            </w:pPr>
            <w:r>
              <w:rPr/>
              <w:t>​</w:t>
            </w:r>
          </w:p>
        </w:tc>
        <w:tc>
          <w:tcPr>
            <w:tcW w:w="824" w:type="dxa"/>
            <w:tcBorders/>
            <w:shd w:fill="CCEEFF" w:val="clear"/>
            <w:vAlign w:val="center"/>
          </w:tcPr>
          <w:p>
            <w:pPr>
              <w:pStyle w:val="TableContents"/>
              <w:bidi w:val="0"/>
              <w:spacing w:lineRule="auto" w:line="285" w:before="0" w:after="0"/>
              <w:ind w:left="0" w:right="0" w:hanging="0"/>
              <w:jc w:val="right"/>
              <w:rPr/>
            </w:pPr>
            <w:r>
              <w:rPr/>
              <w:t>—</w:t>
            </w:r>
          </w:p>
        </w:tc>
        <w:tc>
          <w:tcPr>
            <w:tcW w:w="395" w:type="dxa"/>
            <w:tcBorders/>
            <w:shd w:fill="CCEEFF" w:val="clear"/>
            <w:vAlign w:val="center"/>
          </w:tcPr>
          <w:p>
            <w:pPr>
              <w:pStyle w:val="TableContents"/>
              <w:bidi w:val="0"/>
              <w:spacing w:lineRule="auto" w:line="285" w:before="0" w:after="0"/>
              <w:ind w:left="0" w:right="0" w:hanging="0"/>
              <w:jc w:val="left"/>
              <w:rPr/>
            </w:pPr>
            <w:r>
              <w:rPr/>
              <w:t>​</w:t>
            </w:r>
          </w:p>
        </w:tc>
      </w:tr>
      <w:tr>
        <w:trPr/>
        <w:tc>
          <w:tcPr>
            <w:tcW w:w="7025"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Impairment losses</w:t>
            </w:r>
          </w:p>
        </w:tc>
        <w:tc>
          <w:tcPr>
            <w:tcW w:w="346"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0"/>
              <w:ind w:left="0" w:right="0" w:hanging="0"/>
              <w:jc w:val="right"/>
              <w:rPr/>
            </w:pPr>
            <w:r>
              <w:rPr/>
              <w:t> </w:t>
            </w:r>
          </w:p>
        </w:tc>
        <w:tc>
          <w:tcPr>
            <w:tcW w:w="824"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2,414</w:t>
            </w:r>
          </w:p>
        </w:tc>
        <w:tc>
          <w:tcPr>
            <w:tcW w:w="357"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0"/>
              <w:ind w:left="0" w:right="0" w:hanging="0"/>
              <w:jc w:val="right"/>
              <w:rPr/>
            </w:pPr>
            <w:r>
              <w:rPr/>
              <w:t> </w:t>
            </w:r>
          </w:p>
        </w:tc>
        <w:tc>
          <w:tcPr>
            <w:tcW w:w="824"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1,525</w:t>
            </w:r>
          </w:p>
        </w:tc>
        <w:tc>
          <w:tcPr>
            <w:tcW w:w="395" w:type="dxa"/>
            <w:tcBorders/>
            <w:vAlign w:val="center"/>
          </w:tcPr>
          <w:p>
            <w:pPr>
              <w:pStyle w:val="TableContents"/>
              <w:bidi w:val="0"/>
              <w:spacing w:lineRule="auto" w:line="285" w:before="0" w:after="0"/>
              <w:ind w:left="0" w:right="0" w:hanging="0"/>
              <w:jc w:val="left"/>
              <w:rPr/>
            </w:pPr>
            <w:r>
              <w:rPr/>
              <w:t>​</w:t>
            </w:r>
          </w:p>
        </w:tc>
      </w:tr>
      <w:tr>
        <w:trPr/>
        <w:tc>
          <w:tcPr>
            <w:tcW w:w="7025"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Deferred income taxes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shd w:fill="CCEEFF" w:val="clear"/>
            <w:vAlign w:val="center"/>
          </w:tcPr>
          <w:p>
            <w:pPr>
              <w:pStyle w:val="TableContents"/>
              <w:bidi w:val="0"/>
              <w:spacing w:lineRule="auto" w:line="285" w:before="0" w:after="0"/>
              <w:ind w:left="0" w:right="0" w:hanging="0"/>
              <w:jc w:val="right"/>
              <w:rPr/>
            </w:pPr>
            <w:r>
              <w:rPr/>
              <w:t> </w:t>
            </w:r>
          </w:p>
        </w:tc>
        <w:tc>
          <w:tcPr>
            <w:tcW w:w="82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135</w:t>
            </w:r>
          </w:p>
        </w:tc>
        <w:tc>
          <w:tcPr>
            <w:tcW w:w="357"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shd w:fill="CCEEFF" w:val="clear"/>
            <w:vAlign w:val="center"/>
          </w:tcPr>
          <w:p>
            <w:pPr>
              <w:pStyle w:val="TableContents"/>
              <w:bidi w:val="0"/>
              <w:spacing w:lineRule="auto" w:line="285" w:before="0" w:after="0"/>
              <w:ind w:left="0" w:right="0" w:hanging="0"/>
              <w:jc w:val="right"/>
              <w:rPr/>
            </w:pPr>
            <w:r>
              <w:rPr/>
              <w:t> </w:t>
            </w:r>
          </w:p>
        </w:tc>
        <w:tc>
          <w:tcPr>
            <w:tcW w:w="82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3,033</w:t>
            </w:r>
          </w:p>
        </w:tc>
        <w:tc>
          <w:tcPr>
            <w:tcW w:w="395" w:type="dxa"/>
            <w:tcBorders/>
            <w:shd w:fill="CCEEFF" w:val="clear"/>
            <w:vAlign w:val="center"/>
          </w:tcPr>
          <w:p>
            <w:pPr>
              <w:pStyle w:val="TableContents"/>
              <w:bidi w:val="0"/>
              <w:spacing w:lineRule="auto" w:line="285" w:before="0" w:after="0"/>
              <w:ind w:left="0" w:right="0" w:hanging="0"/>
              <w:jc w:val="left"/>
              <w:rPr/>
            </w:pPr>
            <w:r>
              <w:rPr/>
              <w:t>​</w:t>
            </w:r>
          </w:p>
        </w:tc>
      </w:tr>
      <w:tr>
        <w:trPr/>
        <w:tc>
          <w:tcPr>
            <w:tcW w:w="7025"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Excess tax benefit from equity-based awards</w:t>
            </w:r>
          </w:p>
        </w:tc>
        <w:tc>
          <w:tcPr>
            <w:tcW w:w="346"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0"/>
              <w:ind w:left="0" w:right="0" w:hanging="0"/>
              <w:jc w:val="right"/>
              <w:rPr/>
            </w:pPr>
            <w:r>
              <w:rPr/>
              <w:t> </w:t>
            </w:r>
          </w:p>
        </w:tc>
        <w:tc>
          <w:tcPr>
            <w:tcW w:w="824"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1,270</w:t>
            </w:r>
          </w:p>
        </w:tc>
        <w:tc>
          <w:tcPr>
            <w:tcW w:w="357"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0"/>
              <w:ind w:left="0" w:right="0" w:hanging="0"/>
              <w:jc w:val="right"/>
              <w:rPr/>
            </w:pPr>
            <w:r>
              <w:rPr/>
              <w:t> </w:t>
            </w:r>
          </w:p>
        </w:tc>
        <w:tc>
          <w:tcPr>
            <w:tcW w:w="824"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720</w:t>
            </w:r>
          </w:p>
        </w:tc>
        <w:tc>
          <w:tcPr>
            <w:tcW w:w="395" w:type="dxa"/>
            <w:tcBorders/>
            <w:vAlign w:val="center"/>
          </w:tcPr>
          <w:p>
            <w:pPr>
              <w:pStyle w:val="TableContents"/>
              <w:bidi w:val="0"/>
              <w:spacing w:lineRule="auto" w:line="285" w:before="0" w:after="0"/>
              <w:ind w:left="0" w:right="0" w:hanging="0"/>
              <w:jc w:val="left"/>
              <w:rPr/>
            </w:pPr>
            <w:r>
              <w:rPr/>
              <w:t>​</w:t>
            </w:r>
          </w:p>
        </w:tc>
      </w:tr>
      <w:tr>
        <w:trPr/>
        <w:tc>
          <w:tcPr>
            <w:tcW w:w="7025"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Equity-based compensation expense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shd w:fill="CCEEFF" w:val="clear"/>
            <w:vAlign w:val="center"/>
          </w:tcPr>
          <w:p>
            <w:pPr>
              <w:pStyle w:val="TableContents"/>
              <w:bidi w:val="0"/>
              <w:spacing w:lineRule="auto" w:line="285" w:before="0" w:after="0"/>
              <w:ind w:left="0" w:right="0" w:hanging="0"/>
              <w:jc w:val="right"/>
              <w:rPr/>
            </w:pPr>
            <w:r>
              <w:rPr/>
              <w:t> </w:t>
            </w:r>
          </w:p>
        </w:tc>
        <w:tc>
          <w:tcPr>
            <w:tcW w:w="82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5,084</w:t>
            </w:r>
          </w:p>
        </w:tc>
        <w:tc>
          <w:tcPr>
            <w:tcW w:w="357"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shd w:fill="CCEEFF" w:val="clear"/>
            <w:vAlign w:val="center"/>
          </w:tcPr>
          <w:p>
            <w:pPr>
              <w:pStyle w:val="TableContents"/>
              <w:bidi w:val="0"/>
              <w:spacing w:lineRule="auto" w:line="285" w:before="0" w:after="0"/>
              <w:ind w:left="0" w:right="0" w:hanging="0"/>
              <w:jc w:val="right"/>
              <w:rPr/>
            </w:pPr>
            <w:r>
              <w:rPr/>
              <w:t> </w:t>
            </w:r>
          </w:p>
        </w:tc>
        <w:tc>
          <w:tcPr>
            <w:tcW w:w="82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7,301</w:t>
            </w:r>
          </w:p>
        </w:tc>
        <w:tc>
          <w:tcPr>
            <w:tcW w:w="395" w:type="dxa"/>
            <w:tcBorders/>
            <w:shd w:fill="CCEEFF" w:val="clear"/>
            <w:vAlign w:val="center"/>
          </w:tcPr>
          <w:p>
            <w:pPr>
              <w:pStyle w:val="TableContents"/>
              <w:bidi w:val="0"/>
              <w:spacing w:lineRule="auto" w:line="285" w:before="0" w:after="0"/>
              <w:ind w:left="0" w:right="0" w:hanging="0"/>
              <w:jc w:val="left"/>
              <w:rPr/>
            </w:pPr>
            <w:r>
              <w:rPr/>
              <w:t>​</w:t>
            </w:r>
          </w:p>
        </w:tc>
      </w:tr>
      <w:tr>
        <w:trPr/>
        <w:tc>
          <w:tcPr>
            <w:tcW w:w="7025"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Loss (gain) on foreign currency derivatives</w:t>
            </w:r>
          </w:p>
        </w:tc>
        <w:tc>
          <w:tcPr>
            <w:tcW w:w="346"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0"/>
              <w:ind w:left="0" w:right="0" w:hanging="0"/>
              <w:jc w:val="right"/>
              <w:rPr/>
            </w:pPr>
            <w:r>
              <w:rPr/>
              <w:t> </w:t>
            </w:r>
          </w:p>
        </w:tc>
        <w:tc>
          <w:tcPr>
            <w:tcW w:w="824"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104</w:t>
            </w:r>
          </w:p>
        </w:tc>
        <w:tc>
          <w:tcPr>
            <w:tcW w:w="357"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0"/>
              <w:ind w:left="0" w:right="0" w:hanging="0"/>
              <w:jc w:val="right"/>
              <w:rPr/>
            </w:pPr>
            <w:r>
              <w:rPr/>
              <w:t> </w:t>
            </w:r>
          </w:p>
        </w:tc>
        <w:tc>
          <w:tcPr>
            <w:tcW w:w="824"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(338)</w:t>
            </w:r>
          </w:p>
        </w:tc>
        <w:tc>
          <w:tcPr>
            <w:tcW w:w="395" w:type="dxa"/>
            <w:tcBorders/>
            <w:vAlign w:val="center"/>
          </w:tcPr>
          <w:p>
            <w:pPr>
              <w:pStyle w:val="TableContents"/>
              <w:bidi w:val="0"/>
              <w:spacing w:lineRule="auto" w:line="285" w:before="0" w:after="0"/>
              <w:ind w:left="0" w:right="0" w:hanging="0"/>
              <w:jc w:val="left"/>
              <w:rPr/>
            </w:pPr>
            <w:r>
              <w:rPr/>
              <w:t>​</w:t>
            </w:r>
          </w:p>
        </w:tc>
      </w:tr>
      <w:tr>
        <w:trPr/>
        <w:tc>
          <w:tcPr>
            <w:tcW w:w="7025"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Changes in assets and liabilities, net of acquisitions: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shd w:fill="CCEEFF" w:val="clear"/>
            <w:vAlign w:val="center"/>
          </w:tcPr>
          <w:p>
            <w:pPr>
              <w:pStyle w:val="TableContents"/>
              <w:bidi w:val="0"/>
              <w:spacing w:lineRule="auto" w:line="285" w:before="0" w:after="0"/>
              <w:ind w:left="0" w:right="0" w:hanging="0"/>
              <w:jc w:val="right"/>
              <w:rPr/>
            </w:pPr>
            <w:r>
              <w:rPr/>
              <w:t>​</w:t>
            </w:r>
          </w:p>
        </w:tc>
        <w:tc>
          <w:tcPr>
            <w:tcW w:w="824" w:type="dxa"/>
            <w:tcBorders/>
            <w:shd w:fill="CCEEFF" w:val="clear"/>
            <w:vAlign w:val="center"/>
          </w:tcPr>
          <w:p>
            <w:pPr>
              <w:pStyle w:val="TableContents"/>
              <w:bidi w:val="0"/>
              <w:spacing w:lineRule="auto" w:line="285" w:before="0" w:after="0"/>
              <w:ind w:left="0" w:right="0" w:hanging="0"/>
              <w:jc w:val="right"/>
              <w:rPr/>
            </w:pPr>
            <w:r>
              <w:rPr/>
              <w:t>​</w:t>
            </w:r>
          </w:p>
        </w:tc>
        <w:tc>
          <w:tcPr>
            <w:tcW w:w="357"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shd w:fill="CCEEFF" w:val="clear"/>
            <w:vAlign w:val="center"/>
          </w:tcPr>
          <w:p>
            <w:pPr>
              <w:pStyle w:val="TableContents"/>
              <w:bidi w:val="0"/>
              <w:spacing w:lineRule="auto" w:line="285" w:before="0" w:after="0"/>
              <w:ind w:left="0" w:right="0" w:hanging="0"/>
              <w:jc w:val="right"/>
              <w:rPr/>
            </w:pPr>
            <w:r>
              <w:rPr/>
              <w:t>​</w:t>
            </w:r>
          </w:p>
        </w:tc>
        <w:tc>
          <w:tcPr>
            <w:tcW w:w="824" w:type="dxa"/>
            <w:tcBorders/>
            <w:shd w:fill="CCEEFF" w:val="clear"/>
            <w:vAlign w:val="center"/>
          </w:tcPr>
          <w:p>
            <w:pPr>
              <w:pStyle w:val="TableContents"/>
              <w:bidi w:val="0"/>
              <w:spacing w:lineRule="auto" w:line="285" w:before="0" w:after="0"/>
              <w:ind w:left="0" w:right="0" w:hanging="0"/>
              <w:jc w:val="right"/>
              <w:rPr/>
            </w:pPr>
            <w:r>
              <w:rPr/>
              <w:t>​</w:t>
            </w:r>
          </w:p>
        </w:tc>
        <w:tc>
          <w:tcPr>
            <w:tcW w:w="395" w:type="dxa"/>
            <w:tcBorders/>
            <w:shd w:fill="CCEEFF" w:val="clear"/>
            <w:vAlign w:val="center"/>
          </w:tcPr>
          <w:p>
            <w:pPr>
              <w:pStyle w:val="TableContents"/>
              <w:bidi w:val="0"/>
              <w:spacing w:lineRule="auto" w:line="285" w:before="0" w:after="0"/>
              <w:ind w:left="0" w:right="0" w:hanging="0"/>
              <w:jc w:val="left"/>
              <w:rPr/>
            </w:pPr>
            <w:r>
              <w:rPr/>
              <w:t>​</w:t>
            </w:r>
          </w:p>
        </w:tc>
      </w:tr>
      <w:tr>
        <w:trPr/>
        <w:tc>
          <w:tcPr>
            <w:tcW w:w="7025"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Accounts receivable</w:t>
            </w:r>
          </w:p>
        </w:tc>
        <w:tc>
          <w:tcPr>
            <w:tcW w:w="346"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0"/>
              <w:ind w:left="0" w:right="0" w:hanging="0"/>
              <w:jc w:val="right"/>
              <w:rPr/>
            </w:pPr>
            <w:r>
              <w:rPr/>
              <w:t> </w:t>
            </w:r>
          </w:p>
        </w:tc>
        <w:tc>
          <w:tcPr>
            <w:tcW w:w="824"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57,901</w:t>
            </w:r>
          </w:p>
        </w:tc>
        <w:tc>
          <w:tcPr>
            <w:tcW w:w="357"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0"/>
              <w:ind w:left="0" w:right="0" w:hanging="0"/>
              <w:jc w:val="right"/>
              <w:rPr/>
            </w:pPr>
            <w:r>
              <w:rPr/>
              <w:t> </w:t>
            </w:r>
          </w:p>
        </w:tc>
        <w:tc>
          <w:tcPr>
            <w:tcW w:w="824"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42,509</w:t>
            </w:r>
          </w:p>
        </w:tc>
        <w:tc>
          <w:tcPr>
            <w:tcW w:w="395" w:type="dxa"/>
            <w:tcBorders/>
            <w:vAlign w:val="center"/>
          </w:tcPr>
          <w:p>
            <w:pPr>
              <w:pStyle w:val="TableContents"/>
              <w:bidi w:val="0"/>
              <w:spacing w:lineRule="auto" w:line="285" w:before="0" w:after="0"/>
              <w:ind w:left="0" w:right="0" w:hanging="0"/>
              <w:jc w:val="left"/>
              <w:rPr/>
            </w:pPr>
            <w:r>
              <w:rPr/>
              <w:t>​</w:t>
            </w:r>
          </w:p>
        </w:tc>
      </w:tr>
      <w:tr>
        <w:trPr/>
        <w:tc>
          <w:tcPr>
            <w:tcW w:w="7025"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Prepaids and other current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shd w:fill="CCEEFF" w:val="clear"/>
            <w:vAlign w:val="center"/>
          </w:tcPr>
          <w:p>
            <w:pPr>
              <w:pStyle w:val="TableContents"/>
              <w:bidi w:val="0"/>
              <w:spacing w:lineRule="auto" w:line="285" w:before="0" w:after="0"/>
              <w:ind w:left="0" w:right="0" w:hanging="0"/>
              <w:jc w:val="right"/>
              <w:rPr/>
            </w:pPr>
            <w:r>
              <w:rPr/>
              <w:t> </w:t>
            </w:r>
          </w:p>
        </w:tc>
        <w:tc>
          <w:tcPr>
            <w:tcW w:w="82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31,044</w:t>
            </w:r>
          </w:p>
        </w:tc>
        <w:tc>
          <w:tcPr>
            <w:tcW w:w="357"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shd w:fill="CCEEFF" w:val="clear"/>
            <w:vAlign w:val="center"/>
          </w:tcPr>
          <w:p>
            <w:pPr>
              <w:pStyle w:val="TableContents"/>
              <w:bidi w:val="0"/>
              <w:spacing w:lineRule="auto" w:line="285" w:before="0" w:after="0"/>
              <w:ind w:left="0" w:right="0" w:hanging="0"/>
              <w:jc w:val="right"/>
              <w:rPr/>
            </w:pPr>
            <w:r>
              <w:rPr/>
              <w:t> </w:t>
            </w:r>
          </w:p>
        </w:tc>
        <w:tc>
          <w:tcPr>
            <w:tcW w:w="82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4,708</w:t>
            </w:r>
          </w:p>
        </w:tc>
        <w:tc>
          <w:tcPr>
            <w:tcW w:w="395" w:type="dxa"/>
            <w:tcBorders/>
            <w:shd w:fill="CCEEFF" w:val="clear"/>
            <w:vAlign w:val="center"/>
          </w:tcPr>
          <w:p>
            <w:pPr>
              <w:pStyle w:val="TableContents"/>
              <w:bidi w:val="0"/>
              <w:spacing w:lineRule="auto" w:line="285" w:before="0" w:after="0"/>
              <w:ind w:left="0" w:right="0" w:hanging="0"/>
              <w:jc w:val="left"/>
              <w:rPr/>
            </w:pPr>
            <w:r>
              <w:rPr/>
              <w:t>​</w:t>
            </w:r>
          </w:p>
        </w:tc>
      </w:tr>
      <w:tr>
        <w:trPr/>
        <w:tc>
          <w:tcPr>
            <w:tcW w:w="7025"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Operating lease assets</w:t>
            </w:r>
          </w:p>
        </w:tc>
        <w:tc>
          <w:tcPr>
            <w:tcW w:w="346"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0"/>
              <w:ind w:left="0" w:right="0" w:hanging="0"/>
              <w:jc w:val="right"/>
              <w:rPr/>
            </w:pPr>
            <w:r>
              <w:rPr/>
              <w:t>​</w:t>
            </w:r>
          </w:p>
        </w:tc>
        <w:tc>
          <w:tcPr>
            <w:tcW w:w="824"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15,226</w:t>
            </w:r>
          </w:p>
        </w:tc>
        <w:tc>
          <w:tcPr>
            <w:tcW w:w="357"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0"/>
              <w:ind w:left="0" w:right="0" w:hanging="0"/>
              <w:jc w:val="right"/>
              <w:rPr/>
            </w:pPr>
            <w:r>
              <w:rPr/>
              <w:t>​</w:t>
            </w:r>
          </w:p>
        </w:tc>
        <w:tc>
          <w:tcPr>
            <w:tcW w:w="824"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17,266</w:t>
            </w:r>
          </w:p>
        </w:tc>
        <w:tc>
          <w:tcPr>
            <w:tcW w:w="395" w:type="dxa"/>
            <w:tcBorders/>
            <w:vAlign w:val="center"/>
          </w:tcPr>
          <w:p>
            <w:pPr>
              <w:pStyle w:val="TableContents"/>
              <w:bidi w:val="0"/>
              <w:spacing w:lineRule="auto" w:line="285" w:before="0" w:after="0"/>
              <w:ind w:left="0" w:right="0" w:hanging="0"/>
              <w:jc w:val="left"/>
              <w:rPr/>
            </w:pPr>
            <w:r>
              <w:rPr/>
              <w:t>​</w:t>
            </w:r>
          </w:p>
        </w:tc>
      </w:tr>
      <w:tr>
        <w:trPr/>
        <w:tc>
          <w:tcPr>
            <w:tcW w:w="7025"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Other noncurrent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shd w:fill="CCEEFF" w:val="clear"/>
            <w:vAlign w:val="center"/>
          </w:tcPr>
          <w:p>
            <w:pPr>
              <w:pStyle w:val="TableContents"/>
              <w:bidi w:val="0"/>
              <w:spacing w:lineRule="auto" w:line="285" w:before="0" w:after="0"/>
              <w:ind w:left="0" w:right="0" w:hanging="0"/>
              <w:jc w:val="right"/>
              <w:rPr/>
            </w:pPr>
            <w:r>
              <w:rPr/>
              <w:t>​</w:t>
            </w:r>
          </w:p>
        </w:tc>
        <w:tc>
          <w:tcPr>
            <w:tcW w:w="82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(1,893)</w:t>
            </w:r>
          </w:p>
        </w:tc>
        <w:tc>
          <w:tcPr>
            <w:tcW w:w="357"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shd w:fill="CCEEFF" w:val="clear"/>
            <w:vAlign w:val="center"/>
          </w:tcPr>
          <w:p>
            <w:pPr>
              <w:pStyle w:val="TableContents"/>
              <w:bidi w:val="0"/>
              <w:spacing w:lineRule="auto" w:line="285" w:before="0" w:after="0"/>
              <w:ind w:left="0" w:right="0" w:hanging="0"/>
              <w:jc w:val="right"/>
              <w:rPr/>
            </w:pPr>
            <w:r>
              <w:rPr/>
              <w:t>​</w:t>
            </w:r>
          </w:p>
        </w:tc>
        <w:tc>
          <w:tcPr>
            <w:tcW w:w="82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(4,495)</w:t>
            </w:r>
          </w:p>
        </w:tc>
        <w:tc>
          <w:tcPr>
            <w:tcW w:w="395" w:type="dxa"/>
            <w:tcBorders/>
            <w:shd w:fill="CCEEFF" w:val="clear"/>
            <w:vAlign w:val="center"/>
          </w:tcPr>
          <w:p>
            <w:pPr>
              <w:pStyle w:val="TableContents"/>
              <w:bidi w:val="0"/>
              <w:spacing w:lineRule="auto" w:line="285" w:before="0" w:after="0"/>
              <w:ind w:left="0" w:right="0" w:hanging="0"/>
              <w:jc w:val="left"/>
              <w:rPr/>
            </w:pPr>
            <w:r>
              <w:rPr/>
              <w:t>​</w:t>
            </w:r>
          </w:p>
        </w:tc>
      </w:tr>
      <w:tr>
        <w:trPr/>
        <w:tc>
          <w:tcPr>
            <w:tcW w:w="7025"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Accrued employee compensation and benefits</w:t>
            </w:r>
          </w:p>
        </w:tc>
        <w:tc>
          <w:tcPr>
            <w:tcW w:w="346"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0"/>
              <w:ind w:left="0" w:right="0" w:hanging="0"/>
              <w:jc w:val="right"/>
              <w:rPr/>
            </w:pPr>
            <w:r>
              <w:rPr/>
              <w:t>​</w:t>
            </w:r>
          </w:p>
        </w:tc>
        <w:tc>
          <w:tcPr>
            <w:tcW w:w="824"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(40,250)</w:t>
            </w:r>
          </w:p>
        </w:tc>
        <w:tc>
          <w:tcPr>
            <w:tcW w:w="357"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0"/>
              <w:ind w:left="0" w:right="0" w:hanging="0"/>
              <w:jc w:val="right"/>
              <w:rPr/>
            </w:pPr>
            <w:r>
              <w:rPr/>
              <w:t>​</w:t>
            </w:r>
          </w:p>
        </w:tc>
        <w:tc>
          <w:tcPr>
            <w:tcW w:w="824"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(1,618)</w:t>
            </w:r>
          </w:p>
        </w:tc>
        <w:tc>
          <w:tcPr>
            <w:tcW w:w="395" w:type="dxa"/>
            <w:tcBorders/>
            <w:vAlign w:val="center"/>
          </w:tcPr>
          <w:p>
            <w:pPr>
              <w:pStyle w:val="TableContents"/>
              <w:bidi w:val="0"/>
              <w:spacing w:lineRule="auto" w:line="285" w:before="0" w:after="0"/>
              <w:ind w:left="0" w:right="0" w:hanging="0"/>
              <w:jc w:val="left"/>
              <w:rPr/>
            </w:pPr>
            <w:r>
              <w:rPr/>
              <w:t>​</w:t>
            </w:r>
          </w:p>
        </w:tc>
      </w:tr>
      <w:tr>
        <w:trPr/>
        <w:tc>
          <w:tcPr>
            <w:tcW w:w="7025"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Accounts payable and other current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shd w:fill="CCEEFF" w:val="clear"/>
            <w:vAlign w:val="center"/>
          </w:tcPr>
          <w:p>
            <w:pPr>
              <w:pStyle w:val="TableContents"/>
              <w:bidi w:val="0"/>
              <w:spacing w:lineRule="auto" w:line="285" w:before="0" w:after="0"/>
              <w:ind w:left="0" w:right="0" w:hanging="0"/>
              <w:jc w:val="right"/>
              <w:rPr/>
            </w:pPr>
            <w:r>
              <w:rPr/>
              <w:t>​</w:t>
            </w:r>
          </w:p>
        </w:tc>
        <w:tc>
          <w:tcPr>
            <w:tcW w:w="82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(1,900)</w:t>
            </w:r>
          </w:p>
        </w:tc>
        <w:tc>
          <w:tcPr>
            <w:tcW w:w="357"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shd w:fill="CCEEFF" w:val="clear"/>
            <w:vAlign w:val="center"/>
          </w:tcPr>
          <w:p>
            <w:pPr>
              <w:pStyle w:val="TableContents"/>
              <w:bidi w:val="0"/>
              <w:spacing w:lineRule="auto" w:line="285" w:before="0" w:after="0"/>
              <w:ind w:left="0" w:right="0" w:hanging="0"/>
              <w:jc w:val="right"/>
              <w:rPr/>
            </w:pPr>
            <w:r>
              <w:rPr/>
              <w:t>​</w:t>
            </w:r>
          </w:p>
        </w:tc>
        <w:tc>
          <w:tcPr>
            <w:tcW w:w="82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13,278</w:t>
            </w:r>
          </w:p>
        </w:tc>
        <w:tc>
          <w:tcPr>
            <w:tcW w:w="395" w:type="dxa"/>
            <w:tcBorders/>
            <w:shd w:fill="CCEEFF" w:val="clear"/>
            <w:vAlign w:val="center"/>
          </w:tcPr>
          <w:p>
            <w:pPr>
              <w:pStyle w:val="TableContents"/>
              <w:bidi w:val="0"/>
              <w:spacing w:lineRule="auto" w:line="285" w:before="0" w:after="0"/>
              <w:ind w:left="0" w:right="0" w:hanging="0"/>
              <w:jc w:val="left"/>
              <w:rPr/>
            </w:pPr>
            <w:r>
              <w:rPr/>
              <w:t>​</w:t>
            </w:r>
          </w:p>
        </w:tc>
      </w:tr>
      <w:tr>
        <w:trPr/>
        <w:tc>
          <w:tcPr>
            <w:tcW w:w="7025"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Deferred revenue and customer advances</w:t>
            </w:r>
          </w:p>
        </w:tc>
        <w:tc>
          <w:tcPr>
            <w:tcW w:w="346"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0"/>
              <w:ind w:left="0" w:right="0" w:hanging="0"/>
              <w:jc w:val="right"/>
              <w:rPr/>
            </w:pPr>
            <w:r>
              <w:rPr/>
              <w:t>​</w:t>
            </w:r>
          </w:p>
        </w:tc>
        <w:tc>
          <w:tcPr>
            <w:tcW w:w="824"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1,018</w:t>
            </w:r>
          </w:p>
        </w:tc>
        <w:tc>
          <w:tcPr>
            <w:tcW w:w="357"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0"/>
              <w:ind w:left="0" w:right="0" w:hanging="0"/>
              <w:jc w:val="right"/>
              <w:rPr/>
            </w:pPr>
            <w:r>
              <w:rPr/>
              <w:t>​</w:t>
            </w:r>
          </w:p>
        </w:tc>
        <w:tc>
          <w:tcPr>
            <w:tcW w:w="824"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3,659</w:t>
            </w:r>
          </w:p>
        </w:tc>
        <w:tc>
          <w:tcPr>
            <w:tcW w:w="395" w:type="dxa"/>
            <w:tcBorders/>
            <w:vAlign w:val="center"/>
          </w:tcPr>
          <w:p>
            <w:pPr>
              <w:pStyle w:val="TableContents"/>
              <w:bidi w:val="0"/>
              <w:spacing w:lineRule="auto" w:line="285" w:before="0" w:after="0"/>
              <w:ind w:left="0" w:right="0" w:hanging="0"/>
              <w:jc w:val="left"/>
              <w:rPr/>
            </w:pPr>
            <w:r>
              <w:rPr/>
              <w:t>​</w:t>
            </w:r>
          </w:p>
        </w:tc>
      </w:tr>
      <w:tr>
        <w:trPr/>
        <w:tc>
          <w:tcPr>
            <w:tcW w:w="7025"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Operating lease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shd w:fill="CCEEFF" w:val="clear"/>
            <w:vAlign w:val="center"/>
          </w:tcPr>
          <w:p>
            <w:pPr>
              <w:pStyle w:val="TableContents"/>
              <w:bidi w:val="0"/>
              <w:spacing w:lineRule="auto" w:line="285" w:before="0" w:after="0"/>
              <w:ind w:left="0" w:right="0" w:hanging="0"/>
              <w:jc w:val="right"/>
              <w:rPr/>
            </w:pPr>
            <w:r>
              <w:rPr/>
              <w:t> </w:t>
            </w:r>
          </w:p>
        </w:tc>
        <w:tc>
          <w:tcPr>
            <w:tcW w:w="82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(16,602)</w:t>
            </w:r>
          </w:p>
        </w:tc>
        <w:tc>
          <w:tcPr>
            <w:tcW w:w="357"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shd w:fill="CCEEFF" w:val="clear"/>
            <w:vAlign w:val="center"/>
          </w:tcPr>
          <w:p>
            <w:pPr>
              <w:pStyle w:val="TableContents"/>
              <w:bidi w:val="0"/>
              <w:spacing w:lineRule="auto" w:line="285" w:before="0" w:after="0"/>
              <w:ind w:left="0" w:right="0" w:hanging="0"/>
              <w:jc w:val="right"/>
              <w:rPr/>
            </w:pPr>
            <w:r>
              <w:rPr/>
              <w:t> </w:t>
            </w:r>
          </w:p>
        </w:tc>
        <w:tc>
          <w:tcPr>
            <w:tcW w:w="82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(18,051)</w:t>
            </w:r>
          </w:p>
        </w:tc>
        <w:tc>
          <w:tcPr>
            <w:tcW w:w="395" w:type="dxa"/>
            <w:tcBorders/>
            <w:shd w:fill="CCEEFF" w:val="clear"/>
            <w:vAlign w:val="center"/>
          </w:tcPr>
          <w:p>
            <w:pPr>
              <w:pStyle w:val="TableContents"/>
              <w:bidi w:val="0"/>
              <w:spacing w:lineRule="auto" w:line="285" w:before="0" w:after="0"/>
              <w:ind w:left="0" w:right="0" w:hanging="0"/>
              <w:jc w:val="left"/>
              <w:rPr/>
            </w:pPr>
            <w:r>
              <w:rPr/>
              <w:t>​</w:t>
            </w:r>
          </w:p>
        </w:tc>
      </w:tr>
      <w:tr>
        <w:trPr/>
        <w:tc>
          <w:tcPr>
            <w:tcW w:w="7025"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Other noncurrent liabilities</w:t>
            </w:r>
          </w:p>
        </w:tc>
        <w:tc>
          <w:tcPr>
            <w:tcW w:w="346" w:type="dxa"/>
            <w:tcBorders/>
            <w:vAlign w:val="center"/>
          </w:tcPr>
          <w:p>
            <w:pPr>
              <w:pStyle w:val="TableContents"/>
              <w:bidi w:val="0"/>
              <w:spacing w:lineRule="auto" w:line="285"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82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(1,355)</w:t>
            </w:r>
          </w:p>
        </w:tc>
        <w:tc>
          <w:tcPr>
            <w:tcW w:w="357" w:type="dxa"/>
            <w:tcBorders/>
            <w:vAlign w:val="center"/>
          </w:tcPr>
          <w:p>
            <w:pPr>
              <w:pStyle w:val="TableContents"/>
              <w:bidi w:val="0"/>
              <w:spacing w:lineRule="auto" w:line="285"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82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(274)</w:t>
            </w:r>
          </w:p>
        </w:tc>
        <w:tc>
          <w:tcPr>
            <w:tcW w:w="395" w:type="dxa"/>
            <w:tcBorders/>
            <w:vAlign w:val="center"/>
          </w:tcPr>
          <w:p>
            <w:pPr>
              <w:pStyle w:val="TableContents"/>
              <w:bidi w:val="0"/>
              <w:spacing w:lineRule="auto" w:line="285" w:before="0" w:after="0"/>
              <w:ind w:left="0" w:right="0" w:hanging="0"/>
              <w:jc w:val="left"/>
              <w:rPr/>
            </w:pPr>
            <w:r>
              <w:rPr/>
              <w:t>​</w:t>
            </w:r>
          </w:p>
        </w:tc>
      </w:tr>
      <w:tr>
        <w:trPr/>
        <w:tc>
          <w:tcPr>
            <w:tcW w:w="7025"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Net cash provided by operating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shd w:fill="CCEEFF" w:val="clear"/>
            <w:vAlign w:val="center"/>
          </w:tcPr>
          <w:p>
            <w:pPr>
              <w:pStyle w:val="TableContents"/>
              <w:bidi w:val="0"/>
              <w:spacing w:lineRule="auto" w:line="285" w:before="0" w:after="0"/>
              <w:ind w:left="0" w:right="0" w:hanging="0"/>
              <w:jc w:val="right"/>
              <w:rPr/>
            </w:pPr>
            <w:r>
              <w:rPr/>
              <w:t> </w:t>
            </w:r>
          </w:p>
        </w:tc>
        <w:tc>
          <w:tcPr>
            <w:tcW w:w="82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78,876</w:t>
            </w:r>
          </w:p>
        </w:tc>
        <w:tc>
          <w:tcPr>
            <w:tcW w:w="357"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shd w:fill="CCEEFF" w:val="clear"/>
            <w:vAlign w:val="center"/>
          </w:tcPr>
          <w:p>
            <w:pPr>
              <w:pStyle w:val="TableContents"/>
              <w:bidi w:val="0"/>
              <w:spacing w:lineRule="auto" w:line="285" w:before="0" w:after="0"/>
              <w:ind w:left="0" w:right="0" w:hanging="0"/>
              <w:jc w:val="right"/>
              <w:rPr/>
            </w:pPr>
            <w:r>
              <w:rPr/>
              <w:t> </w:t>
            </w:r>
          </w:p>
        </w:tc>
        <w:tc>
          <w:tcPr>
            <w:tcW w:w="82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114,301</w:t>
            </w:r>
          </w:p>
        </w:tc>
        <w:tc>
          <w:tcPr>
            <w:tcW w:w="395" w:type="dxa"/>
            <w:tcBorders/>
            <w:shd w:fill="CCEEFF" w:val="clear"/>
            <w:vAlign w:val="center"/>
          </w:tcPr>
          <w:p>
            <w:pPr>
              <w:pStyle w:val="TableContents"/>
              <w:bidi w:val="0"/>
              <w:spacing w:lineRule="auto" w:line="285" w:before="0" w:after="0"/>
              <w:ind w:left="0" w:right="0" w:hanging="0"/>
              <w:jc w:val="left"/>
              <w:rPr/>
            </w:pPr>
            <w:r>
              <w:rPr/>
              <w:t>​</w:t>
            </w:r>
          </w:p>
        </w:tc>
      </w:tr>
      <w:tr>
        <w:trPr/>
        <w:tc>
          <w:tcPr>
            <w:tcW w:w="7025"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0"/>
              <w:ind w:left="0" w:right="0" w:hanging="0"/>
              <w:jc w:val="right"/>
              <w:rPr/>
            </w:pPr>
            <w:r>
              <w:rPr/>
              <w:t>​</w:t>
            </w:r>
          </w:p>
        </w:tc>
        <w:tc>
          <w:tcPr>
            <w:tcW w:w="824" w:type="dxa"/>
            <w:tcBorders/>
            <w:vAlign w:val="center"/>
          </w:tcPr>
          <w:p>
            <w:pPr>
              <w:pStyle w:val="TableContents"/>
              <w:bidi w:val="0"/>
              <w:spacing w:lineRule="auto" w:line="285" w:before="0" w:after="0"/>
              <w:ind w:left="0" w:right="0" w:hanging="0"/>
              <w:jc w:val="right"/>
              <w:rPr/>
            </w:pPr>
            <w:r>
              <w:rPr/>
              <w:t>​</w:t>
            </w:r>
          </w:p>
        </w:tc>
        <w:tc>
          <w:tcPr>
            <w:tcW w:w="357"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0"/>
              <w:ind w:left="0" w:right="0" w:hanging="0"/>
              <w:jc w:val="right"/>
              <w:rPr/>
            </w:pPr>
            <w:r>
              <w:rPr/>
              <w:t>​</w:t>
            </w:r>
          </w:p>
        </w:tc>
        <w:tc>
          <w:tcPr>
            <w:tcW w:w="824" w:type="dxa"/>
            <w:tcBorders/>
            <w:vAlign w:val="center"/>
          </w:tcPr>
          <w:p>
            <w:pPr>
              <w:pStyle w:val="TableContents"/>
              <w:bidi w:val="0"/>
              <w:spacing w:lineRule="auto" w:line="285" w:before="0" w:after="0"/>
              <w:ind w:left="0" w:right="0" w:hanging="0"/>
              <w:jc w:val="right"/>
              <w:rPr/>
            </w:pPr>
            <w:r>
              <w:rPr/>
              <w:t>​</w:t>
            </w:r>
          </w:p>
        </w:tc>
        <w:tc>
          <w:tcPr>
            <w:tcW w:w="395" w:type="dxa"/>
            <w:tcBorders/>
            <w:vAlign w:val="center"/>
          </w:tcPr>
          <w:p>
            <w:pPr>
              <w:pStyle w:val="TableContents"/>
              <w:bidi w:val="0"/>
              <w:spacing w:lineRule="auto" w:line="285" w:before="0" w:after="0"/>
              <w:ind w:left="0" w:right="0" w:hanging="0"/>
              <w:jc w:val="left"/>
              <w:rPr/>
            </w:pPr>
            <w:r>
              <w:rPr/>
              <w:t>​</w:t>
            </w:r>
          </w:p>
        </w:tc>
      </w:tr>
      <w:tr>
        <w:trPr/>
        <w:tc>
          <w:tcPr>
            <w:tcW w:w="7025"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Cash flows from investing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shd w:fill="CCEEFF" w:val="clear"/>
            <w:vAlign w:val="center"/>
          </w:tcPr>
          <w:p>
            <w:pPr>
              <w:pStyle w:val="TableContents"/>
              <w:bidi w:val="0"/>
              <w:spacing w:lineRule="auto" w:line="285" w:before="0" w:after="0"/>
              <w:ind w:left="0" w:right="0" w:hanging="0"/>
              <w:jc w:val="right"/>
              <w:rPr/>
            </w:pPr>
            <w:r>
              <w:rPr/>
              <w:t>​</w:t>
            </w:r>
          </w:p>
        </w:tc>
        <w:tc>
          <w:tcPr>
            <w:tcW w:w="824" w:type="dxa"/>
            <w:tcBorders/>
            <w:shd w:fill="CCEEFF" w:val="clear"/>
            <w:vAlign w:val="center"/>
          </w:tcPr>
          <w:p>
            <w:pPr>
              <w:pStyle w:val="TableContents"/>
              <w:bidi w:val="0"/>
              <w:spacing w:lineRule="auto" w:line="285" w:before="0" w:after="0"/>
              <w:ind w:left="0" w:right="0" w:hanging="0"/>
              <w:jc w:val="right"/>
              <w:rPr/>
            </w:pPr>
            <w:r>
              <w:rPr/>
              <w:t>​</w:t>
            </w:r>
          </w:p>
        </w:tc>
        <w:tc>
          <w:tcPr>
            <w:tcW w:w="357"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shd w:fill="CCEEFF" w:val="clear"/>
            <w:vAlign w:val="center"/>
          </w:tcPr>
          <w:p>
            <w:pPr>
              <w:pStyle w:val="TableContents"/>
              <w:bidi w:val="0"/>
              <w:spacing w:lineRule="auto" w:line="285" w:before="0" w:after="0"/>
              <w:ind w:left="0" w:right="0" w:hanging="0"/>
              <w:jc w:val="right"/>
              <w:rPr/>
            </w:pPr>
            <w:r>
              <w:rPr/>
              <w:t>​</w:t>
            </w:r>
          </w:p>
        </w:tc>
        <w:tc>
          <w:tcPr>
            <w:tcW w:w="824" w:type="dxa"/>
            <w:tcBorders/>
            <w:shd w:fill="CCEEFF" w:val="clear"/>
            <w:vAlign w:val="center"/>
          </w:tcPr>
          <w:p>
            <w:pPr>
              <w:pStyle w:val="TableContents"/>
              <w:bidi w:val="0"/>
              <w:spacing w:lineRule="auto" w:line="285" w:before="0" w:after="0"/>
              <w:ind w:left="0" w:right="0" w:hanging="0"/>
              <w:jc w:val="right"/>
              <w:rPr/>
            </w:pPr>
            <w:r>
              <w:rPr/>
              <w:t>​</w:t>
            </w:r>
          </w:p>
        </w:tc>
        <w:tc>
          <w:tcPr>
            <w:tcW w:w="395" w:type="dxa"/>
            <w:tcBorders/>
            <w:shd w:fill="CCEEFF" w:val="clear"/>
            <w:vAlign w:val="center"/>
          </w:tcPr>
          <w:p>
            <w:pPr>
              <w:pStyle w:val="TableContents"/>
              <w:bidi w:val="0"/>
              <w:spacing w:lineRule="auto" w:line="285" w:before="0" w:after="0"/>
              <w:ind w:left="0" w:right="0" w:hanging="0"/>
              <w:jc w:val="left"/>
              <w:rPr/>
            </w:pPr>
            <w:r>
              <w:rPr/>
              <w:t>​</w:t>
            </w:r>
          </w:p>
        </w:tc>
      </w:tr>
      <w:tr>
        <w:trPr/>
        <w:tc>
          <w:tcPr>
            <w:tcW w:w="7025"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Proceeds from sale of long-lived assets</w:t>
            </w:r>
          </w:p>
        </w:tc>
        <w:tc>
          <w:tcPr>
            <w:tcW w:w="346"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0"/>
              <w:ind w:left="0" w:right="0" w:hanging="0"/>
              <w:jc w:val="right"/>
              <w:rPr/>
            </w:pPr>
            <w:r>
              <w:rPr/>
              <w:t> </w:t>
            </w:r>
          </w:p>
        </w:tc>
        <w:tc>
          <w:tcPr>
            <w:tcW w:w="824"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1,460</w:t>
            </w:r>
          </w:p>
        </w:tc>
        <w:tc>
          <w:tcPr>
            <w:tcW w:w="357"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0"/>
              <w:ind w:left="0" w:right="0" w:hanging="0"/>
              <w:jc w:val="right"/>
              <w:rPr/>
            </w:pPr>
            <w:r>
              <w:rPr/>
              <w:t> </w:t>
            </w:r>
          </w:p>
        </w:tc>
        <w:tc>
          <w:tcPr>
            <w:tcW w:w="824"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176</w:t>
            </w:r>
          </w:p>
        </w:tc>
        <w:tc>
          <w:tcPr>
            <w:tcW w:w="395" w:type="dxa"/>
            <w:tcBorders/>
            <w:vAlign w:val="center"/>
          </w:tcPr>
          <w:p>
            <w:pPr>
              <w:pStyle w:val="TableContents"/>
              <w:bidi w:val="0"/>
              <w:spacing w:lineRule="auto" w:line="285" w:before="0" w:after="0"/>
              <w:ind w:left="0" w:right="0" w:hanging="0"/>
              <w:jc w:val="left"/>
              <w:rPr/>
            </w:pPr>
            <w:r>
              <w:rPr/>
              <w:t>​</w:t>
            </w:r>
          </w:p>
        </w:tc>
      </w:tr>
      <w:tr>
        <w:trPr/>
        <w:tc>
          <w:tcPr>
            <w:tcW w:w="7025"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Purchases of property, plant and equipment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82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(19,040)</w:t>
            </w:r>
          </w:p>
        </w:tc>
        <w:tc>
          <w:tcPr>
            <w:tcW w:w="357"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82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(12,587)</w:t>
            </w:r>
          </w:p>
        </w:tc>
        <w:tc>
          <w:tcPr>
            <w:tcW w:w="395" w:type="dxa"/>
            <w:tcBorders/>
            <w:shd w:fill="CCEEFF" w:val="clear"/>
            <w:vAlign w:val="center"/>
          </w:tcPr>
          <w:p>
            <w:pPr>
              <w:pStyle w:val="TableContents"/>
              <w:bidi w:val="0"/>
              <w:spacing w:lineRule="auto" w:line="285" w:before="0" w:after="0"/>
              <w:ind w:left="0" w:right="0" w:hanging="0"/>
              <w:jc w:val="left"/>
              <w:rPr/>
            </w:pPr>
            <w:r>
              <w:rPr/>
              <w:t>​</w:t>
            </w:r>
          </w:p>
        </w:tc>
      </w:tr>
      <w:tr>
        <w:trPr/>
        <w:tc>
          <w:tcPr>
            <w:tcW w:w="7025"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Net cash used in investing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0"/>
              <w:ind w:left="0" w:right="0" w:hanging="0"/>
              <w:jc w:val="right"/>
              <w:rPr/>
            </w:pPr>
            <w:r>
              <w:rPr/>
              <w:t> </w:t>
            </w:r>
          </w:p>
        </w:tc>
        <w:tc>
          <w:tcPr>
            <w:tcW w:w="824"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(17,580)</w:t>
            </w:r>
          </w:p>
        </w:tc>
        <w:tc>
          <w:tcPr>
            <w:tcW w:w="357"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0"/>
              <w:ind w:left="0" w:right="0" w:hanging="0"/>
              <w:jc w:val="right"/>
              <w:rPr/>
            </w:pPr>
            <w:r>
              <w:rPr/>
              <w:t> </w:t>
            </w:r>
          </w:p>
        </w:tc>
        <w:tc>
          <w:tcPr>
            <w:tcW w:w="824"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(12,411)</w:t>
            </w:r>
          </w:p>
        </w:tc>
        <w:tc>
          <w:tcPr>
            <w:tcW w:w="395" w:type="dxa"/>
            <w:tcBorders/>
            <w:vAlign w:val="center"/>
          </w:tcPr>
          <w:p>
            <w:pPr>
              <w:pStyle w:val="TableContents"/>
              <w:bidi w:val="0"/>
              <w:spacing w:lineRule="auto" w:line="285" w:before="0" w:after="0"/>
              <w:ind w:left="0" w:right="0" w:hanging="0"/>
              <w:jc w:val="left"/>
              <w:rPr/>
            </w:pPr>
            <w:r>
              <w:rPr/>
              <w:t>​</w:t>
            </w:r>
          </w:p>
        </w:tc>
      </w:tr>
      <w:tr>
        <w:trPr/>
        <w:tc>
          <w:tcPr>
            <w:tcW w:w="7025"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shd w:fill="CCEEFF" w:val="clear"/>
            <w:vAlign w:val="center"/>
          </w:tcPr>
          <w:p>
            <w:pPr>
              <w:pStyle w:val="TableContents"/>
              <w:bidi w:val="0"/>
              <w:spacing w:lineRule="auto" w:line="285" w:before="0" w:after="0"/>
              <w:ind w:left="0" w:right="0" w:hanging="0"/>
              <w:jc w:val="right"/>
              <w:rPr/>
            </w:pPr>
            <w:r>
              <w:rPr/>
              <w:t>​</w:t>
            </w:r>
          </w:p>
        </w:tc>
        <w:tc>
          <w:tcPr>
            <w:tcW w:w="824" w:type="dxa"/>
            <w:tcBorders/>
            <w:shd w:fill="CCEEFF" w:val="clear"/>
            <w:vAlign w:val="center"/>
          </w:tcPr>
          <w:p>
            <w:pPr>
              <w:pStyle w:val="TableContents"/>
              <w:bidi w:val="0"/>
              <w:spacing w:lineRule="auto" w:line="285" w:before="0" w:after="0"/>
              <w:ind w:left="0" w:right="0" w:hanging="0"/>
              <w:jc w:val="right"/>
              <w:rPr/>
            </w:pPr>
            <w:r>
              <w:rPr/>
              <w:t>​</w:t>
            </w:r>
          </w:p>
        </w:tc>
        <w:tc>
          <w:tcPr>
            <w:tcW w:w="357"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shd w:fill="CCEEFF" w:val="clear"/>
            <w:vAlign w:val="center"/>
          </w:tcPr>
          <w:p>
            <w:pPr>
              <w:pStyle w:val="TableContents"/>
              <w:bidi w:val="0"/>
              <w:spacing w:lineRule="auto" w:line="285" w:before="0" w:after="0"/>
              <w:ind w:left="0" w:right="0" w:hanging="0"/>
              <w:jc w:val="right"/>
              <w:rPr/>
            </w:pPr>
            <w:r>
              <w:rPr/>
              <w:t>​</w:t>
            </w:r>
          </w:p>
        </w:tc>
        <w:tc>
          <w:tcPr>
            <w:tcW w:w="824" w:type="dxa"/>
            <w:tcBorders/>
            <w:shd w:fill="CCEEFF" w:val="clear"/>
            <w:vAlign w:val="center"/>
          </w:tcPr>
          <w:p>
            <w:pPr>
              <w:pStyle w:val="TableContents"/>
              <w:bidi w:val="0"/>
              <w:spacing w:lineRule="auto" w:line="285" w:before="0" w:after="0"/>
              <w:ind w:left="0" w:right="0" w:hanging="0"/>
              <w:jc w:val="right"/>
              <w:rPr/>
            </w:pPr>
            <w:r>
              <w:rPr/>
              <w:t>​</w:t>
            </w:r>
          </w:p>
        </w:tc>
        <w:tc>
          <w:tcPr>
            <w:tcW w:w="395" w:type="dxa"/>
            <w:tcBorders/>
            <w:shd w:fill="CCEEFF" w:val="clear"/>
            <w:vAlign w:val="center"/>
          </w:tcPr>
          <w:p>
            <w:pPr>
              <w:pStyle w:val="TableContents"/>
              <w:bidi w:val="0"/>
              <w:spacing w:lineRule="auto" w:line="285" w:before="0" w:after="0"/>
              <w:ind w:left="0" w:right="0" w:hanging="0"/>
              <w:jc w:val="left"/>
              <w:rPr/>
            </w:pPr>
            <w:r>
              <w:rPr/>
              <w:t>​</w:t>
            </w:r>
          </w:p>
        </w:tc>
      </w:tr>
      <w:tr>
        <w:trPr/>
        <w:tc>
          <w:tcPr>
            <w:tcW w:w="7025" w:type="dxa"/>
            <w:tcBorders/>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Cash flows from financing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0"/>
              <w:ind w:left="0" w:right="0" w:hanging="0"/>
              <w:jc w:val="right"/>
              <w:rPr/>
            </w:pPr>
            <w:r>
              <w:rPr/>
              <w:t>​</w:t>
            </w:r>
          </w:p>
        </w:tc>
        <w:tc>
          <w:tcPr>
            <w:tcW w:w="824" w:type="dxa"/>
            <w:tcBorders/>
            <w:vAlign w:val="center"/>
          </w:tcPr>
          <w:p>
            <w:pPr>
              <w:pStyle w:val="TableContents"/>
              <w:bidi w:val="0"/>
              <w:spacing w:lineRule="auto" w:line="285" w:before="0" w:after="0"/>
              <w:ind w:left="0" w:right="0" w:hanging="0"/>
              <w:jc w:val="right"/>
              <w:rPr/>
            </w:pPr>
            <w:r>
              <w:rPr/>
              <w:t>​</w:t>
            </w:r>
          </w:p>
        </w:tc>
        <w:tc>
          <w:tcPr>
            <w:tcW w:w="357"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0"/>
              <w:ind w:left="0" w:right="0" w:hanging="0"/>
              <w:jc w:val="right"/>
              <w:rPr/>
            </w:pPr>
            <w:r>
              <w:rPr/>
              <w:t>​</w:t>
            </w:r>
          </w:p>
        </w:tc>
        <w:tc>
          <w:tcPr>
            <w:tcW w:w="824" w:type="dxa"/>
            <w:tcBorders/>
            <w:vAlign w:val="center"/>
          </w:tcPr>
          <w:p>
            <w:pPr>
              <w:pStyle w:val="TableContents"/>
              <w:bidi w:val="0"/>
              <w:spacing w:lineRule="auto" w:line="285" w:before="0" w:after="0"/>
              <w:ind w:left="0" w:right="0" w:hanging="0"/>
              <w:jc w:val="right"/>
              <w:rPr/>
            </w:pPr>
            <w:r>
              <w:rPr/>
              <w:t>​</w:t>
            </w:r>
          </w:p>
        </w:tc>
        <w:tc>
          <w:tcPr>
            <w:tcW w:w="395" w:type="dxa"/>
            <w:tcBorders/>
            <w:vAlign w:val="center"/>
          </w:tcPr>
          <w:p>
            <w:pPr>
              <w:pStyle w:val="TableContents"/>
              <w:bidi w:val="0"/>
              <w:spacing w:lineRule="auto" w:line="285" w:before="0" w:after="0"/>
              <w:ind w:left="0" w:right="0" w:hanging="0"/>
              <w:jc w:val="left"/>
              <w:rPr/>
            </w:pPr>
            <w:r>
              <w:rPr/>
              <w:t>​</w:t>
            </w:r>
          </w:p>
        </w:tc>
      </w:tr>
      <w:tr>
        <w:trPr/>
        <w:tc>
          <w:tcPr>
            <w:tcW w:w="7025"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Proceeds from/(repayments of) line of credit,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shd w:fill="CCEEFF" w:val="clear"/>
            <w:vAlign w:val="center"/>
          </w:tcPr>
          <w:p>
            <w:pPr>
              <w:pStyle w:val="TableContents"/>
              <w:bidi w:val="0"/>
              <w:spacing w:lineRule="auto" w:line="285" w:before="0" w:after="0"/>
              <w:ind w:left="0" w:right="0" w:hanging="0"/>
              <w:jc w:val="right"/>
              <w:rPr/>
            </w:pPr>
            <w:r>
              <w:rPr/>
              <w:t> </w:t>
            </w:r>
          </w:p>
        </w:tc>
        <w:tc>
          <w:tcPr>
            <w:tcW w:w="82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(50,000)</w:t>
            </w:r>
          </w:p>
        </w:tc>
        <w:tc>
          <w:tcPr>
            <w:tcW w:w="357"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shd w:fill="CCEEFF" w:val="clear"/>
            <w:vAlign w:val="center"/>
          </w:tcPr>
          <w:p>
            <w:pPr>
              <w:pStyle w:val="TableContents"/>
              <w:bidi w:val="0"/>
              <w:spacing w:lineRule="auto" w:line="285" w:before="0" w:after="0"/>
              <w:ind w:left="0" w:right="0" w:hanging="0"/>
              <w:jc w:val="right"/>
              <w:rPr/>
            </w:pPr>
            <w:r>
              <w:rPr/>
              <w:t> </w:t>
            </w:r>
          </w:p>
        </w:tc>
        <w:tc>
          <w:tcPr>
            <w:tcW w:w="82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(92,500)</w:t>
            </w:r>
          </w:p>
        </w:tc>
        <w:tc>
          <w:tcPr>
            <w:tcW w:w="395" w:type="dxa"/>
            <w:tcBorders/>
            <w:shd w:fill="CCEEFF" w:val="clear"/>
            <w:vAlign w:val="center"/>
          </w:tcPr>
          <w:p>
            <w:pPr>
              <w:pStyle w:val="TableContents"/>
              <w:bidi w:val="0"/>
              <w:spacing w:lineRule="auto" w:line="285" w:before="0" w:after="0"/>
              <w:ind w:left="0" w:right="0" w:hanging="0"/>
              <w:jc w:val="left"/>
              <w:rPr/>
            </w:pPr>
            <w:r>
              <w:rPr/>
              <w:t>​</w:t>
            </w:r>
          </w:p>
        </w:tc>
      </w:tr>
      <w:tr>
        <w:trPr/>
        <w:tc>
          <w:tcPr>
            <w:tcW w:w="7025"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Proceeds from other debt</w:t>
            </w:r>
          </w:p>
        </w:tc>
        <w:tc>
          <w:tcPr>
            <w:tcW w:w="346"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0"/>
              <w:ind w:left="0" w:right="0" w:hanging="0"/>
              <w:jc w:val="right"/>
              <w:rPr/>
            </w:pPr>
            <w:r>
              <w:rPr/>
              <w:t> </w:t>
            </w:r>
          </w:p>
        </w:tc>
        <w:tc>
          <w:tcPr>
            <w:tcW w:w="824"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3,665</w:t>
            </w:r>
          </w:p>
        </w:tc>
        <w:tc>
          <w:tcPr>
            <w:tcW w:w="357"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0"/>
              <w:ind w:left="0" w:right="0" w:hanging="0"/>
              <w:jc w:val="right"/>
              <w:rPr/>
            </w:pPr>
            <w:r>
              <w:rPr/>
              <w:t> </w:t>
            </w:r>
          </w:p>
        </w:tc>
        <w:tc>
          <w:tcPr>
            <w:tcW w:w="824" w:type="dxa"/>
            <w:tcBorders/>
            <w:vAlign w:val="center"/>
          </w:tcPr>
          <w:p>
            <w:pPr>
              <w:pStyle w:val="TableContents"/>
              <w:bidi w:val="0"/>
              <w:spacing w:lineRule="auto" w:line="285" w:before="0" w:after="0"/>
              <w:ind w:left="0" w:right="0" w:hanging="0"/>
              <w:jc w:val="right"/>
              <w:rPr/>
            </w:pPr>
            <w:r>
              <w:rPr/>
              <w:t>—</w:t>
            </w:r>
          </w:p>
        </w:tc>
        <w:tc>
          <w:tcPr>
            <w:tcW w:w="395" w:type="dxa"/>
            <w:tcBorders/>
            <w:vAlign w:val="center"/>
          </w:tcPr>
          <w:p>
            <w:pPr>
              <w:pStyle w:val="TableContents"/>
              <w:bidi w:val="0"/>
              <w:spacing w:lineRule="auto" w:line="285" w:before="0" w:after="0"/>
              <w:ind w:left="0" w:right="0" w:hanging="0"/>
              <w:jc w:val="left"/>
              <w:rPr/>
            </w:pPr>
            <w:r>
              <w:rPr/>
              <w:t>​</w:t>
            </w:r>
          </w:p>
        </w:tc>
      </w:tr>
      <w:tr>
        <w:trPr/>
        <w:tc>
          <w:tcPr>
            <w:tcW w:w="7025"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Payments on other debt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shd w:fill="CCEEFF" w:val="clear"/>
            <w:vAlign w:val="center"/>
          </w:tcPr>
          <w:p>
            <w:pPr>
              <w:pStyle w:val="TableContents"/>
              <w:bidi w:val="0"/>
              <w:spacing w:lineRule="auto" w:line="285" w:before="0" w:after="0"/>
              <w:ind w:left="0" w:right="0" w:hanging="0"/>
              <w:jc w:val="right"/>
              <w:rPr/>
            </w:pPr>
            <w:r>
              <w:rPr/>
              <w:t> </w:t>
            </w:r>
          </w:p>
        </w:tc>
        <w:tc>
          <w:tcPr>
            <w:tcW w:w="82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(768)</w:t>
            </w:r>
          </w:p>
        </w:tc>
        <w:tc>
          <w:tcPr>
            <w:tcW w:w="357"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shd w:fill="CCEEFF" w:val="clear"/>
            <w:vAlign w:val="center"/>
          </w:tcPr>
          <w:p>
            <w:pPr>
              <w:pStyle w:val="TableContents"/>
              <w:bidi w:val="0"/>
              <w:spacing w:lineRule="auto" w:line="285" w:before="0" w:after="0"/>
              <w:ind w:left="0" w:right="0" w:hanging="0"/>
              <w:jc w:val="right"/>
              <w:rPr/>
            </w:pPr>
            <w:r>
              <w:rPr/>
              <w:t> </w:t>
            </w:r>
          </w:p>
        </w:tc>
        <w:tc>
          <w:tcPr>
            <w:tcW w:w="82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(1,088)</w:t>
            </w:r>
          </w:p>
        </w:tc>
        <w:tc>
          <w:tcPr>
            <w:tcW w:w="395" w:type="dxa"/>
            <w:tcBorders/>
            <w:shd w:fill="CCEEFF" w:val="clear"/>
            <w:vAlign w:val="center"/>
          </w:tcPr>
          <w:p>
            <w:pPr>
              <w:pStyle w:val="TableContents"/>
              <w:bidi w:val="0"/>
              <w:spacing w:lineRule="auto" w:line="285" w:before="0" w:after="0"/>
              <w:ind w:left="0" w:right="0" w:hanging="0"/>
              <w:jc w:val="left"/>
              <w:rPr/>
            </w:pPr>
            <w:r>
              <w:rPr/>
              <w:t>​</w:t>
            </w:r>
          </w:p>
        </w:tc>
      </w:tr>
      <w:tr>
        <w:trPr/>
        <w:tc>
          <w:tcPr>
            <w:tcW w:w="7025"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Dividends paid to shareholders</w:t>
            </w:r>
          </w:p>
        </w:tc>
        <w:tc>
          <w:tcPr>
            <w:tcW w:w="346"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0"/>
              <w:ind w:left="0" w:right="0" w:hanging="0"/>
              <w:jc w:val="right"/>
              <w:rPr/>
            </w:pPr>
            <w:r>
              <w:rPr/>
              <w:t>​</w:t>
            </w:r>
          </w:p>
        </w:tc>
        <w:tc>
          <w:tcPr>
            <w:tcW w:w="824" w:type="dxa"/>
            <w:tcBorders/>
            <w:vAlign w:val="center"/>
          </w:tcPr>
          <w:p>
            <w:pPr>
              <w:pStyle w:val="TableContents"/>
              <w:bidi w:val="0"/>
              <w:spacing w:lineRule="auto" w:line="285" w:before="0" w:after="0"/>
              <w:ind w:left="0" w:right="0" w:hanging="0"/>
              <w:jc w:val="right"/>
              <w:rPr/>
            </w:pPr>
            <w:r>
              <w:rPr/>
              <w:t>​</w:t>
            </w:r>
          </w:p>
        </w:tc>
        <w:tc>
          <w:tcPr>
            <w:tcW w:w="357"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0"/>
              <w:ind w:left="0" w:right="0" w:hanging="0"/>
              <w:jc w:val="right"/>
              <w:rPr/>
            </w:pPr>
            <w:r>
              <w:rPr/>
              <w:t>​</w:t>
            </w:r>
          </w:p>
        </w:tc>
        <w:tc>
          <w:tcPr>
            <w:tcW w:w="824" w:type="dxa"/>
            <w:tcBorders/>
            <w:vAlign w:val="center"/>
          </w:tcPr>
          <w:p>
            <w:pPr>
              <w:pStyle w:val="TableContents"/>
              <w:bidi w:val="0"/>
              <w:spacing w:lineRule="auto" w:line="285" w:before="0" w:after="0"/>
              <w:ind w:left="0" w:right="0" w:hanging="0"/>
              <w:jc w:val="right"/>
              <w:rPr/>
            </w:pPr>
            <w:r>
              <w:rPr/>
              <w:t>—</w:t>
            </w:r>
          </w:p>
        </w:tc>
        <w:tc>
          <w:tcPr>
            <w:tcW w:w="395" w:type="dxa"/>
            <w:tcBorders/>
            <w:vAlign w:val="center"/>
          </w:tcPr>
          <w:p>
            <w:pPr>
              <w:pStyle w:val="TableContents"/>
              <w:bidi w:val="0"/>
              <w:spacing w:lineRule="auto" w:line="285" w:before="0" w:after="0"/>
              <w:ind w:left="0" w:right="0" w:hanging="0"/>
              <w:jc w:val="left"/>
              <w:rPr/>
            </w:pPr>
            <w:r>
              <w:rPr/>
              <w:t>​</w:t>
            </w:r>
          </w:p>
        </w:tc>
      </w:tr>
      <w:tr>
        <w:trPr/>
        <w:tc>
          <w:tcPr>
            <w:tcW w:w="7025"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Payments to noncontrolling interest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shd w:fill="CCEEFF" w:val="clear"/>
            <w:vAlign w:val="center"/>
          </w:tcPr>
          <w:p>
            <w:pPr>
              <w:pStyle w:val="TableContents"/>
              <w:bidi w:val="0"/>
              <w:spacing w:lineRule="auto" w:line="285" w:before="0" w:after="0"/>
              <w:ind w:left="0" w:right="0" w:hanging="0"/>
              <w:jc w:val="right"/>
              <w:rPr/>
            </w:pPr>
            <w:r>
              <w:rPr/>
              <w:t> </w:t>
            </w:r>
          </w:p>
        </w:tc>
        <w:tc>
          <w:tcPr>
            <w:tcW w:w="82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(3,600)</w:t>
            </w:r>
          </w:p>
        </w:tc>
        <w:tc>
          <w:tcPr>
            <w:tcW w:w="357"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shd w:fill="CCEEFF" w:val="clear"/>
            <w:vAlign w:val="center"/>
          </w:tcPr>
          <w:p>
            <w:pPr>
              <w:pStyle w:val="TableContents"/>
              <w:bidi w:val="0"/>
              <w:spacing w:lineRule="auto" w:line="285" w:before="0" w:after="0"/>
              <w:ind w:left="0" w:right="0" w:hanging="0"/>
              <w:jc w:val="right"/>
              <w:rPr/>
            </w:pPr>
            <w:r>
              <w:rPr/>
              <w:t> </w:t>
            </w:r>
          </w:p>
        </w:tc>
        <w:tc>
          <w:tcPr>
            <w:tcW w:w="82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(4,101)</w:t>
            </w:r>
          </w:p>
        </w:tc>
        <w:tc>
          <w:tcPr>
            <w:tcW w:w="395" w:type="dxa"/>
            <w:tcBorders/>
            <w:shd w:fill="CCEEFF" w:val="clear"/>
            <w:vAlign w:val="center"/>
          </w:tcPr>
          <w:p>
            <w:pPr>
              <w:pStyle w:val="TableContents"/>
              <w:bidi w:val="0"/>
              <w:spacing w:lineRule="auto" w:line="285" w:before="0" w:after="0"/>
              <w:ind w:left="0" w:right="0" w:hanging="0"/>
              <w:jc w:val="left"/>
              <w:rPr/>
            </w:pPr>
            <w:r>
              <w:rPr/>
              <w:t>​</w:t>
            </w:r>
          </w:p>
        </w:tc>
      </w:tr>
      <w:tr>
        <w:trPr/>
        <w:tc>
          <w:tcPr>
            <w:tcW w:w="7025"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Tax payments related to issuance of restricted stock units</w:t>
            </w:r>
          </w:p>
        </w:tc>
        <w:tc>
          <w:tcPr>
            <w:tcW w:w="346"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0"/>
              <w:ind w:left="0" w:right="0" w:hanging="0"/>
              <w:jc w:val="right"/>
              <w:rPr/>
            </w:pPr>
            <w:r>
              <w:rPr/>
              <w:t>​</w:t>
            </w:r>
          </w:p>
        </w:tc>
        <w:tc>
          <w:tcPr>
            <w:tcW w:w="824"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(570)</w:t>
            </w:r>
          </w:p>
        </w:tc>
        <w:tc>
          <w:tcPr>
            <w:tcW w:w="357"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0"/>
              <w:ind w:left="0" w:right="0" w:hanging="0"/>
              <w:jc w:val="right"/>
              <w:rPr/>
            </w:pPr>
            <w:r>
              <w:rPr/>
              <w:t>​</w:t>
            </w:r>
          </w:p>
        </w:tc>
        <w:tc>
          <w:tcPr>
            <w:tcW w:w="824"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(1,038)</w:t>
            </w:r>
          </w:p>
        </w:tc>
        <w:tc>
          <w:tcPr>
            <w:tcW w:w="395" w:type="dxa"/>
            <w:tcBorders/>
            <w:vAlign w:val="center"/>
          </w:tcPr>
          <w:p>
            <w:pPr>
              <w:pStyle w:val="TableContents"/>
              <w:bidi w:val="0"/>
              <w:spacing w:lineRule="auto" w:line="285" w:before="0" w:after="0"/>
              <w:ind w:left="0" w:right="0" w:hanging="0"/>
              <w:jc w:val="left"/>
              <w:rPr/>
            </w:pPr>
            <w:r>
              <w:rPr/>
              <w:t>​</w:t>
            </w:r>
          </w:p>
        </w:tc>
      </w:tr>
      <w:tr>
        <w:trPr/>
        <w:tc>
          <w:tcPr>
            <w:tcW w:w="7025"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Payments of debt issuance costs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82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(158)</w:t>
            </w:r>
          </w:p>
        </w:tc>
        <w:tc>
          <w:tcPr>
            <w:tcW w:w="357"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82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(200)</w:t>
            </w:r>
          </w:p>
        </w:tc>
        <w:tc>
          <w:tcPr>
            <w:tcW w:w="395" w:type="dxa"/>
            <w:tcBorders/>
            <w:shd w:fill="CCEEFF" w:val="clear"/>
            <w:vAlign w:val="center"/>
          </w:tcPr>
          <w:p>
            <w:pPr>
              <w:pStyle w:val="TableContents"/>
              <w:bidi w:val="0"/>
              <w:spacing w:lineRule="auto" w:line="285" w:before="0" w:after="0"/>
              <w:ind w:left="0" w:right="0" w:hanging="0"/>
              <w:jc w:val="left"/>
              <w:rPr/>
            </w:pPr>
            <w:r>
              <w:rPr/>
              <w:t>​</w:t>
            </w:r>
          </w:p>
        </w:tc>
      </w:tr>
      <w:tr>
        <w:trPr/>
        <w:tc>
          <w:tcPr>
            <w:tcW w:w="7025"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Net cash (used in)/provided by financing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0"/>
              <w:ind w:left="0" w:right="0" w:hanging="0"/>
              <w:jc w:val="right"/>
              <w:rPr/>
            </w:pPr>
            <w:r>
              <w:rPr/>
              <w:t> </w:t>
            </w:r>
          </w:p>
        </w:tc>
        <w:tc>
          <w:tcPr>
            <w:tcW w:w="824"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(51,431)</w:t>
            </w:r>
          </w:p>
        </w:tc>
        <w:tc>
          <w:tcPr>
            <w:tcW w:w="357"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0"/>
              <w:ind w:left="0" w:right="0" w:hanging="0"/>
              <w:jc w:val="right"/>
              <w:rPr/>
            </w:pPr>
            <w:r>
              <w:rPr/>
              <w:t> </w:t>
            </w:r>
          </w:p>
        </w:tc>
        <w:tc>
          <w:tcPr>
            <w:tcW w:w="824"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(98,927)</w:t>
            </w:r>
          </w:p>
        </w:tc>
        <w:tc>
          <w:tcPr>
            <w:tcW w:w="395" w:type="dxa"/>
            <w:tcBorders/>
            <w:vAlign w:val="center"/>
          </w:tcPr>
          <w:p>
            <w:pPr>
              <w:pStyle w:val="TableContents"/>
              <w:bidi w:val="0"/>
              <w:spacing w:lineRule="auto" w:line="285" w:before="0" w:after="0"/>
              <w:ind w:left="0" w:right="0" w:hanging="0"/>
              <w:jc w:val="left"/>
              <w:rPr/>
            </w:pPr>
            <w:r>
              <w:rPr/>
              <w:t>​</w:t>
            </w:r>
          </w:p>
        </w:tc>
      </w:tr>
      <w:tr>
        <w:trPr/>
        <w:tc>
          <w:tcPr>
            <w:tcW w:w="7025"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shd w:fill="CCEEFF" w:val="clear"/>
            <w:vAlign w:val="center"/>
          </w:tcPr>
          <w:p>
            <w:pPr>
              <w:pStyle w:val="TableContents"/>
              <w:bidi w:val="0"/>
              <w:spacing w:lineRule="auto" w:line="285" w:before="0" w:after="0"/>
              <w:ind w:left="0" w:right="0" w:hanging="0"/>
              <w:jc w:val="right"/>
              <w:rPr/>
            </w:pPr>
            <w:r>
              <w:rPr/>
              <w:t>​</w:t>
            </w:r>
          </w:p>
        </w:tc>
        <w:tc>
          <w:tcPr>
            <w:tcW w:w="824" w:type="dxa"/>
            <w:tcBorders/>
            <w:shd w:fill="CCEEFF" w:val="clear"/>
            <w:vAlign w:val="center"/>
          </w:tcPr>
          <w:p>
            <w:pPr>
              <w:pStyle w:val="TableContents"/>
              <w:bidi w:val="0"/>
              <w:spacing w:lineRule="auto" w:line="285" w:before="0" w:after="0"/>
              <w:ind w:left="0" w:right="0" w:hanging="0"/>
              <w:jc w:val="right"/>
              <w:rPr/>
            </w:pPr>
            <w:r>
              <w:rPr/>
              <w:t>​</w:t>
            </w:r>
          </w:p>
        </w:tc>
        <w:tc>
          <w:tcPr>
            <w:tcW w:w="357"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shd w:fill="CCEEFF" w:val="clear"/>
            <w:vAlign w:val="center"/>
          </w:tcPr>
          <w:p>
            <w:pPr>
              <w:pStyle w:val="TableContents"/>
              <w:bidi w:val="0"/>
              <w:spacing w:lineRule="auto" w:line="285" w:before="0" w:after="0"/>
              <w:ind w:left="0" w:right="0" w:hanging="0"/>
              <w:jc w:val="right"/>
              <w:rPr/>
            </w:pPr>
            <w:r>
              <w:rPr/>
              <w:t>​</w:t>
            </w:r>
          </w:p>
        </w:tc>
        <w:tc>
          <w:tcPr>
            <w:tcW w:w="824" w:type="dxa"/>
            <w:tcBorders/>
            <w:shd w:fill="CCEEFF" w:val="clear"/>
            <w:vAlign w:val="center"/>
          </w:tcPr>
          <w:p>
            <w:pPr>
              <w:pStyle w:val="TableContents"/>
              <w:bidi w:val="0"/>
              <w:spacing w:lineRule="auto" w:line="285" w:before="0" w:after="0"/>
              <w:ind w:left="0" w:right="0" w:hanging="0"/>
              <w:jc w:val="right"/>
              <w:rPr/>
            </w:pPr>
            <w:r>
              <w:rPr/>
              <w:t>​</w:t>
            </w:r>
          </w:p>
        </w:tc>
        <w:tc>
          <w:tcPr>
            <w:tcW w:w="395" w:type="dxa"/>
            <w:tcBorders/>
            <w:shd w:fill="CCEEFF" w:val="clear"/>
            <w:vAlign w:val="center"/>
          </w:tcPr>
          <w:p>
            <w:pPr>
              <w:pStyle w:val="TableContents"/>
              <w:bidi w:val="0"/>
              <w:spacing w:lineRule="auto" w:line="285" w:before="0" w:after="0"/>
              <w:ind w:left="0" w:right="0" w:hanging="0"/>
              <w:jc w:val="left"/>
              <w:rPr/>
            </w:pPr>
            <w:r>
              <w:rPr/>
              <w:t>​</w:t>
            </w:r>
          </w:p>
        </w:tc>
      </w:tr>
      <w:tr>
        <w:trPr/>
        <w:tc>
          <w:tcPr>
            <w:tcW w:w="7025"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Effect of exchange rate changes on cash, cash equivalents and restricted cash</w:t>
            </w:r>
          </w:p>
        </w:tc>
        <w:tc>
          <w:tcPr>
            <w:tcW w:w="346" w:type="dxa"/>
            <w:tcBorders/>
            <w:vAlign w:val="center"/>
          </w:tcPr>
          <w:p>
            <w:pPr>
              <w:pStyle w:val="TableContents"/>
              <w:bidi w:val="0"/>
              <w:spacing w:lineRule="auto" w:line="285"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82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1,103</w:t>
            </w:r>
          </w:p>
        </w:tc>
        <w:tc>
          <w:tcPr>
            <w:tcW w:w="357" w:type="dxa"/>
            <w:tcBorders/>
            <w:vAlign w:val="center"/>
          </w:tcPr>
          <w:p>
            <w:pPr>
              <w:pStyle w:val="TableContents"/>
              <w:bidi w:val="0"/>
              <w:spacing w:lineRule="auto" w:line="285"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82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(5,395)</w:t>
            </w:r>
          </w:p>
        </w:tc>
        <w:tc>
          <w:tcPr>
            <w:tcW w:w="395" w:type="dxa"/>
            <w:tcBorders/>
            <w:vAlign w:val="center"/>
          </w:tcPr>
          <w:p>
            <w:pPr>
              <w:pStyle w:val="TableContents"/>
              <w:bidi w:val="0"/>
              <w:spacing w:lineRule="auto" w:line="285" w:before="0" w:after="0"/>
              <w:ind w:left="0" w:right="0" w:hanging="0"/>
              <w:jc w:val="left"/>
              <w:rPr/>
            </w:pPr>
            <w:r>
              <w:rPr/>
              <w:t>​</w:t>
            </w:r>
          </w:p>
        </w:tc>
      </w:tr>
      <w:tr>
        <w:trPr/>
        <w:tc>
          <w:tcPr>
            <w:tcW w:w="7025"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shd w:fill="CCEEFF" w:val="clear"/>
            <w:vAlign w:val="center"/>
          </w:tcPr>
          <w:p>
            <w:pPr>
              <w:pStyle w:val="TableContents"/>
              <w:bidi w:val="0"/>
              <w:spacing w:lineRule="auto" w:line="285" w:before="0" w:after="0"/>
              <w:ind w:left="0" w:right="0" w:hanging="0"/>
              <w:jc w:val="right"/>
              <w:rPr/>
            </w:pPr>
            <w:r>
              <w:rPr/>
              <w:t>​</w:t>
            </w:r>
          </w:p>
        </w:tc>
        <w:tc>
          <w:tcPr>
            <w:tcW w:w="824" w:type="dxa"/>
            <w:tcBorders/>
            <w:shd w:fill="CCEEFF" w:val="clear"/>
            <w:vAlign w:val="center"/>
          </w:tcPr>
          <w:p>
            <w:pPr>
              <w:pStyle w:val="TableContents"/>
              <w:bidi w:val="0"/>
              <w:spacing w:lineRule="auto" w:line="285" w:before="0" w:after="0"/>
              <w:ind w:left="0" w:right="0" w:hanging="0"/>
              <w:jc w:val="right"/>
              <w:rPr/>
            </w:pPr>
            <w:r>
              <w:rPr/>
              <w:t>​</w:t>
            </w:r>
          </w:p>
        </w:tc>
        <w:tc>
          <w:tcPr>
            <w:tcW w:w="357"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shd w:fill="CCEEFF" w:val="clear"/>
            <w:vAlign w:val="center"/>
          </w:tcPr>
          <w:p>
            <w:pPr>
              <w:pStyle w:val="TableContents"/>
              <w:bidi w:val="0"/>
              <w:spacing w:lineRule="auto" w:line="285" w:before="0" w:after="0"/>
              <w:ind w:left="0" w:right="0" w:hanging="0"/>
              <w:jc w:val="right"/>
              <w:rPr/>
            </w:pPr>
            <w:r>
              <w:rPr/>
              <w:t>​</w:t>
            </w:r>
          </w:p>
        </w:tc>
        <w:tc>
          <w:tcPr>
            <w:tcW w:w="824" w:type="dxa"/>
            <w:tcBorders/>
            <w:shd w:fill="CCEEFF" w:val="clear"/>
            <w:vAlign w:val="center"/>
          </w:tcPr>
          <w:p>
            <w:pPr>
              <w:pStyle w:val="TableContents"/>
              <w:bidi w:val="0"/>
              <w:spacing w:lineRule="auto" w:line="285" w:before="0" w:after="0"/>
              <w:ind w:left="0" w:right="0" w:hanging="0"/>
              <w:jc w:val="right"/>
              <w:rPr/>
            </w:pPr>
            <w:r>
              <w:rPr/>
              <w:t>​</w:t>
            </w:r>
          </w:p>
        </w:tc>
        <w:tc>
          <w:tcPr>
            <w:tcW w:w="395" w:type="dxa"/>
            <w:tcBorders/>
            <w:shd w:fill="CCEEFF" w:val="clear"/>
            <w:vAlign w:val="center"/>
          </w:tcPr>
          <w:p>
            <w:pPr>
              <w:pStyle w:val="TableContents"/>
              <w:bidi w:val="0"/>
              <w:spacing w:lineRule="auto" w:line="285" w:before="0" w:after="0"/>
              <w:ind w:left="0" w:right="0" w:hanging="0"/>
              <w:jc w:val="left"/>
              <w:rPr/>
            </w:pPr>
            <w:r>
              <w:rPr/>
              <w:t>​</w:t>
            </w:r>
          </w:p>
        </w:tc>
      </w:tr>
      <w:tr>
        <w:trPr/>
        <w:tc>
          <w:tcPr>
            <w:tcW w:w="7025"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Increase/(decrease) in cash, cash equivalents and restricted cash</w:t>
            </w:r>
          </w:p>
        </w:tc>
        <w:tc>
          <w:tcPr>
            <w:tcW w:w="346"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0"/>
              <w:ind w:left="0" w:right="0" w:hanging="0"/>
              <w:jc w:val="right"/>
              <w:rPr/>
            </w:pPr>
            <w:r>
              <w:rPr/>
              <w:t> </w:t>
            </w:r>
          </w:p>
        </w:tc>
        <w:tc>
          <w:tcPr>
            <w:tcW w:w="824"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10,968</w:t>
            </w:r>
          </w:p>
        </w:tc>
        <w:tc>
          <w:tcPr>
            <w:tcW w:w="357"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0"/>
              <w:ind w:left="0" w:right="0" w:hanging="0"/>
              <w:jc w:val="right"/>
              <w:rPr/>
            </w:pPr>
            <w:r>
              <w:rPr/>
              <w:t> </w:t>
            </w:r>
          </w:p>
        </w:tc>
        <w:tc>
          <w:tcPr>
            <w:tcW w:w="824"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(2,432)</w:t>
            </w:r>
          </w:p>
        </w:tc>
        <w:tc>
          <w:tcPr>
            <w:tcW w:w="395" w:type="dxa"/>
            <w:tcBorders/>
            <w:vAlign w:val="center"/>
          </w:tcPr>
          <w:p>
            <w:pPr>
              <w:pStyle w:val="TableContents"/>
              <w:bidi w:val="0"/>
              <w:spacing w:lineRule="auto" w:line="285" w:before="0" w:after="0"/>
              <w:ind w:left="0" w:right="0" w:hanging="0"/>
              <w:jc w:val="left"/>
              <w:rPr/>
            </w:pPr>
            <w:r>
              <w:rPr/>
              <w:t>​</w:t>
            </w:r>
          </w:p>
        </w:tc>
      </w:tr>
      <w:tr>
        <w:trPr/>
        <w:tc>
          <w:tcPr>
            <w:tcW w:w="7025"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Cash, cash equivalents and restricted cash, beginning of period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82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82,901</w:t>
            </w:r>
          </w:p>
        </w:tc>
        <w:tc>
          <w:tcPr>
            <w:tcW w:w="357"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82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84,991</w:t>
            </w:r>
          </w:p>
        </w:tc>
        <w:tc>
          <w:tcPr>
            <w:tcW w:w="395" w:type="dxa"/>
            <w:tcBorders/>
            <w:shd w:fill="CCEEFF" w:val="clear"/>
            <w:vAlign w:val="center"/>
          </w:tcPr>
          <w:p>
            <w:pPr>
              <w:pStyle w:val="TableContents"/>
              <w:bidi w:val="0"/>
              <w:spacing w:lineRule="auto" w:line="285" w:before="0" w:after="0"/>
              <w:ind w:left="0" w:right="0" w:hanging="0"/>
              <w:jc w:val="left"/>
              <w:rPr/>
            </w:pPr>
            <w:r>
              <w:rPr/>
              <w:t>​</w:t>
            </w:r>
          </w:p>
        </w:tc>
      </w:tr>
      <w:tr>
        <w:trPr/>
        <w:tc>
          <w:tcPr>
            <w:tcW w:w="7025"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Cash, cash equivalents and restricted cash, end of period</w:t>
            </w:r>
          </w:p>
        </w:tc>
        <w:tc>
          <w:tcPr>
            <w:tcW w:w="346" w:type="dxa"/>
            <w:tcBorders/>
            <w:vAlign w:val="center"/>
          </w:tcPr>
          <w:p>
            <w:pPr>
              <w:pStyle w:val="TableContents"/>
              <w:bidi w:val="0"/>
              <w:spacing w:lineRule="auto" w:line="285"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93,869</w:t>
            </w:r>
          </w:p>
        </w:tc>
        <w:tc>
          <w:tcPr>
            <w:tcW w:w="357" w:type="dxa"/>
            <w:tcBorders/>
            <w:vAlign w:val="center"/>
          </w:tcPr>
          <w:p>
            <w:pPr>
              <w:pStyle w:val="TableContents"/>
              <w:bidi w:val="0"/>
              <w:spacing w:lineRule="auto" w:line="285"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82,559</w:t>
            </w:r>
          </w:p>
        </w:tc>
        <w:tc>
          <w:tcPr>
            <w:tcW w:w="395" w:type="dxa"/>
            <w:tcBorders/>
            <w:vAlign w:val="center"/>
          </w:tcPr>
          <w:p>
            <w:pPr>
              <w:pStyle w:val="TableContents"/>
              <w:bidi w:val="0"/>
              <w:spacing w:lineRule="auto" w:line="285" w:before="0" w:after="0"/>
              <w:ind w:left="0" w:right="0" w:hanging="0"/>
              <w:jc w:val="left"/>
              <w:rPr/>
            </w:pPr>
            <w:r>
              <w:rPr/>
              <w:t>​</w:t>
            </w:r>
          </w:p>
        </w:tc>
      </w:tr>
      <w:tr>
        <w:trPr/>
        <w:tc>
          <w:tcPr>
            <w:tcW w:w="7025"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shd w:fill="CCEEFF" w:val="clear"/>
            <w:vAlign w:val="center"/>
          </w:tcPr>
          <w:p>
            <w:pPr>
              <w:pStyle w:val="TableContents"/>
              <w:bidi w:val="0"/>
              <w:spacing w:lineRule="auto" w:line="285" w:before="0" w:after="0"/>
              <w:ind w:left="0" w:right="0" w:hanging="0"/>
              <w:jc w:val="left"/>
              <w:rPr/>
            </w:pPr>
            <w:r>
              <w:rPr/>
              <w:t>​</w:t>
            </w:r>
          </w:p>
        </w:tc>
        <w:tc>
          <w:tcPr>
            <w:tcW w:w="824" w:type="dxa"/>
            <w:tcBorders/>
            <w:shd w:fill="CCEEFF" w:val="clear"/>
            <w:vAlign w:val="center"/>
          </w:tcPr>
          <w:p>
            <w:pPr>
              <w:pStyle w:val="TableContents"/>
              <w:bidi w:val="0"/>
              <w:spacing w:lineRule="auto" w:line="285" w:before="0" w:after="0"/>
              <w:ind w:left="0" w:right="0" w:hanging="0"/>
              <w:jc w:val="right"/>
              <w:rPr/>
            </w:pPr>
            <w:r>
              <w:rPr/>
              <w:t>​</w:t>
            </w:r>
          </w:p>
        </w:tc>
        <w:tc>
          <w:tcPr>
            <w:tcW w:w="357"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shd w:fill="CCEEFF" w:val="clear"/>
            <w:vAlign w:val="center"/>
          </w:tcPr>
          <w:p>
            <w:pPr>
              <w:pStyle w:val="TableContents"/>
              <w:bidi w:val="0"/>
              <w:spacing w:lineRule="auto" w:line="285" w:before="0" w:after="0"/>
              <w:ind w:left="0" w:right="0" w:hanging="0"/>
              <w:jc w:val="left"/>
              <w:rPr/>
            </w:pPr>
            <w:r>
              <w:rPr/>
              <w:t>​</w:t>
            </w:r>
          </w:p>
        </w:tc>
        <w:tc>
          <w:tcPr>
            <w:tcW w:w="824" w:type="dxa"/>
            <w:tcBorders/>
            <w:shd w:fill="CCEEFF" w:val="clear"/>
            <w:vAlign w:val="center"/>
          </w:tcPr>
          <w:p>
            <w:pPr>
              <w:pStyle w:val="TableContents"/>
              <w:bidi w:val="0"/>
              <w:spacing w:lineRule="auto" w:line="285" w:before="0" w:after="0"/>
              <w:ind w:left="0" w:right="0" w:hanging="0"/>
              <w:jc w:val="right"/>
              <w:rPr/>
            </w:pPr>
            <w:r>
              <w:rPr/>
              <w:t>​</w:t>
            </w:r>
          </w:p>
        </w:tc>
        <w:tc>
          <w:tcPr>
            <w:tcW w:w="395" w:type="dxa"/>
            <w:tcBorders/>
            <w:shd w:fill="CCEEFF" w:val="clear"/>
            <w:vAlign w:val="center"/>
          </w:tcPr>
          <w:p>
            <w:pPr>
              <w:pStyle w:val="TableContents"/>
              <w:bidi w:val="0"/>
              <w:spacing w:lineRule="auto" w:line="285" w:before="0" w:after="0"/>
              <w:ind w:left="0" w:right="0" w:hanging="0"/>
              <w:jc w:val="left"/>
              <w:rPr/>
            </w:pPr>
            <w:r>
              <w:rPr/>
              <w:t>​</w:t>
            </w:r>
          </w:p>
        </w:tc>
      </w:tr>
      <w:tr>
        <w:trPr/>
        <w:tc>
          <w:tcPr>
            <w:tcW w:w="7025" w:type="dxa"/>
            <w:tcBorders/>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Supplemental disclosures</w:t>
            </w:r>
          </w:p>
        </w:tc>
        <w:tc>
          <w:tcPr>
            <w:tcW w:w="346"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0"/>
              <w:ind w:left="0" w:right="0" w:hanging="0"/>
              <w:jc w:val="right"/>
              <w:rPr/>
            </w:pPr>
            <w:r>
              <w:rPr/>
              <w:t>​</w:t>
            </w:r>
          </w:p>
        </w:tc>
        <w:tc>
          <w:tcPr>
            <w:tcW w:w="824" w:type="dxa"/>
            <w:tcBorders/>
            <w:vAlign w:val="center"/>
          </w:tcPr>
          <w:p>
            <w:pPr>
              <w:pStyle w:val="TableContents"/>
              <w:bidi w:val="0"/>
              <w:spacing w:lineRule="auto" w:line="285" w:before="0" w:after="0"/>
              <w:ind w:left="0" w:right="0" w:hanging="0"/>
              <w:jc w:val="right"/>
              <w:rPr/>
            </w:pPr>
            <w:r>
              <w:rPr/>
              <w:t>​</w:t>
            </w:r>
          </w:p>
        </w:tc>
        <w:tc>
          <w:tcPr>
            <w:tcW w:w="357"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0"/>
              <w:ind w:left="0" w:right="0" w:hanging="0"/>
              <w:jc w:val="right"/>
              <w:rPr/>
            </w:pPr>
            <w:r>
              <w:rPr/>
              <w:t>​</w:t>
            </w:r>
          </w:p>
        </w:tc>
        <w:tc>
          <w:tcPr>
            <w:tcW w:w="824" w:type="dxa"/>
            <w:tcBorders/>
            <w:vAlign w:val="center"/>
          </w:tcPr>
          <w:p>
            <w:pPr>
              <w:pStyle w:val="TableContents"/>
              <w:bidi w:val="0"/>
              <w:spacing w:lineRule="auto" w:line="285" w:before="0" w:after="0"/>
              <w:ind w:left="0" w:right="0" w:hanging="0"/>
              <w:jc w:val="right"/>
              <w:rPr/>
            </w:pPr>
            <w:r>
              <w:rPr/>
              <w:t>​</w:t>
            </w:r>
          </w:p>
        </w:tc>
        <w:tc>
          <w:tcPr>
            <w:tcW w:w="395" w:type="dxa"/>
            <w:tcBorders/>
            <w:vAlign w:val="center"/>
          </w:tcPr>
          <w:p>
            <w:pPr>
              <w:pStyle w:val="TableContents"/>
              <w:bidi w:val="0"/>
              <w:spacing w:lineRule="auto" w:line="285" w:before="0" w:after="0"/>
              <w:ind w:left="0" w:right="0" w:hanging="0"/>
              <w:jc w:val="left"/>
              <w:rPr/>
            </w:pPr>
            <w:r>
              <w:rPr/>
              <w:t>​</w:t>
            </w:r>
          </w:p>
        </w:tc>
      </w:tr>
      <w:tr>
        <w:trPr/>
        <w:tc>
          <w:tcPr>
            <w:tcW w:w="7025"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Cash paid for interest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30,683</w:t>
            </w:r>
          </w:p>
        </w:tc>
        <w:tc>
          <w:tcPr>
            <w:tcW w:w="357"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36,928</w:t>
            </w:r>
          </w:p>
        </w:tc>
        <w:tc>
          <w:tcPr>
            <w:tcW w:w="395" w:type="dxa"/>
            <w:tcBorders/>
            <w:shd w:fill="CCEEFF" w:val="clear"/>
            <w:vAlign w:val="center"/>
          </w:tcPr>
          <w:p>
            <w:pPr>
              <w:pStyle w:val="TableContents"/>
              <w:bidi w:val="0"/>
              <w:spacing w:lineRule="auto" w:line="285" w:before="0" w:after="0"/>
              <w:ind w:left="0" w:right="0" w:hanging="0"/>
              <w:jc w:val="left"/>
              <w:rPr/>
            </w:pPr>
            <w:r>
              <w:rPr/>
              <w:t>​</w:t>
            </w:r>
          </w:p>
        </w:tc>
      </w:tr>
      <w:tr>
        <w:trPr/>
        <w:tc>
          <w:tcPr>
            <w:tcW w:w="7025"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Cash paid for income taxes</w:t>
            </w:r>
          </w:p>
        </w:tc>
        <w:tc>
          <w:tcPr>
            <w:tcW w:w="346" w:type="dxa"/>
            <w:tcBorders/>
            <w:vAlign w:val="center"/>
          </w:tcPr>
          <w:p>
            <w:pPr>
              <w:pStyle w:val="TableContents"/>
              <w:bidi w:val="0"/>
              <w:spacing w:lineRule="auto" w:line="285"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15,003</w:t>
            </w:r>
          </w:p>
        </w:tc>
        <w:tc>
          <w:tcPr>
            <w:tcW w:w="357" w:type="dxa"/>
            <w:tcBorders/>
            <w:vAlign w:val="center"/>
          </w:tcPr>
          <w:p>
            <w:pPr>
              <w:pStyle w:val="TableContents"/>
              <w:bidi w:val="0"/>
              <w:spacing w:lineRule="auto" w:line="285"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10,688</w:t>
            </w:r>
          </w:p>
        </w:tc>
        <w:tc>
          <w:tcPr>
            <w:tcW w:w="395" w:type="dxa"/>
            <w:tcBorders/>
            <w:vAlign w:val="center"/>
          </w:tcPr>
          <w:p>
            <w:pPr>
              <w:pStyle w:val="TableContents"/>
              <w:bidi w:val="0"/>
              <w:spacing w:lineRule="auto" w:line="285" w:before="0" w:after="0"/>
              <w:ind w:left="0" w:right="0" w:hanging="0"/>
              <w:jc w:val="left"/>
              <w:rPr/>
            </w:pPr>
            <w:r>
              <w:rPr/>
              <w:t>​</w:t>
            </w:r>
          </w:p>
        </w:tc>
      </w:tr>
      <w:tr>
        <w:trPr/>
        <w:tc>
          <w:tcPr>
            <w:tcW w:w="7025"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Non-cash investing and financing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shd w:fill="CCEEFF" w:val="clear"/>
            <w:vAlign w:val="center"/>
          </w:tcPr>
          <w:p>
            <w:pPr>
              <w:pStyle w:val="TableContents"/>
              <w:bidi w:val="0"/>
              <w:spacing w:lineRule="auto" w:line="285" w:before="0" w:after="0"/>
              <w:ind w:left="0" w:right="0" w:hanging="0"/>
              <w:jc w:val="right"/>
              <w:rPr/>
            </w:pPr>
            <w:r>
              <w:rPr/>
              <w:t>​</w:t>
            </w:r>
          </w:p>
        </w:tc>
        <w:tc>
          <w:tcPr>
            <w:tcW w:w="824" w:type="dxa"/>
            <w:tcBorders/>
            <w:shd w:fill="CCEEFF" w:val="clear"/>
            <w:vAlign w:val="center"/>
          </w:tcPr>
          <w:p>
            <w:pPr>
              <w:pStyle w:val="TableContents"/>
              <w:bidi w:val="0"/>
              <w:spacing w:lineRule="auto" w:line="285" w:before="0" w:after="0"/>
              <w:ind w:left="0" w:right="0" w:hanging="0"/>
              <w:jc w:val="right"/>
              <w:rPr/>
            </w:pPr>
            <w:r>
              <w:rPr/>
              <w:t>​</w:t>
            </w:r>
          </w:p>
        </w:tc>
        <w:tc>
          <w:tcPr>
            <w:tcW w:w="357"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shd w:fill="CCEEFF" w:val="clear"/>
            <w:vAlign w:val="center"/>
          </w:tcPr>
          <w:p>
            <w:pPr>
              <w:pStyle w:val="TableContents"/>
              <w:bidi w:val="0"/>
              <w:spacing w:lineRule="auto" w:line="285" w:before="0" w:after="0"/>
              <w:ind w:left="0" w:right="0" w:hanging="0"/>
              <w:jc w:val="right"/>
              <w:rPr/>
            </w:pPr>
            <w:r>
              <w:rPr/>
              <w:t>​</w:t>
            </w:r>
          </w:p>
        </w:tc>
        <w:tc>
          <w:tcPr>
            <w:tcW w:w="824" w:type="dxa"/>
            <w:tcBorders/>
            <w:shd w:fill="CCEEFF" w:val="clear"/>
            <w:vAlign w:val="center"/>
          </w:tcPr>
          <w:p>
            <w:pPr>
              <w:pStyle w:val="TableContents"/>
              <w:bidi w:val="0"/>
              <w:spacing w:lineRule="auto" w:line="285" w:before="0" w:after="0"/>
              <w:ind w:left="0" w:right="0" w:hanging="0"/>
              <w:jc w:val="right"/>
              <w:rPr/>
            </w:pPr>
            <w:r>
              <w:rPr/>
              <w:t>​</w:t>
            </w:r>
          </w:p>
        </w:tc>
        <w:tc>
          <w:tcPr>
            <w:tcW w:w="395" w:type="dxa"/>
            <w:tcBorders/>
            <w:shd w:fill="CCEEFF" w:val="clear"/>
            <w:vAlign w:val="center"/>
          </w:tcPr>
          <w:p>
            <w:pPr>
              <w:pStyle w:val="TableContents"/>
              <w:bidi w:val="0"/>
              <w:spacing w:lineRule="auto" w:line="285" w:before="0" w:after="0"/>
              <w:ind w:left="0" w:right="0" w:hanging="0"/>
              <w:jc w:val="left"/>
              <w:rPr/>
            </w:pPr>
            <w:r>
              <w:rPr/>
              <w:t>​</w:t>
            </w:r>
          </w:p>
        </w:tc>
      </w:tr>
      <w:tr>
        <w:trPr/>
        <w:tc>
          <w:tcPr>
            <w:tcW w:w="7025"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Acquisition of long-lived assets through finance leases</w:t>
            </w:r>
          </w:p>
        </w:tc>
        <w:tc>
          <w:tcPr>
            <w:tcW w:w="346" w:type="dxa"/>
            <w:tcBorders/>
            <w:vAlign w:val="center"/>
          </w:tcPr>
          <w:p>
            <w:pPr>
              <w:pStyle w:val="TableContents"/>
              <w:bidi w:val="0"/>
              <w:spacing w:lineRule="auto" w:line="285"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81</w:t>
            </w:r>
          </w:p>
        </w:tc>
        <w:tc>
          <w:tcPr>
            <w:tcW w:w="357" w:type="dxa"/>
            <w:tcBorders/>
            <w:vAlign w:val="center"/>
          </w:tcPr>
          <w:p>
            <w:pPr>
              <w:pStyle w:val="TableContents"/>
              <w:bidi w:val="0"/>
              <w:spacing w:lineRule="auto" w:line="285"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1,784</w:t>
            </w:r>
          </w:p>
        </w:tc>
        <w:tc>
          <w:tcPr>
            <w:tcW w:w="395" w:type="dxa"/>
            <w:tcBorders/>
            <w:vAlign w:val="center"/>
          </w:tcPr>
          <w:p>
            <w:pPr>
              <w:pStyle w:val="TableContents"/>
              <w:bidi w:val="0"/>
              <w:spacing w:lineRule="auto" w:line="285" w:before="0" w:after="0"/>
              <w:ind w:left="0" w:right="0" w:hanging="0"/>
              <w:jc w:val="left"/>
              <w:rPr/>
            </w:pPr>
            <w:r>
              <w:rPr/>
              <w:t>​</w:t>
            </w:r>
          </w:p>
        </w:tc>
      </w:tr>
      <w:tr>
        <w:trPr/>
        <w:tc>
          <w:tcPr>
            <w:tcW w:w="7025"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Acquisition of equipment through increase in accounts payable,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1,216</w:t>
            </w:r>
          </w:p>
        </w:tc>
        <w:tc>
          <w:tcPr>
            <w:tcW w:w="357"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(2,954)</w:t>
            </w:r>
          </w:p>
        </w:tc>
        <w:tc>
          <w:tcPr>
            <w:tcW w:w="395"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The accompanying notes are an integral part of these consolidated financial statements.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4</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TTEC HOLDINGS, INC. AND SUBSIDIARIES</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Notes to Consolidated Financial Statements</w:t>
      </w:r>
    </w:p>
    <w:p>
      <w:pPr>
        <w:pStyle w:val="TextBody"/>
        <w:bidi w:val="0"/>
        <w:spacing w:lineRule="auto" w:line="285" w:before="0" w:after="24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lineRule="auto" w:line="285" w:before="0" w:after="120"/>
        <w:ind w:left="0" w:right="0" w:hanging="0"/>
        <w:jc w:val="left"/>
        <w:rPr>
          <w:rFonts w:ascii="Arial;Helvetica;sans-serif" w:hAnsi="Arial;Helvetica;sans-serif"/>
          <w:sz w:val="20"/>
        </w:rPr>
      </w:pPr>
      <w:bookmarkStart w:id="1058" w:name="NOTESTOCONSOLIDATEDFINANCIALSTATEMENT"/>
      <w:bookmarkStart w:id="1059" w:name="_Hlk519691527"/>
      <w:bookmarkEnd w:id="1058"/>
      <w:bookmarkEnd w:id="1059"/>
      <w:r>
        <w:rPr>
          <w:rFonts w:ascii="Arial;Helvetica;sans-serif" w:hAnsi="Arial;Helvetica;sans-serif"/>
          <w:b/>
          <w:i w:val="false"/>
          <w:caps w:val="false"/>
          <w:smallCaps w:val="false"/>
          <w:sz w:val="20"/>
        </w:rPr>
        <w:t>(1)</w:t>
      </w:r>
      <w:r>
        <w:rPr>
          <w:rFonts w:ascii="Arial;Helvetica;sans-serif" w:hAnsi="Arial;Helvetica;sans-serif"/>
          <w:b/>
          <w:sz w:val="20"/>
        </w:rPr>
        <w:t>OVERVIEW AND BASIS OF PRESENTATION</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Summary of Business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Founded in 1982, TTEC Holdings, Inc. (“TTEC”, “the Company”; pronounced “T-TEC”) is a global customer experience (“CX”) technology and services outsourcing partner for marquee and disruptive brands and public sector clients. The Company designs, builds, and operates AI-enabled customer experiences across live interaction channels and provides data-driven, AI-enabled digital solutions to help clients improve customer satisfaction and loyalty, increase customer revenue and profitability, and optimize overall cost to serve. As of June 30, 2026, TTEC served approximately 735</w:t>
      </w:r>
      <w:r>
        <w:rPr>
          <w:rFonts w:ascii="Arial;Helvetica;sans-serif" w:hAnsi="Arial;Helvetica;sans-serif"/>
          <w:color w:val="FF0000"/>
          <w:sz w:val="20"/>
        </w:rPr>
        <w:t xml:space="preserve"> </w:t>
      </w:r>
      <w:r>
        <w:rPr>
          <w:rFonts w:ascii="Arial;Helvetica;sans-serif" w:hAnsi="Arial;Helvetica;sans-serif"/>
          <w:sz w:val="20"/>
        </w:rPr>
        <w:t>clients across targeted industry verticals including financial services, healthcare, public sector, communications, technology, media, entertainment, travel and hospitality, automotive and retail.</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 xml:space="preserve">The Company operates and reports its financial results of operations through two business segments: </w:t>
      </w:r>
    </w:p>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i w:val="false"/>
                <w:caps w:val="false"/>
                <w:smallCaps w:val="false"/>
                <w:sz w:val="20"/>
              </w:rPr>
              <w:t>TTEC Digital</w:t>
            </w:r>
            <w:r>
              <w:rPr>
                <w:caps w:val="false"/>
                <w:smallCaps w:val="false"/>
              </w:rPr>
              <w:t xml:space="preserve"> </w:t>
            </w:r>
            <w:r>
              <w:rPr>
                <w:rFonts w:ascii="Arial;Helvetica;sans-serif" w:hAnsi="Arial;Helvetica;sans-serif"/>
                <w:b w:val="false"/>
                <w:i w:val="false"/>
                <w:caps w:val="false"/>
                <w:smallCaps w:val="false"/>
                <w:sz w:val="20"/>
              </w:rPr>
              <w:t xml:space="preserve">is one of the largest CX technology and service providers and is focused on the intersection of Contact Center as a Service (“CCaaS”), Customer Relationship Management (“CRM”), and Artificial Intelligence (AI) and Analytics. A professional services organization comprised of software engineers, systems architects, data scientists and CX strategists, this segment creates and implements strategic CX transformation roadmaps; sells, operates, and provides managed services for cloud platforms and premise-based CX technologies including Amazon Web Services (“AWS”), Cisco, Genesys, Google, and Microsoft; and creates proprietary IP to support industry specific and custom client needs. TTEC Digital serves clients across enterprise and small and medium-sized business segments and has a dedicated unit with government technology certifications serving the public sector. </w:t>
            </w:r>
          </w:p>
        </w:tc>
      </w:tr>
    </w:tbl>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i w:val="false"/>
                <w:caps w:val="false"/>
                <w:smallCaps w:val="false"/>
                <w:sz w:val="20"/>
              </w:rPr>
              <w:t>TTEC Engage</w:t>
            </w:r>
            <w:r>
              <w:rPr>
                <w:caps w:val="false"/>
                <w:smallCaps w:val="false"/>
              </w:rPr>
              <w:t xml:space="preserve"> </w:t>
            </w:r>
            <w:r>
              <w:rPr>
                <w:rFonts w:ascii="Arial;Helvetica;sans-serif" w:hAnsi="Arial;Helvetica;sans-serif"/>
                <w:b w:val="false"/>
                <w:i w:val="false"/>
                <w:caps w:val="false"/>
                <w:smallCaps w:val="false"/>
                <w:sz w:val="20"/>
              </w:rPr>
              <w:t xml:space="preserve">provides the digital first, AI-enabled CX operational and managed services to support large, complex enterprise clients’ end-to-end customer interactions at scale across the world. Tailored to meet industry-specific business needs, this segment delivers data-driven omnichannel customer care, customer acquisition, growth, and retention services, tech support, fraud mitigation and back-office solutions. The segment’s digital first delivery model covers the entire solution lifecycle including associate recruitment, onboarding, training, delivery, workforce management and quality assurance. </w:t>
            </w:r>
          </w:p>
        </w:tc>
      </w:tr>
    </w:tbl>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TTEC pursues its CX market leadership through strategic collaboration across TTEC Digital and TTEC Engage. Together, TTEC’s ability to deliver comprehensive and transformational customer experience solutions to its clients is a marketplace differentiation, including integrated AI-enabled, CX technology and service solutions, go-to-market strategies, and innovative offerings.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During the second quarter of 2026, the TTEC global operating platform delivered onshore, nearshore, and offshore services in 22 countries on six continents – the United States, Australia, Brazil, Bulgaria, Canada, Colombia, Costa Rica, Egypt, Germany, Greece, India, Ireland, Malaysia, Mexico, the Netherlands, New Zealand, the Philippines, Poland, South Africa, Spain, Thailand, and the United Kingdom, with contributions from approximately 44,900 customer care associates, consultants, technologists, and CX professionals.</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Basis of Presentation</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Consolidated Financial Statements are comprised of the accounts of TTEC, its wholly owned subsidiaries and its 55% equity owned subsidiary Percepta, LLC. All intercompany balances and transactions have been eliminated in consolidation.</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5</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TTEC HOLDINGS, INC. AND SUBSIDIARIES</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Notes to Consolidated Financial Statements</w:t>
      </w:r>
    </w:p>
    <w:p>
      <w:pPr>
        <w:pStyle w:val="TextBody"/>
        <w:bidi w:val="0"/>
        <w:spacing w:lineRule="auto" w:line="285" w:before="0" w:after="24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unaudited Consolidated Financial Statements do not include all of the disclosures required by accounting principles generally accepted in the U.S. (“GAAP”), pursuant to the rules and regulations of the Securities and Exchange Commission (“SEC”). The unaudited Consolidated Financial Statements reflect all adjustments which, in the opinion of management, are necessary to state fairly the consolidated financial position of the Company and the consolidated results of operations and comprehensive income (loss) and the consolidated cash flows of the Company. All such adjustments are of a normal, recurring nature. Operating results for the periods presented are not necessarily indicative of the results that may be expected for the year ending December 31, 2026.</w:t>
      </w:r>
    </w:p>
    <w:p>
      <w:pPr>
        <w:pStyle w:val="TextBody"/>
        <w:bidi w:val="0"/>
        <w:spacing w:lineRule="auto" w:line="285" w:before="0" w:after="120"/>
        <w:ind w:left="0" w:right="0" w:hanging="0"/>
        <w:jc w:val="both"/>
        <w:rPr/>
      </w:pPr>
      <w:r>
        <w:rPr>
          <w:rFonts w:ascii="Arial;Helvetica;sans-serif" w:hAnsi="Arial;Helvetica;sans-serif"/>
          <w:sz w:val="20"/>
        </w:rPr>
        <w:t xml:space="preserve">These unaudited Consolidated Financial Statements should be read in conjunction with the Company’s audited Consolidated Financial Statements and footnotes thereto included in the Company’s Annual Report on </w:t>
      </w:r>
      <w:hyperlink r:id="rId2">
        <w:r>
          <w:rPr>
            <w:rStyle w:val="InternetLink"/>
            <w:rFonts w:ascii="Arial;Helvetica;sans-serif" w:hAnsi="Arial;Helvetica;sans-serif"/>
            <w:b w:val="false"/>
            <w:i w:val="false"/>
            <w:caps w:val="false"/>
            <w:smallCaps w:val="false"/>
            <w:sz w:val="20"/>
          </w:rPr>
          <w:t>Form 10-K</w:t>
        </w:r>
      </w:hyperlink>
      <w:r>
        <w:rPr>
          <w:rFonts w:ascii="Arial;Helvetica;sans-serif" w:hAnsi="Arial;Helvetica;sans-serif"/>
          <w:sz w:val="20"/>
        </w:rPr>
        <w:t xml:space="preserve"> for the year ended December 31, 2025.</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Use of Estimates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preparation of the Consolidated Financial Statements in conformity with GAAP requires management to make estimates and assumptions in determining the reported amounts of assets and liabilities, disclosure of contingent liabilities at the date of the Consolidated Financial Statements and the reported amounts of revenue and expenses during the reporting period. On an ongoing basis, the Company evaluates its estimates including those related to derivatives and hedging activities, income taxes including the valuation allowance for deferred tax assets, litigation reserves, restructuring reserves, allowance for credit losses, contingent consideration, and valuation of goodwill, long-lived and intangible assets. The Company bases its estimates on historical experience and on various other assumptions that are believed to be reasonable, the results of which form the basis for making judgments about the carrying values of assets and liabilities. Actual results may differ materially from these estimates under different assumptions or conditions.</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Concentration of Credit Risk</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Company is exposed to credit risk in the normal course of business, primarily related to accounts receivable and derivative instruments. Historically, the losses related to credit risk have been immaterial due to the Company’s focus on managing its collection processes to reduce its credit risk. The Company regularly monitors its credit risk to mitigate the possibility of current and future exposures resulting in a loss. The Company evaluates the creditworthiness of its clients prior to entering into an agreement to provide services and as necessary through the life of the client relationship. The Company does not believe it is exposed to more than a nominal amount of credit risk in its derivative hedging activities, as the Company diversifies its activities across multiple investment-grade financial institutions.</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Liquidity</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 xml:space="preserve">As discussed in Note 9, the Company’s Amended and Restated Credit Agreement, originally dated June 3, 2013 (the “Credit Agreement”), includes a number of financial covenants and operating restrictions, failure to comply with which could result in a default under the Credit Agreement. On November 5, 2025, the Company entered into a Tenth Amendment (the “Tenth Amendment”) to the Credit Agreement, which extends the maturity date to November 23, 2027 and modifies certain other material terms of the Credit Facility, including the size of the facility, pricing, and certain covenants. </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6</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TTEC HOLDINGS, INC. AND SUBSIDIARIES</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Notes to Consolidated Financial Statements</w:t>
      </w:r>
    </w:p>
    <w:p>
      <w:pPr>
        <w:pStyle w:val="TextBody"/>
        <w:bidi w:val="0"/>
        <w:spacing w:lineRule="auto" w:line="285" w:before="0" w:after="24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On July 15, 2026, the Company obtained a waiver from its lenders for its net leverage ratio covenant for the period ended June 30, 2026, and subsequent to June 30, 2026, entered into an Eleventh Amendment (the “Eleventh Amendment”) to the Credit Agreement that, among other things, modified certain material terms, including sizing, pricing, and the net leverage ratio and interest coverage ratio covenants of the Credit Facility on a going-forward basis. Specifically, the net leverage ratio covenant modifications are effective from September 30, 2026 through September 30, 2027. During this period, the maximum permitted net leverage ratio increased to 4.25 and subsequently steps down to 3.75 by the quarter ending June 30, 2027. The minimum required interest coverage ratio is reduced to 2.00 for fiscal year 2027. The Tenth Amendment and the Eleventh Amendment are discussed in more detail in Note 9 and Note 16, respectively. As of the issuance of these unaudited Consolidated Financial Statements, after giving effect to the waiver and the Eleventh Amendment, the Company believes it has sufficient cash on hand, positive working capital, and availability to access additional cash under the Credit Facility to meet its business operating requirements and make its capital expenditures and to continue to comply with the financial covenants under the Credit Agreement for the next 12 months from the issuance of these financial statements. The Company has the ability to reduce discretionary spending, if necessary, to maintain compliance with the financial covenants under the amended Credit Agreement. In the event that the Company does not remain in compliance with such financial covenants, it may be required to negotiate additional amendments to, or waivers of, the terms of the Credit Facility, refinance its debt, or raise additional capital. If the Company is unable to secure a covenant amendment, waiver, or refinancing, in the future, such noncompliance would constitute an event of default, permitting the lenders to accelerate the repayment of all amounts outstanding under the Credit Agreement.</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Recently Adopted Accounting Pronouncements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In July 2025, the FASB issued ASU 2025-05, “Financial Instruments – Credit Losses” which relates to measurement of credit losses for accounts receivable and contract assets and provides a practical expedient. When developing reasonable and supportable forecasts as part of estimating credit losses, all entities may elect a practical expedient that assumes current conditions as of the balance sheet do not change for the remaining life of the asset. The ASU is effective for fiscal years beginning after December 15, 2025, and interim periods within those annual reporting periods. Early adoption is permitted in both interim and annual reporting periods in which financial statements have not yet been issued or made available for issuance. The Company adopted the standard September 30, 2025. The adoption did not impact the Company’s consolidated balance sheet or income statement.</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Other Accounting Pronouncements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In November 2024, the FASB issued ASU 2024-03, “Disaggregation of Income Statement Expenses” in response to longstanding requests from investors for more information about an entity’s expenses, specifically categories of expenses such as (purchases of inventory, employee compensation, depreciation, and amortization, and depletion). The ASU is effective for fiscal years beginning after December 15, 2026, with retrospective application permitted. The Company is still assessing the impact of this ASU, however, the Company expects the guidance to impact disclosures only and not have a material effect on its financial position or results of operations.</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 xml:space="preserve">In September 2025, the FASB issued ASU 2025-06, “Intangibles-Goodwill and Other Internal Use Software” which was issued to modernize the accounting for software costs and removes all references to prescriptive and sequential software development stages. The ASU is effective for fiscal years beginning after December 15, 2027, and interim reporting periods within those fiscal reporting periods. Early adoption is permitted as of the beginning of an annual reporting period. The Company is currently evaluating the potential impact of this ASU on the Company’s policy for capitalization of development costs for software intended for internal use, including timing of adoption. The Company does not expect it to have a material effect on its consolidated income statements, balance sheets, or statements of cash flows. </w:t>
      </w:r>
    </w:p>
    <w:p>
      <w:pPr>
        <w:pStyle w:val="TextBody"/>
        <w:bidi w:val="0"/>
        <w:spacing w:lineRule="auto" w:line="285" w:before="0" w:after="0"/>
        <w:ind w:left="0" w:right="0" w:hanging="0"/>
        <w:jc w:val="both"/>
        <w:rPr>
          <w:shd w:fill="00FFFF" w:val="clear"/>
        </w:rPr>
      </w:pPr>
      <w:r>
        <w:rPr>
          <w:shd w:fill="00FFFF" w:val="clear"/>
        </w:rPr>
        <w:t>​</w:t>
      </w:r>
    </w:p>
    <w:p>
      <w:pPr>
        <w:pStyle w:val="TextBody"/>
        <w:bidi w:val="0"/>
        <w:spacing w:lineRule="auto" w:line="285" w:before="0" w:after="0"/>
        <w:ind w:left="0" w:right="0" w:hanging="0"/>
        <w:jc w:val="both"/>
        <w:rPr/>
      </w:pPr>
      <w:bookmarkStart w:id="1060" w:name="_Hlk519691523"/>
      <w:bookmarkEnd w:id="1060"/>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7</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TTEC HOLDINGS, INC. AND SUBSIDIARIES</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Notes to Consolidated Financial Statements</w:t>
      </w:r>
    </w:p>
    <w:p>
      <w:pPr>
        <w:pStyle w:val="TextBody"/>
        <w:bidi w:val="0"/>
        <w:spacing w:lineRule="auto" w:line="285" w:before="0" w:after="24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lineRule="auto" w:line="285" w:before="0" w:after="12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(2)</w:t>
      </w:r>
      <w:r>
        <w:rPr>
          <w:rFonts w:ascii="Arial;Helvetica;sans-serif" w:hAnsi="Arial;Helvetica;sans-serif"/>
          <w:b/>
          <w:sz w:val="20"/>
        </w:rPr>
        <w:t>SEGMENT INFORMATION</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Company has two reportable segments, TTEC Digital and TTEC Engage, based on nature of product and independent management of each business segment. Each segment is led by a senior executive reporting to the CEO and the products and services sold are described below. Resources are allocated and performance is assessed by the Company’s CEO, who holds the function of Chief Operating Decision Maker (“CODM”) for the purposes of these disclosures. The CODM uses income from operations to assess the performance of each segment in the budgeting and forecasting process and when making decisions regarding allocating capital and personnel to the segments.</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TTEC Digital and the CX Technology Services Industry</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TTEC Digital clients are seeking solutions in many areas including cost optimization, CX technology modernization, including migration to a more agile cloud-based ecosystem, improved CX talent and expertise, and other practical solutions to further enable CX applications, such as the design, implementation and pragmatic delivery of AI capabilities. TTEC Digital takes a technology agnostic approach to these challenges and focuses on designing and delivering solutions to each client’s specific business needs at the intersection of contact center, CRM, and AI and Analytics. TTEC Digital supports the majority of CX platform and solution requirements through its strategic partnerships with the leading CX software vendors including Genesys, Microsoft, Cisco, AWS, Google, Salesforce, ServiceNow, and Nice among others.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TTEC Digital’s solutions are built to respond to market needs for both enterprise and small and medium-sized business clients. AI design and delivery capabilities are woven across all five pillars of the Company offerings.</w:t>
      </w:r>
    </w:p>
    <w:tbl>
      <w:tblPr>
        <w:tblW w:w="6366" w:type="dxa"/>
        <w:jc w:val="left"/>
        <w:tblInd w:w="0" w:type="dxa"/>
        <w:tblLayout w:type="fixed"/>
        <w:tblCellMar>
          <w:top w:w="28" w:type="dxa"/>
          <w:left w:w="28" w:type="dxa"/>
          <w:bottom w:w="28" w:type="dxa"/>
          <w:right w:w="28" w:type="dxa"/>
        </w:tblCellMar>
      </w:tblPr>
      <w:tblGrid>
        <w:gridCol w:w="124"/>
        <w:gridCol w:w="196"/>
        <w:gridCol w:w="6046"/>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60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Professional Services: System design, configuration and integration</w:t>
            </w:r>
          </w:p>
        </w:tc>
      </w:tr>
    </w:tbl>
    <w:tbl>
      <w:tblPr>
        <w:tblW w:w="5586" w:type="dxa"/>
        <w:jc w:val="left"/>
        <w:tblInd w:w="0" w:type="dxa"/>
        <w:tblLayout w:type="fixed"/>
        <w:tblCellMar>
          <w:top w:w="28" w:type="dxa"/>
          <w:left w:w="28" w:type="dxa"/>
          <w:bottom w:w="28" w:type="dxa"/>
          <w:right w:w="28" w:type="dxa"/>
        </w:tblCellMar>
      </w:tblPr>
      <w:tblGrid>
        <w:gridCol w:w="124"/>
        <w:gridCol w:w="196"/>
        <w:gridCol w:w="5266"/>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52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Managed Services: Cloud application and premise support </w:t>
            </w:r>
          </w:p>
        </w:tc>
      </w:tr>
    </w:tbl>
    <w:tbl>
      <w:tblPr>
        <w:tblW w:w="4971" w:type="dxa"/>
        <w:jc w:val="left"/>
        <w:tblInd w:w="0" w:type="dxa"/>
        <w:tblLayout w:type="fixed"/>
        <w:tblCellMar>
          <w:top w:w="28" w:type="dxa"/>
          <w:left w:w="28" w:type="dxa"/>
          <w:bottom w:w="28" w:type="dxa"/>
          <w:right w:w="28" w:type="dxa"/>
        </w:tblCellMar>
      </w:tblPr>
      <w:tblGrid>
        <w:gridCol w:w="124"/>
        <w:gridCol w:w="196"/>
        <w:gridCol w:w="4651"/>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46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CX Consulting: Transformation strategy and design </w:t>
            </w:r>
          </w:p>
        </w:tc>
      </w:tr>
    </w:tbl>
    <w:tbl>
      <w:tblPr>
        <w:tblW w:w="6396" w:type="dxa"/>
        <w:jc w:val="left"/>
        <w:tblInd w:w="0" w:type="dxa"/>
        <w:tblLayout w:type="fixed"/>
        <w:tblCellMar>
          <w:top w:w="28" w:type="dxa"/>
          <w:left w:w="28" w:type="dxa"/>
          <w:bottom w:w="28" w:type="dxa"/>
          <w:right w:w="28" w:type="dxa"/>
        </w:tblCellMar>
      </w:tblPr>
      <w:tblGrid>
        <w:gridCol w:w="124"/>
        <w:gridCol w:w="196"/>
        <w:gridCol w:w="6076"/>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60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CX Data and Analytics: Data science, engineering, and visualization</w:t>
            </w:r>
          </w:p>
        </w:tc>
      </w:tr>
    </w:tbl>
    <w:tbl>
      <w:tblPr>
        <w:tblW w:w="8526" w:type="dxa"/>
        <w:jc w:val="left"/>
        <w:tblInd w:w="0" w:type="dxa"/>
        <w:tblLayout w:type="fixed"/>
        <w:tblCellMar>
          <w:top w:w="28" w:type="dxa"/>
          <w:left w:w="28" w:type="dxa"/>
          <w:bottom w:w="28" w:type="dxa"/>
          <w:right w:w="28" w:type="dxa"/>
        </w:tblCellMar>
      </w:tblPr>
      <w:tblGrid>
        <w:gridCol w:w="124"/>
        <w:gridCol w:w="196"/>
        <w:gridCol w:w="8206"/>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82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IP &amp; Software: Custom software engineering through TTEC Digital’s IP and Software division</w:t>
            </w:r>
          </w:p>
        </w:tc>
      </w:tr>
    </w:tbl>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 xml:space="preserve">The segment has a three-pronged go to market strategy that includes growing existing client relationships, partner channel motions and general market development. </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 xml:space="preserve">TTEC Engage and the CX Business Process Outsourcing Services Industry </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TTEC Engage segment’s solutions are built to respond to the following market needs for clients.</w:t>
      </w:r>
    </w:p>
    <w:tbl>
      <w:tblPr>
        <w:tblW w:w="2166" w:type="dxa"/>
        <w:jc w:val="left"/>
        <w:tblInd w:w="0" w:type="dxa"/>
        <w:tblLayout w:type="fixed"/>
        <w:tblCellMar>
          <w:top w:w="28" w:type="dxa"/>
          <w:left w:w="28" w:type="dxa"/>
          <w:bottom w:w="28" w:type="dxa"/>
          <w:right w:w="28" w:type="dxa"/>
        </w:tblCellMar>
      </w:tblPr>
      <w:tblGrid>
        <w:gridCol w:w="124"/>
        <w:gridCol w:w="196"/>
        <w:gridCol w:w="1846"/>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18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Customer Support  </w:t>
            </w:r>
          </w:p>
        </w:tc>
      </w:tr>
    </w:tbl>
    <w:tbl>
      <w:tblPr>
        <w:tblW w:w="1701" w:type="dxa"/>
        <w:jc w:val="left"/>
        <w:tblInd w:w="0" w:type="dxa"/>
        <w:tblLayout w:type="fixed"/>
        <w:tblCellMar>
          <w:top w:w="28" w:type="dxa"/>
          <w:left w:w="28" w:type="dxa"/>
          <w:bottom w:w="28" w:type="dxa"/>
          <w:right w:w="28" w:type="dxa"/>
        </w:tblCellMar>
      </w:tblPr>
      <w:tblGrid>
        <w:gridCol w:w="124"/>
        <w:gridCol w:w="196"/>
        <w:gridCol w:w="1381"/>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13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Tech Support </w:t>
            </w:r>
          </w:p>
        </w:tc>
      </w:tr>
    </w:tbl>
    <w:tbl>
      <w:tblPr>
        <w:tblW w:w="4116" w:type="dxa"/>
        <w:jc w:val="left"/>
        <w:tblInd w:w="0" w:type="dxa"/>
        <w:tblLayout w:type="fixed"/>
        <w:tblCellMar>
          <w:top w:w="28" w:type="dxa"/>
          <w:left w:w="28" w:type="dxa"/>
          <w:bottom w:w="28" w:type="dxa"/>
          <w:right w:w="28" w:type="dxa"/>
        </w:tblCellMar>
      </w:tblPr>
      <w:tblGrid>
        <w:gridCol w:w="124"/>
        <w:gridCol w:w="196"/>
        <w:gridCol w:w="3796"/>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37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Revenue Generation and Growth Services</w:t>
            </w:r>
          </w:p>
        </w:tc>
      </w:tr>
    </w:tbl>
    <w:tbl>
      <w:tblPr>
        <w:tblW w:w="1866" w:type="dxa"/>
        <w:jc w:val="left"/>
        <w:tblInd w:w="0" w:type="dxa"/>
        <w:tblLayout w:type="fixed"/>
        <w:tblCellMar>
          <w:top w:w="28" w:type="dxa"/>
          <w:left w:w="28" w:type="dxa"/>
          <w:bottom w:w="28" w:type="dxa"/>
          <w:right w:w="28" w:type="dxa"/>
        </w:tblCellMar>
      </w:tblPr>
      <w:tblGrid>
        <w:gridCol w:w="124"/>
        <w:gridCol w:w="196"/>
        <w:gridCol w:w="1546"/>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15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Fraud Mitigation</w:t>
            </w:r>
          </w:p>
        </w:tc>
      </w:tr>
    </w:tbl>
    <w:tbl>
      <w:tblPr>
        <w:tblW w:w="5046" w:type="dxa"/>
        <w:jc w:val="left"/>
        <w:tblInd w:w="0" w:type="dxa"/>
        <w:tblLayout w:type="fixed"/>
        <w:tblCellMar>
          <w:top w:w="28" w:type="dxa"/>
          <w:left w:w="28" w:type="dxa"/>
          <w:bottom w:w="28" w:type="dxa"/>
          <w:right w:w="28" w:type="dxa"/>
        </w:tblCellMar>
      </w:tblPr>
      <w:tblGrid>
        <w:gridCol w:w="124"/>
        <w:gridCol w:w="196"/>
        <w:gridCol w:w="4726"/>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47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AI Operations, including data annotation and labeling</w:t>
            </w:r>
          </w:p>
        </w:tc>
      </w:tr>
    </w:tbl>
    <w:tbl>
      <w:tblPr>
        <w:tblW w:w="2196" w:type="dxa"/>
        <w:jc w:val="left"/>
        <w:tblInd w:w="0" w:type="dxa"/>
        <w:tblLayout w:type="fixed"/>
        <w:tblCellMar>
          <w:top w:w="28" w:type="dxa"/>
          <w:left w:w="28" w:type="dxa"/>
          <w:bottom w:w="28" w:type="dxa"/>
          <w:right w:w="28" w:type="dxa"/>
        </w:tblCellMar>
      </w:tblPr>
      <w:tblGrid>
        <w:gridCol w:w="124"/>
        <w:gridCol w:w="196"/>
        <w:gridCol w:w="1876"/>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18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Back-office Support</w:t>
            </w:r>
          </w:p>
        </w:tc>
      </w:tr>
    </w:tbl>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 xml:space="preserve">TTEC Engage goes to market through a vertical approach with customized solutions that include industry-specific talent, technology, certifications, and capabilities. For example, in the Banking, Financial Services and Insurance vertical, the Company supports several lines of business with customized offerings for retail banking, online banking, credit card, property and casualty and loans. In healthcare, the segment supports care, technical support, revenue generation and back-office capabilities to meet the needs of payer, provider, clinical and pharma clients. </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Company allocates to each segment its portion of corporate operating expenses following the Company’s standard accounting policies.</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8</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TTEC HOLDINGS, INC. AND SUBSIDIARIES</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Notes to Consolidated Financial Statements</w:t>
      </w:r>
    </w:p>
    <w:p>
      <w:pPr>
        <w:pStyle w:val="TextBody"/>
        <w:bidi w:val="0"/>
        <w:spacing w:lineRule="auto" w:line="285" w:before="0" w:after="24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lineRule="auto" w:line="285" w:before="0" w:after="120"/>
        <w:ind w:left="0" w:right="0" w:hanging="0"/>
        <w:jc w:val="both"/>
        <w:rPr>
          <w:rFonts w:ascii="Arial;Helvetica;sans-serif" w:hAnsi="Arial;Helvetica;sans-serif"/>
          <w:sz w:val="20"/>
        </w:rPr>
      </w:pPr>
      <w:bookmarkStart w:id="1061" w:name="Tc_DeeZS_BFLUqBAztJbh7deQ_11_0"/>
      <w:bookmarkStart w:id="1062" w:name="Tc_H_T9anp_UES1xFCG-e-22A_10_0"/>
      <w:bookmarkStart w:id="1063" w:name="Tc_rv_k0ah-eUqDMOB8xCMZ7g_9_0"/>
      <w:bookmarkStart w:id="1064" w:name="Tc_GL3evtrN5E6GBVxXQ9ZI-g_8_0"/>
      <w:bookmarkStart w:id="1065" w:name="Tc_IbGBc9YCKUW4w7vdHz-aRA_7_0"/>
      <w:bookmarkStart w:id="1066" w:name="Tc_KGSqYdg4-EezL7lt6xFftQ_6_0"/>
      <w:bookmarkStart w:id="1067" w:name="Tc_fLZ-u18L7Uu4dAbBs13Wng_5_0"/>
      <w:bookmarkStart w:id="1068" w:name="Tc_TJ5UCSUEOUGpsnz9j7jnaA_4_0"/>
      <w:bookmarkStart w:id="1069" w:name="Tc_W_BFJwGKEUewj0jDRUtVMA_3_0"/>
      <w:bookmarkStart w:id="1070" w:name="Tc_pTrmMRV9I0iKugblZ65qxA_2_9"/>
      <w:bookmarkStart w:id="1071" w:name="Tc_d0SEfEbXB0qfVgz6j3Hepw_2_6"/>
      <w:bookmarkStart w:id="1072" w:name="Tc_7-WdFMZY8069Qc91JFntdw_2_3"/>
      <w:bookmarkStart w:id="1073" w:name="Tc_-jkoSBOWvEmqEuDDrfle8w_2_0"/>
      <w:bookmarkStart w:id="1074" w:name="Tc_UTxINlf_60CHCRZbFnu5ww_1_9"/>
      <w:bookmarkStart w:id="1075" w:name="Tc_4ERJVlWkHECIU3-MKy8sbg_1_6"/>
      <w:bookmarkStart w:id="1076" w:name="Tc_dmnc3FHyzkq424cK7-NDOQ_1_3"/>
      <w:bookmarkStart w:id="1077" w:name="_31f90a6d_d4cf_41ad_8ed9_fe9f60f5cedd"/>
      <w:bookmarkStart w:id="1078" w:name="Tc_rS4DNMOOu02P5MQ4apAZJA_11_0"/>
      <w:bookmarkStart w:id="1079" w:name="Tc_JjtDBRc380mRt9CJH8ZfQA_10_0"/>
      <w:bookmarkStart w:id="1080" w:name="Tc_TSPDO9tXK0Wi-Ie7nziMpw_9_0"/>
      <w:bookmarkStart w:id="1081" w:name="Tc_-JrvdIAvDUOmr6qWoZtfqQ_8_0"/>
      <w:bookmarkStart w:id="1082" w:name="Tc_xbYU8wtG3kuZeRULWntuXQ_7_0"/>
      <w:bookmarkStart w:id="1083" w:name="Tc_zExEI4HsSUiz5hPIlbT86g_6_0"/>
      <w:bookmarkStart w:id="1084" w:name="Tc_17SOODlNFUKw796uYZPLog_5_0"/>
      <w:bookmarkStart w:id="1085" w:name="Tc_WpUYgZR0vUagUK1AQe6B3Q_4_0"/>
      <w:bookmarkStart w:id="1086" w:name="Tc_2qbyKQAB-UujIcSqFCmlIA_3_0"/>
      <w:bookmarkStart w:id="1087" w:name="Tc_bNCboK7PG0uBJ6LfA8ba6A_2_9"/>
      <w:bookmarkStart w:id="1088" w:name="Tc_JRrdrPYyIECVdA3HnN0vsA_2_6"/>
      <w:bookmarkStart w:id="1089" w:name="Tc_xwBMpmq6H0GHYW9aWTl7wQ_2_3"/>
      <w:bookmarkStart w:id="1090" w:name="Tc_QMDzMXDhOEO8qemUMRPPkw_2_0"/>
      <w:bookmarkStart w:id="1091" w:name="Tc_QMRQ3i2S1U-f4jt3qAs6-Q_1_9"/>
      <w:bookmarkStart w:id="1092" w:name="Tc_LSL4BHtHMk-hILjw8HZZFA_1_6"/>
      <w:bookmarkStart w:id="1093" w:name="Tc_vS9BBMvtc0atHqSAxHmSMQ_1_3"/>
      <w:bookmarkStart w:id="1094" w:name="_db2eeaec_0a38_4309_aeef_05f585cb41f1"/>
      <w:bookmarkStart w:id="1095" w:name="Tc_2Ru6KMcoGU6L8v4Y9zGLpQ_11_0"/>
      <w:bookmarkStart w:id="1096" w:name="Tc_jH5JRD2CHUCddcKCfEg3EQ_10_0"/>
      <w:bookmarkStart w:id="1097" w:name="Tc_PNInMusJz0qOdNkcsPFVBA_9_0"/>
      <w:bookmarkStart w:id="1098" w:name="Tc_D9itNjZZwEa5FLZkrIJwyg_8_0"/>
      <w:bookmarkStart w:id="1099" w:name="Tc_ADZPSUa1uEGGrR4jWP0mXQ_7_0"/>
      <w:bookmarkStart w:id="1100" w:name="Tc_CcEzC4jeEUy2RuD11RWPjA_6_0"/>
      <w:bookmarkStart w:id="1101" w:name="Tc_r_eoUZDLgUiKLQLU_OM7zg_5_0"/>
      <w:bookmarkStart w:id="1102" w:name="Tc_47Av_JPt1keZvGxRVbIRRw_4_0"/>
      <w:bookmarkStart w:id="1103" w:name="Tc_SkTiCY8tuEy8Vka7MHp1mg_3_0"/>
      <w:bookmarkStart w:id="1104" w:name="Tc_TvSu2nlDoECSTPOmKMl3dA_2_9"/>
      <w:bookmarkStart w:id="1105" w:name="Tc_hn5jjCftsE6Wr1tlJARIGQ_2_6"/>
      <w:bookmarkStart w:id="1106" w:name="Tc_gSxffr0kv0y54lMLZkkT2g_2_3"/>
      <w:bookmarkStart w:id="1107" w:name="Tc_rGo1JT4dV06Zb-MwTWoGFg_2_0"/>
      <w:bookmarkStart w:id="1108" w:name="Tc_nb6DN9_MbUmXkBGhuw8K3g_1_9"/>
      <w:bookmarkStart w:id="1109" w:name="Tc_lPog7rtLD0SnwvsgqGllrA_1_6"/>
      <w:bookmarkStart w:id="1110" w:name="Tc_8EmqH8PNzkOn4BDb1qWygw_1_3"/>
      <w:bookmarkStart w:id="1111" w:name="_a3751713_c95c_44db_9abe_d10a693181d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r>
        <w:rPr>
          <w:rFonts w:ascii="Arial;Helvetica;sans-serif" w:hAnsi="Arial;Helvetica;sans-serif"/>
          <w:sz w:val="20"/>
        </w:rPr>
        <w:t>The following tables present certain financial data by segment (in thousands). The significant expense categories and amounts align with the segment-level information that is regularly provided to the CODM.</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Three Months Ended June 30, 2026</w:t>
      </w:r>
    </w:p>
    <w:tbl>
      <w:tblPr>
        <w:tblW w:w="10205" w:type="dxa"/>
        <w:jc w:val="left"/>
        <w:tblInd w:w="0" w:type="dxa"/>
        <w:tblLayout w:type="fixed"/>
        <w:tblCellMar>
          <w:top w:w="0" w:type="dxa"/>
          <w:left w:w="0" w:type="dxa"/>
          <w:bottom w:w="0" w:type="dxa"/>
          <w:right w:w="0" w:type="dxa"/>
        </w:tblCellMar>
      </w:tblPr>
      <w:tblGrid>
        <w:gridCol w:w="6281"/>
        <w:gridCol w:w="109"/>
        <w:gridCol w:w="109"/>
        <w:gridCol w:w="256"/>
        <w:gridCol w:w="949"/>
        <w:gridCol w:w="109"/>
        <w:gridCol w:w="238"/>
        <w:gridCol w:w="884"/>
        <w:gridCol w:w="109"/>
        <w:gridCol w:w="211"/>
        <w:gridCol w:w="793"/>
        <w:gridCol w:w="157"/>
      </w:tblGrid>
      <w:tr>
        <w:trPr/>
        <w:tc>
          <w:tcPr>
            <w:tcW w:w="6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3988435" cy="175260"/>
                      <wp:effectExtent l="0" t="0" r="0" b="0"/>
                      <wp:wrapNone/>
                      <wp:docPr id="134" name="Frame134"/>
                      <a:graphic xmlns:a="http://schemas.openxmlformats.org/drawingml/2006/main">
                        <a:graphicData uri="http://schemas.microsoft.com/office/word/2010/wordprocessingShape">
                          <wps:wsp>
                            <wps:cNvSpPr txBox="1"/>
                            <wps:spPr>
                              <a:xfrm>
                                <a:off x="0" y="0"/>
                                <a:ext cx="3988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9215" cy="175260"/>
                      <wp:effectExtent l="0" t="0" r="0" b="0"/>
                      <wp:wrapNone/>
                      <wp:docPr id="135" name="Frame1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9215" cy="175260"/>
                      <wp:effectExtent l="0" t="0" r="0" b="0"/>
                      <wp:wrapNone/>
                      <wp:docPr id="136" name="Frame1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62560" cy="175260"/>
                      <wp:effectExtent l="0" t="0" r="0" b="0"/>
                      <wp:wrapNone/>
                      <wp:docPr id="137" name="Frame137"/>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02615" cy="175260"/>
                      <wp:effectExtent l="0" t="0" r="0" b="0"/>
                      <wp:wrapNone/>
                      <wp:docPr id="138" name="Frame138"/>
                      <a:graphic xmlns:a="http://schemas.openxmlformats.org/drawingml/2006/main">
                        <a:graphicData uri="http://schemas.microsoft.com/office/word/2010/wordprocessingShape">
                          <wps:wsp>
                            <wps:cNvSpPr txBox="1"/>
                            <wps:spPr>
                              <a:xfrm>
                                <a:off x="0" y="0"/>
                                <a:ext cx="6026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9215" cy="175260"/>
                      <wp:effectExtent l="0" t="0" r="0" b="0"/>
                      <wp:wrapNone/>
                      <wp:docPr id="139" name="Frame1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51130" cy="175260"/>
                      <wp:effectExtent l="0" t="0" r="0" b="0"/>
                      <wp:wrapNone/>
                      <wp:docPr id="140" name="Frame140"/>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561340" cy="175260"/>
                      <wp:effectExtent l="0" t="0" r="0" b="0"/>
                      <wp:wrapNone/>
                      <wp:docPr id="141" name="Frame141"/>
                      <a:graphic xmlns:a="http://schemas.openxmlformats.org/drawingml/2006/main">
                        <a:graphicData uri="http://schemas.microsoft.com/office/word/2010/wordprocessingShape">
                          <wps:wsp>
                            <wps:cNvSpPr txBox="1"/>
                            <wps:spPr>
                              <a:xfrm>
                                <a:off x="0" y="0"/>
                                <a:ext cx="5613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9215" cy="175260"/>
                      <wp:effectExtent l="0" t="0" r="0" b="0"/>
                      <wp:wrapNone/>
                      <wp:docPr id="142" name="Frame1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33985" cy="175260"/>
                      <wp:effectExtent l="0" t="0" r="0" b="0"/>
                      <wp:wrapNone/>
                      <wp:docPr id="143" name="Frame1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503555" cy="175260"/>
                      <wp:effectExtent l="0" t="0" r="0" b="0"/>
                      <wp:wrapNone/>
                      <wp:docPr id="144" name="Frame144"/>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99695" cy="175260"/>
                      <wp:effectExtent l="0" t="0" r="0" b="0"/>
                      <wp:wrapNone/>
                      <wp:docPr id="145" name="Frame145"/>
                      <a:graphic xmlns:a="http://schemas.openxmlformats.org/drawingml/2006/main">
                        <a:graphicData uri="http://schemas.microsoft.com/office/word/2010/wordprocessingShape">
                          <wps:wsp>
                            <wps:cNvSpPr txBox="1"/>
                            <wps:spPr>
                              <a:xfrm>
                                <a:off x="0" y="0"/>
                                <a:ext cx="996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628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20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TTEC Engage</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2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TTEC Digital</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04"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Total</w:t>
            </w:r>
          </w:p>
        </w:tc>
        <w:tc>
          <w:tcPr>
            <w:tcW w:w="157" w:type="dxa"/>
            <w:tcBorders/>
            <w:vAlign w:val="center"/>
          </w:tcPr>
          <w:p>
            <w:pPr>
              <w:pStyle w:val="TableContents"/>
              <w:bidi w:val="0"/>
              <w:spacing w:lineRule="auto" w:line="285" w:before="0" w:after="0"/>
              <w:ind w:left="0" w:right="0" w:hanging="0"/>
              <w:jc w:val="center"/>
              <w:rPr/>
            </w:pPr>
            <w:r>
              <w:rPr/>
              <w:t>​</w:t>
            </w:r>
          </w:p>
        </w:tc>
      </w:tr>
      <w:tr>
        <w:trPr/>
        <w:tc>
          <w:tcPr>
            <w:tcW w:w="628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Revenue</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49"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351,463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8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104,032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3"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455,495</w:t>
            </w:r>
          </w:p>
        </w:tc>
        <w:tc>
          <w:tcPr>
            <w:tcW w:w="157" w:type="dxa"/>
            <w:tcBorders/>
            <w:shd w:fill="CCEEFF" w:val="clear"/>
            <w:vAlign w:val="center"/>
          </w:tcPr>
          <w:p>
            <w:pPr>
              <w:pStyle w:val="TableContents"/>
              <w:bidi w:val="0"/>
              <w:spacing w:lineRule="auto" w:line="285" w:before="0" w:after="0"/>
              <w:ind w:left="0" w:right="0" w:hanging="0"/>
              <w:jc w:val="left"/>
              <w:rPr/>
            </w:pPr>
            <w:r>
              <w:rPr/>
              <w:t>​</w:t>
            </w:r>
          </w:p>
        </w:tc>
      </w:tr>
      <w:tr>
        <w:trPr/>
        <w:tc>
          <w:tcPr>
            <w:tcW w:w="6281" w:type="dxa"/>
            <w:tcBorders/>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8"/>
              </w:rPr>
              <w:t xml:space="preserve">Cost of services (exclusive of depreciation and amortization presented separately below) </w:t>
            </w:r>
            <w:r>
              <w:rPr>
                <w:rFonts w:ascii="Arial;Helvetica;sans-serif" w:hAnsi="Arial;Helvetica;sans-serif"/>
                <w:sz w:val="14"/>
              </w:rPr>
              <w:t>(1)</w:t>
            </w:r>
          </w:p>
        </w:tc>
        <w:tc>
          <w:tcPr>
            <w:tcW w:w="109"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949"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288,628</w:t>
            </w:r>
          </w:p>
        </w:tc>
        <w:tc>
          <w:tcPr>
            <w:tcW w:w="109" w:type="dxa"/>
            <w:tcBorders/>
            <w:vAlign w:val="center"/>
          </w:tcPr>
          <w:p>
            <w:pPr>
              <w:pStyle w:val="TableContents"/>
              <w:bidi w:val="0"/>
              <w:spacing w:lineRule="auto" w:line="285" w:before="0" w:after="0"/>
              <w:ind w:left="0" w:right="0" w:hanging="0"/>
              <w:jc w:val="left"/>
              <w:rPr/>
            </w:pPr>
            <w:r>
              <w:rPr/>
              <w:t>​</w:t>
            </w:r>
          </w:p>
        </w:tc>
        <w:tc>
          <w:tcPr>
            <w:tcW w:w="238" w:type="dxa"/>
            <w:tcBorders/>
            <w:vAlign w:val="center"/>
          </w:tcPr>
          <w:p>
            <w:pPr>
              <w:pStyle w:val="TableContents"/>
              <w:bidi w:val="0"/>
              <w:spacing w:lineRule="auto" w:line="285" w:before="0" w:after="0"/>
              <w:ind w:left="0" w:right="0" w:hanging="0"/>
              <w:jc w:val="left"/>
              <w:rPr/>
            </w:pPr>
            <w:r>
              <w:rPr/>
              <w:t>​</w:t>
            </w:r>
          </w:p>
        </w:tc>
        <w:tc>
          <w:tcPr>
            <w:tcW w:w="884"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69,205</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357,833</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628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Selling, general and administrative</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pPr>
            <w:r>
              <w:rPr/>
              <w:t>​</w:t>
            </w:r>
          </w:p>
        </w:tc>
        <w:tc>
          <w:tcPr>
            <w:tcW w:w="949"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40,757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shd w:fill="CCEEFF" w:val="clear"/>
            <w:vAlign w:val="center"/>
          </w:tcPr>
          <w:p>
            <w:pPr>
              <w:pStyle w:val="TableContents"/>
              <w:bidi w:val="0"/>
              <w:spacing w:lineRule="auto" w:line="285" w:before="0" w:after="0"/>
              <w:ind w:left="0" w:right="0" w:hanging="0"/>
              <w:jc w:val="left"/>
              <w:rPr/>
            </w:pPr>
            <w:r>
              <w:rPr/>
              <w:t>​</w:t>
            </w:r>
          </w:p>
        </w:tc>
        <w:tc>
          <w:tcPr>
            <w:tcW w:w="88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20,497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61,254</w:t>
            </w:r>
          </w:p>
        </w:tc>
        <w:tc>
          <w:tcPr>
            <w:tcW w:w="157" w:type="dxa"/>
            <w:tcBorders/>
            <w:shd w:fill="CCEEFF" w:val="clear"/>
            <w:vAlign w:val="center"/>
          </w:tcPr>
          <w:p>
            <w:pPr>
              <w:pStyle w:val="TableContents"/>
              <w:bidi w:val="0"/>
              <w:spacing w:lineRule="auto" w:line="285" w:before="0" w:after="0"/>
              <w:ind w:left="0" w:right="0" w:hanging="0"/>
              <w:jc w:val="left"/>
              <w:rPr/>
            </w:pPr>
            <w:r>
              <w:rPr/>
              <w:t>​</w:t>
            </w:r>
          </w:p>
        </w:tc>
      </w:tr>
      <w:tr>
        <w:trPr/>
        <w:tc>
          <w:tcPr>
            <w:tcW w:w="628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Depreciation and amortization</w:t>
            </w:r>
          </w:p>
        </w:tc>
        <w:tc>
          <w:tcPr>
            <w:tcW w:w="109"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949"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14,743</w:t>
            </w:r>
          </w:p>
        </w:tc>
        <w:tc>
          <w:tcPr>
            <w:tcW w:w="109" w:type="dxa"/>
            <w:tcBorders/>
            <w:vAlign w:val="center"/>
          </w:tcPr>
          <w:p>
            <w:pPr>
              <w:pStyle w:val="TableContents"/>
              <w:bidi w:val="0"/>
              <w:spacing w:lineRule="auto" w:line="285" w:before="0" w:after="0"/>
              <w:ind w:left="0" w:right="0" w:hanging="0"/>
              <w:jc w:val="left"/>
              <w:rPr/>
            </w:pPr>
            <w:r>
              <w:rPr/>
              <w:t>​</w:t>
            </w:r>
          </w:p>
        </w:tc>
        <w:tc>
          <w:tcPr>
            <w:tcW w:w="238" w:type="dxa"/>
            <w:tcBorders/>
            <w:vAlign w:val="center"/>
          </w:tcPr>
          <w:p>
            <w:pPr>
              <w:pStyle w:val="TableContents"/>
              <w:bidi w:val="0"/>
              <w:spacing w:lineRule="auto" w:line="285" w:before="0" w:after="0"/>
              <w:ind w:left="0" w:right="0" w:hanging="0"/>
              <w:jc w:val="left"/>
              <w:rPr/>
            </w:pPr>
            <w:r>
              <w:rPr/>
              <w:t>​</w:t>
            </w:r>
          </w:p>
        </w:tc>
        <w:tc>
          <w:tcPr>
            <w:tcW w:w="884"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6,398</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21,141</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6281" w:type="dxa"/>
            <w:tcBorders/>
            <w:shd w:fill="CCEEFF" w:val="clear"/>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8"/>
              </w:rPr>
              <w:t>Other segment items</w:t>
            </w:r>
            <w:r>
              <w:rPr>
                <w:rFonts w:ascii="Arial;Helvetica;sans-serif" w:hAnsi="Arial;Helvetica;sans-serif"/>
                <w:sz w:val="14"/>
              </w:rPr>
              <w:t>(2)</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pPr>
            <w:r>
              <w:rPr/>
              <w:t>​</w:t>
            </w:r>
          </w:p>
        </w:tc>
        <w:tc>
          <w:tcPr>
            <w:tcW w:w="94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3,030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shd w:fill="CCEEFF" w:val="clear"/>
            <w:vAlign w:val="center"/>
          </w:tcPr>
          <w:p>
            <w:pPr>
              <w:pStyle w:val="TableContents"/>
              <w:bidi w:val="0"/>
              <w:spacing w:lineRule="auto" w:line="285" w:before="0" w:after="0"/>
              <w:ind w:left="0" w:right="0" w:hanging="0"/>
              <w:jc w:val="left"/>
              <w:rPr/>
            </w:pPr>
            <w:r>
              <w:rPr/>
              <w:t>​</w:t>
            </w:r>
          </w:p>
        </w:tc>
        <w:tc>
          <w:tcPr>
            <w:tcW w:w="88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1,228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4,258</w:t>
            </w:r>
          </w:p>
        </w:tc>
        <w:tc>
          <w:tcPr>
            <w:tcW w:w="157" w:type="dxa"/>
            <w:tcBorders/>
            <w:shd w:fill="CCEEFF" w:val="clear"/>
            <w:vAlign w:val="center"/>
          </w:tcPr>
          <w:p>
            <w:pPr>
              <w:pStyle w:val="TableContents"/>
              <w:bidi w:val="0"/>
              <w:spacing w:lineRule="auto" w:line="285" w:before="0" w:after="0"/>
              <w:ind w:left="0" w:right="0" w:hanging="0"/>
              <w:jc w:val="left"/>
              <w:rPr/>
            </w:pPr>
            <w:r>
              <w:rPr/>
              <w:t>​</w:t>
            </w:r>
          </w:p>
        </w:tc>
      </w:tr>
      <w:tr>
        <w:trPr/>
        <w:tc>
          <w:tcPr>
            <w:tcW w:w="628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Income from operations</w:t>
            </w:r>
          </w:p>
        </w:tc>
        <w:tc>
          <w:tcPr>
            <w:tcW w:w="109"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949"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4,305</w:t>
            </w:r>
          </w:p>
        </w:tc>
        <w:tc>
          <w:tcPr>
            <w:tcW w:w="109" w:type="dxa"/>
            <w:tcBorders/>
            <w:vAlign w:val="center"/>
          </w:tcPr>
          <w:p>
            <w:pPr>
              <w:pStyle w:val="TableContents"/>
              <w:bidi w:val="0"/>
              <w:spacing w:lineRule="auto" w:line="285" w:before="0" w:after="0"/>
              <w:ind w:left="0" w:right="0" w:hanging="0"/>
              <w:jc w:val="left"/>
              <w:rPr/>
            </w:pPr>
            <w:r>
              <w:rPr/>
              <w:t>​</w:t>
            </w:r>
          </w:p>
        </w:tc>
        <w:tc>
          <w:tcPr>
            <w:tcW w:w="238" w:type="dxa"/>
            <w:tcBorders/>
            <w:vAlign w:val="center"/>
          </w:tcPr>
          <w:p>
            <w:pPr>
              <w:pStyle w:val="TableContents"/>
              <w:bidi w:val="0"/>
              <w:spacing w:lineRule="auto" w:line="285" w:before="0" w:after="0"/>
              <w:ind w:left="0" w:right="0" w:hanging="0"/>
              <w:jc w:val="left"/>
              <w:rPr/>
            </w:pPr>
            <w:r>
              <w:rPr/>
              <w:t>​</w:t>
            </w:r>
          </w:p>
        </w:tc>
        <w:tc>
          <w:tcPr>
            <w:tcW w:w="884"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6,704</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11,009</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628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Interest income</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pPr>
            <w:r>
              <w:rPr/>
              <w:t>​</w:t>
            </w:r>
          </w:p>
        </w:tc>
        <w:tc>
          <w:tcPr>
            <w:tcW w:w="949"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shd w:fill="CCEEFF" w:val="clear"/>
            <w:vAlign w:val="center"/>
          </w:tcPr>
          <w:p>
            <w:pPr>
              <w:pStyle w:val="TableContents"/>
              <w:bidi w:val="0"/>
              <w:spacing w:lineRule="auto" w:line="285" w:before="0" w:after="0"/>
              <w:ind w:left="0" w:right="0" w:hanging="0"/>
              <w:jc w:val="left"/>
              <w:rPr/>
            </w:pPr>
            <w:r>
              <w:rPr/>
              <w:t>​</w:t>
            </w:r>
          </w:p>
        </w:tc>
        <w:tc>
          <w:tcPr>
            <w:tcW w:w="884"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97</w:t>
            </w:r>
          </w:p>
        </w:tc>
        <w:tc>
          <w:tcPr>
            <w:tcW w:w="157" w:type="dxa"/>
            <w:tcBorders/>
            <w:shd w:fill="CCEEFF" w:val="clear"/>
            <w:vAlign w:val="center"/>
          </w:tcPr>
          <w:p>
            <w:pPr>
              <w:pStyle w:val="TableContents"/>
              <w:bidi w:val="0"/>
              <w:spacing w:lineRule="auto" w:line="285" w:before="0" w:after="0"/>
              <w:ind w:left="0" w:right="0" w:hanging="0"/>
              <w:jc w:val="left"/>
              <w:rPr/>
            </w:pPr>
            <w:r>
              <w:rPr/>
              <w:t>​</w:t>
            </w:r>
          </w:p>
        </w:tc>
      </w:tr>
      <w:tr>
        <w:trPr/>
        <w:tc>
          <w:tcPr>
            <w:tcW w:w="628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Interest expense</w:t>
            </w:r>
          </w:p>
        </w:tc>
        <w:tc>
          <w:tcPr>
            <w:tcW w:w="109"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949"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38" w:type="dxa"/>
            <w:tcBorders/>
            <w:vAlign w:val="center"/>
          </w:tcPr>
          <w:p>
            <w:pPr>
              <w:pStyle w:val="TableContents"/>
              <w:bidi w:val="0"/>
              <w:spacing w:lineRule="auto" w:line="285" w:before="0" w:after="0"/>
              <w:ind w:left="0" w:right="0" w:hanging="0"/>
              <w:jc w:val="left"/>
              <w:rPr/>
            </w:pPr>
            <w:r>
              <w:rPr/>
              <w:t>​</w:t>
            </w:r>
          </w:p>
        </w:tc>
        <w:tc>
          <w:tcPr>
            <w:tcW w:w="884"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(16,688)</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628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Other income (expense), net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right"/>
              <w:rPr/>
            </w:pPr>
            <w:r>
              <w:rPr/>
              <w:t>​</w:t>
            </w:r>
          </w:p>
        </w:tc>
        <w:tc>
          <w:tcPr>
            <w:tcW w:w="949"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shd w:fill="CCEEFF" w:val="clear"/>
            <w:vAlign w:val="center"/>
          </w:tcPr>
          <w:p>
            <w:pPr>
              <w:pStyle w:val="TableContents"/>
              <w:bidi w:val="0"/>
              <w:spacing w:lineRule="auto" w:line="285" w:before="0" w:after="0"/>
              <w:ind w:left="0" w:right="0" w:hanging="0"/>
              <w:jc w:val="right"/>
              <w:rPr/>
            </w:pPr>
            <w:r>
              <w:rPr/>
              <w:t>​</w:t>
            </w:r>
          </w:p>
        </w:tc>
        <w:tc>
          <w:tcPr>
            <w:tcW w:w="884"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1,180</w:t>
            </w:r>
          </w:p>
        </w:tc>
        <w:tc>
          <w:tcPr>
            <w:tcW w:w="157" w:type="dxa"/>
            <w:tcBorders/>
            <w:shd w:fill="CCEEFF" w:val="clear"/>
            <w:vAlign w:val="center"/>
          </w:tcPr>
          <w:p>
            <w:pPr>
              <w:pStyle w:val="TableContents"/>
              <w:bidi w:val="0"/>
              <w:spacing w:lineRule="auto" w:line="285" w:before="0" w:after="0"/>
              <w:ind w:left="0" w:right="0" w:hanging="0"/>
              <w:jc w:val="left"/>
              <w:rPr/>
            </w:pPr>
            <w:r>
              <w:rPr/>
              <w:t>​</w:t>
            </w:r>
          </w:p>
        </w:tc>
      </w:tr>
      <w:tr>
        <w:trPr/>
        <w:tc>
          <w:tcPr>
            <w:tcW w:w="628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Income before income taxes</w:t>
            </w:r>
          </w:p>
        </w:tc>
        <w:tc>
          <w:tcPr>
            <w:tcW w:w="109"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949"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38" w:type="dxa"/>
            <w:tcBorders/>
            <w:vAlign w:val="center"/>
          </w:tcPr>
          <w:p>
            <w:pPr>
              <w:pStyle w:val="TableContents"/>
              <w:bidi w:val="0"/>
              <w:spacing w:lineRule="auto" w:line="285" w:before="0" w:after="0"/>
              <w:ind w:left="0" w:right="0" w:hanging="0"/>
              <w:jc w:val="left"/>
              <w:rPr/>
            </w:pPr>
            <w:r>
              <w:rPr/>
              <w:t>​</w:t>
            </w:r>
          </w:p>
        </w:tc>
        <w:tc>
          <w:tcPr>
            <w:tcW w:w="884"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9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(4,402)</w:t>
            </w:r>
          </w:p>
        </w:tc>
        <w:tc>
          <w:tcPr>
            <w:tcW w:w="157"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Three Months Ended June 30, 2025</w:t>
      </w:r>
    </w:p>
    <w:tbl>
      <w:tblPr>
        <w:tblW w:w="10205" w:type="dxa"/>
        <w:jc w:val="left"/>
        <w:tblInd w:w="0" w:type="dxa"/>
        <w:tblLayout w:type="fixed"/>
        <w:tblCellMar>
          <w:top w:w="0" w:type="dxa"/>
          <w:left w:w="0" w:type="dxa"/>
          <w:bottom w:w="0" w:type="dxa"/>
          <w:right w:w="0" w:type="dxa"/>
        </w:tblCellMar>
      </w:tblPr>
      <w:tblGrid>
        <w:gridCol w:w="6281"/>
        <w:gridCol w:w="109"/>
        <w:gridCol w:w="109"/>
        <w:gridCol w:w="256"/>
        <w:gridCol w:w="949"/>
        <w:gridCol w:w="109"/>
        <w:gridCol w:w="238"/>
        <w:gridCol w:w="884"/>
        <w:gridCol w:w="109"/>
        <w:gridCol w:w="211"/>
        <w:gridCol w:w="793"/>
        <w:gridCol w:w="157"/>
      </w:tblGrid>
      <w:tr>
        <w:trPr/>
        <w:tc>
          <w:tcPr>
            <w:tcW w:w="6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3988435" cy="175260"/>
                      <wp:effectExtent l="0" t="0" r="0" b="0"/>
                      <wp:wrapNone/>
                      <wp:docPr id="146" name="Frame146"/>
                      <a:graphic xmlns:a="http://schemas.openxmlformats.org/drawingml/2006/main">
                        <a:graphicData uri="http://schemas.microsoft.com/office/word/2010/wordprocessingShape">
                          <wps:wsp>
                            <wps:cNvSpPr txBox="1"/>
                            <wps:spPr>
                              <a:xfrm>
                                <a:off x="0" y="0"/>
                                <a:ext cx="3988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9215" cy="175260"/>
                      <wp:effectExtent l="0" t="0" r="0" b="0"/>
                      <wp:wrapNone/>
                      <wp:docPr id="147" name="Frame1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9215" cy="175260"/>
                      <wp:effectExtent l="0" t="0" r="0" b="0"/>
                      <wp:wrapNone/>
                      <wp:docPr id="148" name="Frame1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62560" cy="175260"/>
                      <wp:effectExtent l="0" t="0" r="0" b="0"/>
                      <wp:wrapNone/>
                      <wp:docPr id="149" name="Frame149"/>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02615" cy="175260"/>
                      <wp:effectExtent l="0" t="0" r="0" b="0"/>
                      <wp:wrapNone/>
                      <wp:docPr id="150" name="Frame150"/>
                      <a:graphic xmlns:a="http://schemas.openxmlformats.org/drawingml/2006/main">
                        <a:graphicData uri="http://schemas.microsoft.com/office/word/2010/wordprocessingShape">
                          <wps:wsp>
                            <wps:cNvSpPr txBox="1"/>
                            <wps:spPr>
                              <a:xfrm>
                                <a:off x="0" y="0"/>
                                <a:ext cx="6026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9215" cy="175260"/>
                      <wp:effectExtent l="0" t="0" r="0" b="0"/>
                      <wp:wrapNone/>
                      <wp:docPr id="151" name="Frame1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51130" cy="175260"/>
                      <wp:effectExtent l="0" t="0" r="0" b="0"/>
                      <wp:wrapNone/>
                      <wp:docPr id="152" name="Frame152"/>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561340" cy="175260"/>
                      <wp:effectExtent l="0" t="0" r="0" b="0"/>
                      <wp:wrapNone/>
                      <wp:docPr id="153" name="Frame153"/>
                      <a:graphic xmlns:a="http://schemas.openxmlformats.org/drawingml/2006/main">
                        <a:graphicData uri="http://schemas.microsoft.com/office/word/2010/wordprocessingShape">
                          <wps:wsp>
                            <wps:cNvSpPr txBox="1"/>
                            <wps:spPr>
                              <a:xfrm>
                                <a:off x="0" y="0"/>
                                <a:ext cx="5613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9215" cy="175260"/>
                      <wp:effectExtent l="0" t="0" r="0" b="0"/>
                      <wp:wrapNone/>
                      <wp:docPr id="154" name="Frame1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33985" cy="175260"/>
                      <wp:effectExtent l="0" t="0" r="0" b="0"/>
                      <wp:wrapNone/>
                      <wp:docPr id="155" name="Frame1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503555" cy="175260"/>
                      <wp:effectExtent l="0" t="0" r="0" b="0"/>
                      <wp:wrapNone/>
                      <wp:docPr id="156" name="Frame156"/>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99695" cy="175260"/>
                      <wp:effectExtent l="0" t="0" r="0" b="0"/>
                      <wp:wrapNone/>
                      <wp:docPr id="157" name="Frame157"/>
                      <a:graphic xmlns:a="http://schemas.openxmlformats.org/drawingml/2006/main">
                        <a:graphicData uri="http://schemas.microsoft.com/office/word/2010/wordprocessingShape">
                          <wps:wsp>
                            <wps:cNvSpPr txBox="1"/>
                            <wps:spPr>
                              <a:xfrm>
                                <a:off x="0" y="0"/>
                                <a:ext cx="996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628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20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TTEC Engage</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2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TTEC Digital</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04"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Total</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628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Revenue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49"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399,825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8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113,746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3"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513,571</w:t>
            </w:r>
          </w:p>
        </w:tc>
        <w:tc>
          <w:tcPr>
            <w:tcW w:w="157" w:type="dxa"/>
            <w:tcBorders/>
            <w:shd w:fill="CCEEFF" w:val="clear"/>
            <w:vAlign w:val="center"/>
          </w:tcPr>
          <w:p>
            <w:pPr>
              <w:pStyle w:val="TableContents"/>
              <w:bidi w:val="0"/>
              <w:spacing w:lineRule="auto" w:line="285" w:before="0" w:after="0"/>
              <w:ind w:left="0" w:right="0" w:hanging="0"/>
              <w:jc w:val="left"/>
              <w:rPr/>
            </w:pPr>
            <w:r>
              <w:rPr/>
              <w:t>​</w:t>
            </w:r>
          </w:p>
        </w:tc>
      </w:tr>
      <w:tr>
        <w:trPr/>
        <w:tc>
          <w:tcPr>
            <w:tcW w:w="6281" w:type="dxa"/>
            <w:tcBorders/>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8"/>
              </w:rPr>
              <w:t xml:space="preserve">Cost of services (exclusive of depreciation and amortization presented separately below) </w:t>
            </w:r>
            <w:r>
              <w:rPr>
                <w:rFonts w:ascii="Arial;Helvetica;sans-serif" w:hAnsi="Arial;Helvetica;sans-serif"/>
                <w:sz w:val="14"/>
              </w:rPr>
              <w:t>(1)</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949"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327,015</w:t>
            </w:r>
          </w:p>
        </w:tc>
        <w:tc>
          <w:tcPr>
            <w:tcW w:w="109" w:type="dxa"/>
            <w:tcBorders/>
            <w:vAlign w:val="center"/>
          </w:tcPr>
          <w:p>
            <w:pPr>
              <w:pStyle w:val="TableContents"/>
              <w:bidi w:val="0"/>
              <w:spacing w:lineRule="auto" w:line="285" w:before="0" w:after="0"/>
              <w:ind w:left="0" w:right="0" w:hanging="0"/>
              <w:jc w:val="left"/>
              <w:rPr/>
            </w:pPr>
            <w:r>
              <w:rPr/>
              <w:t>​</w:t>
            </w:r>
          </w:p>
        </w:tc>
        <w:tc>
          <w:tcPr>
            <w:tcW w:w="238" w:type="dxa"/>
            <w:tcBorders/>
            <w:vAlign w:val="center"/>
          </w:tcPr>
          <w:p>
            <w:pPr>
              <w:pStyle w:val="TableContents"/>
              <w:bidi w:val="0"/>
              <w:spacing w:lineRule="auto" w:line="285" w:before="0" w:after="0"/>
              <w:ind w:left="0" w:right="0" w:hanging="0"/>
              <w:jc w:val="left"/>
              <w:rPr/>
            </w:pPr>
            <w:r>
              <w:rPr/>
              <w:t>​</w:t>
            </w:r>
          </w:p>
        </w:tc>
        <w:tc>
          <w:tcPr>
            <w:tcW w:w="884"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72,258</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399,273</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628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Selling, general and administrative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pPr>
            <w:r>
              <w:rPr/>
              <w:t>​</w:t>
            </w:r>
          </w:p>
        </w:tc>
        <w:tc>
          <w:tcPr>
            <w:tcW w:w="949"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47,465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shd w:fill="CCEEFF" w:val="clear"/>
            <w:vAlign w:val="center"/>
          </w:tcPr>
          <w:p>
            <w:pPr>
              <w:pStyle w:val="TableContents"/>
              <w:bidi w:val="0"/>
              <w:spacing w:lineRule="auto" w:line="285" w:before="0" w:after="0"/>
              <w:ind w:left="0" w:right="0" w:hanging="0"/>
              <w:jc w:val="left"/>
              <w:rPr/>
            </w:pPr>
            <w:r>
              <w:rPr/>
              <w:t>​</w:t>
            </w:r>
          </w:p>
        </w:tc>
        <w:tc>
          <w:tcPr>
            <w:tcW w:w="88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23,189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70,654</w:t>
            </w:r>
          </w:p>
        </w:tc>
        <w:tc>
          <w:tcPr>
            <w:tcW w:w="157" w:type="dxa"/>
            <w:tcBorders/>
            <w:shd w:fill="CCEEFF" w:val="clear"/>
            <w:vAlign w:val="center"/>
          </w:tcPr>
          <w:p>
            <w:pPr>
              <w:pStyle w:val="TableContents"/>
              <w:bidi w:val="0"/>
              <w:spacing w:lineRule="auto" w:line="285" w:before="0" w:after="0"/>
              <w:ind w:left="0" w:right="0" w:hanging="0"/>
              <w:jc w:val="left"/>
              <w:rPr/>
            </w:pPr>
            <w:r>
              <w:rPr/>
              <w:t>​</w:t>
            </w:r>
          </w:p>
        </w:tc>
      </w:tr>
      <w:tr>
        <w:trPr/>
        <w:tc>
          <w:tcPr>
            <w:tcW w:w="628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Depreciation and amortization</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949"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16,424</w:t>
            </w:r>
          </w:p>
        </w:tc>
        <w:tc>
          <w:tcPr>
            <w:tcW w:w="109" w:type="dxa"/>
            <w:tcBorders/>
            <w:vAlign w:val="center"/>
          </w:tcPr>
          <w:p>
            <w:pPr>
              <w:pStyle w:val="TableContents"/>
              <w:bidi w:val="0"/>
              <w:spacing w:lineRule="auto" w:line="285" w:before="0" w:after="0"/>
              <w:ind w:left="0" w:right="0" w:hanging="0"/>
              <w:jc w:val="left"/>
              <w:rPr/>
            </w:pPr>
            <w:r>
              <w:rPr/>
              <w:t>​</w:t>
            </w:r>
          </w:p>
        </w:tc>
        <w:tc>
          <w:tcPr>
            <w:tcW w:w="238" w:type="dxa"/>
            <w:tcBorders/>
            <w:vAlign w:val="center"/>
          </w:tcPr>
          <w:p>
            <w:pPr>
              <w:pStyle w:val="TableContents"/>
              <w:bidi w:val="0"/>
              <w:spacing w:lineRule="auto" w:line="285" w:before="0" w:after="0"/>
              <w:ind w:left="0" w:right="0" w:hanging="0"/>
              <w:jc w:val="left"/>
              <w:rPr/>
            </w:pPr>
            <w:r>
              <w:rPr/>
              <w:t>​</w:t>
            </w:r>
          </w:p>
        </w:tc>
        <w:tc>
          <w:tcPr>
            <w:tcW w:w="884"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6,464</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22,888</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6281" w:type="dxa"/>
            <w:tcBorders/>
            <w:shd w:fill="CCEEFF" w:val="clear"/>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8"/>
              </w:rPr>
              <w:t>Other segment items</w:t>
            </w:r>
            <w:r>
              <w:rPr>
                <w:rFonts w:ascii="Arial;Helvetica;sans-serif" w:hAnsi="Arial;Helvetica;sans-serif"/>
                <w:sz w:val="14"/>
              </w:rPr>
              <w:t>(2)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4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1,454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8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426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1,880</w:t>
            </w:r>
          </w:p>
        </w:tc>
        <w:tc>
          <w:tcPr>
            <w:tcW w:w="157" w:type="dxa"/>
            <w:tcBorders/>
            <w:shd w:fill="CCEEFF" w:val="clear"/>
            <w:vAlign w:val="center"/>
          </w:tcPr>
          <w:p>
            <w:pPr>
              <w:pStyle w:val="TableContents"/>
              <w:bidi w:val="0"/>
              <w:spacing w:lineRule="auto" w:line="285" w:before="0" w:after="0"/>
              <w:ind w:left="0" w:right="0" w:hanging="0"/>
              <w:jc w:val="left"/>
              <w:rPr/>
            </w:pPr>
            <w:r>
              <w:rPr/>
              <w:t>​</w:t>
            </w:r>
          </w:p>
        </w:tc>
      </w:tr>
      <w:tr>
        <w:trPr/>
        <w:tc>
          <w:tcPr>
            <w:tcW w:w="628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Income from operations</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949"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7,467</w:t>
            </w:r>
          </w:p>
        </w:tc>
        <w:tc>
          <w:tcPr>
            <w:tcW w:w="109" w:type="dxa"/>
            <w:tcBorders/>
            <w:vAlign w:val="center"/>
          </w:tcPr>
          <w:p>
            <w:pPr>
              <w:pStyle w:val="TableContents"/>
              <w:bidi w:val="0"/>
              <w:spacing w:lineRule="auto" w:line="285" w:before="0" w:after="0"/>
              <w:ind w:left="0" w:right="0" w:hanging="0"/>
              <w:jc w:val="left"/>
              <w:rPr/>
            </w:pPr>
            <w:r>
              <w:rPr/>
              <w:t>​</w:t>
            </w:r>
          </w:p>
        </w:tc>
        <w:tc>
          <w:tcPr>
            <w:tcW w:w="238" w:type="dxa"/>
            <w:tcBorders/>
            <w:vAlign w:val="center"/>
          </w:tcPr>
          <w:p>
            <w:pPr>
              <w:pStyle w:val="TableContents"/>
              <w:bidi w:val="0"/>
              <w:spacing w:lineRule="auto" w:line="285" w:before="0" w:after="0"/>
              <w:ind w:left="0" w:right="0" w:hanging="0"/>
              <w:jc w:val="left"/>
              <w:rPr/>
            </w:pPr>
            <w:r>
              <w:rPr/>
              <w:t>​</w:t>
            </w:r>
          </w:p>
        </w:tc>
        <w:tc>
          <w:tcPr>
            <w:tcW w:w="884"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11,409</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18,876</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628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Interest income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pPr>
            <w:r>
              <w:rPr/>
              <w:t>​</w:t>
            </w:r>
          </w:p>
        </w:tc>
        <w:tc>
          <w:tcPr>
            <w:tcW w:w="94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shd w:fill="CCEEFF" w:val="clear"/>
            <w:vAlign w:val="center"/>
          </w:tcPr>
          <w:p>
            <w:pPr>
              <w:pStyle w:val="TableContents"/>
              <w:bidi w:val="0"/>
              <w:spacing w:lineRule="auto" w:line="285" w:before="0" w:after="0"/>
              <w:ind w:left="0" w:right="0" w:hanging="0"/>
              <w:jc w:val="left"/>
              <w:rPr/>
            </w:pPr>
            <w:r>
              <w:rPr/>
              <w:t>​</w:t>
            </w:r>
          </w:p>
        </w:tc>
        <w:tc>
          <w:tcPr>
            <w:tcW w:w="884"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3,217</w:t>
            </w:r>
          </w:p>
        </w:tc>
        <w:tc>
          <w:tcPr>
            <w:tcW w:w="157" w:type="dxa"/>
            <w:tcBorders/>
            <w:shd w:fill="CCEEFF" w:val="clear"/>
            <w:vAlign w:val="center"/>
          </w:tcPr>
          <w:p>
            <w:pPr>
              <w:pStyle w:val="TableContents"/>
              <w:bidi w:val="0"/>
              <w:spacing w:lineRule="auto" w:line="285" w:before="0" w:after="0"/>
              <w:ind w:left="0" w:right="0" w:hanging="0"/>
              <w:jc w:val="left"/>
              <w:rPr/>
            </w:pPr>
            <w:r>
              <w:rPr/>
              <w:t>​</w:t>
            </w:r>
          </w:p>
        </w:tc>
      </w:tr>
      <w:tr>
        <w:trPr/>
        <w:tc>
          <w:tcPr>
            <w:tcW w:w="628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Interest expense</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94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38" w:type="dxa"/>
            <w:tcBorders/>
            <w:vAlign w:val="center"/>
          </w:tcPr>
          <w:p>
            <w:pPr>
              <w:pStyle w:val="TableContents"/>
              <w:bidi w:val="0"/>
              <w:spacing w:lineRule="auto" w:line="285" w:before="0" w:after="0"/>
              <w:ind w:left="0" w:right="0" w:hanging="0"/>
              <w:jc w:val="left"/>
              <w:rPr/>
            </w:pPr>
            <w:r>
              <w:rPr/>
              <w:t>​</w:t>
            </w:r>
          </w:p>
        </w:tc>
        <w:tc>
          <w:tcPr>
            <w:tcW w:w="884"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(18,233)</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628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Other income (expense), net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pPr>
            <w:r>
              <w:rPr/>
              <w:t>​</w:t>
            </w:r>
          </w:p>
        </w:tc>
        <w:tc>
          <w:tcPr>
            <w:tcW w:w="94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shd w:fill="CCEEFF" w:val="clear"/>
            <w:vAlign w:val="center"/>
          </w:tcPr>
          <w:p>
            <w:pPr>
              <w:pStyle w:val="TableContents"/>
              <w:bidi w:val="0"/>
              <w:spacing w:lineRule="auto" w:line="285" w:before="0" w:after="0"/>
              <w:ind w:left="0" w:right="0" w:hanging="0"/>
              <w:jc w:val="left"/>
              <w:rPr/>
            </w:pPr>
            <w:r>
              <w:rPr/>
              <w:t>​</w:t>
            </w:r>
          </w:p>
        </w:tc>
        <w:tc>
          <w:tcPr>
            <w:tcW w:w="884"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(296)</w:t>
            </w:r>
          </w:p>
        </w:tc>
        <w:tc>
          <w:tcPr>
            <w:tcW w:w="157" w:type="dxa"/>
            <w:tcBorders/>
            <w:shd w:fill="CCEEFF" w:val="clear"/>
            <w:vAlign w:val="center"/>
          </w:tcPr>
          <w:p>
            <w:pPr>
              <w:pStyle w:val="TableContents"/>
              <w:bidi w:val="0"/>
              <w:spacing w:lineRule="auto" w:line="285" w:before="0" w:after="0"/>
              <w:ind w:left="0" w:right="0" w:hanging="0"/>
              <w:jc w:val="left"/>
              <w:rPr/>
            </w:pPr>
            <w:r>
              <w:rPr/>
              <w:t>​</w:t>
            </w:r>
          </w:p>
        </w:tc>
      </w:tr>
      <w:tr>
        <w:trPr/>
        <w:tc>
          <w:tcPr>
            <w:tcW w:w="628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Income before income taxes</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94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38" w:type="dxa"/>
            <w:tcBorders/>
            <w:vAlign w:val="center"/>
          </w:tcPr>
          <w:p>
            <w:pPr>
              <w:pStyle w:val="TableContents"/>
              <w:bidi w:val="0"/>
              <w:spacing w:lineRule="auto" w:line="285" w:before="0" w:after="0"/>
              <w:ind w:left="0" w:right="0" w:hanging="0"/>
              <w:jc w:val="left"/>
              <w:rPr/>
            </w:pPr>
            <w:r>
              <w:rPr/>
              <w:t>​</w:t>
            </w:r>
          </w:p>
        </w:tc>
        <w:tc>
          <w:tcPr>
            <w:tcW w:w="884"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3,564</w:t>
            </w:r>
          </w:p>
        </w:tc>
        <w:tc>
          <w:tcPr>
            <w:tcW w:w="157"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Arial;Helvetica;sans-serif" w:hAnsi="Arial;Helvetica;sans-serif"/>
          <w:b/>
          <w:sz w:val="20"/>
        </w:rPr>
      </w:pPr>
      <w:r>
        <w:rPr>
          <w:rFonts w:ascii="Arial;Helvetica;sans-serif" w:hAnsi="Arial;Helvetica;sans-serif"/>
          <w:b/>
          <w:sz w:val="20"/>
        </w:rPr>
        <w:t>Six Months Ended June 30, 2026</w:t>
      </w:r>
    </w:p>
    <w:tbl>
      <w:tblPr>
        <w:tblW w:w="10205" w:type="dxa"/>
        <w:jc w:val="left"/>
        <w:tblInd w:w="0" w:type="dxa"/>
        <w:tblLayout w:type="fixed"/>
        <w:tblCellMar>
          <w:top w:w="0" w:type="dxa"/>
          <w:left w:w="0" w:type="dxa"/>
          <w:bottom w:w="0" w:type="dxa"/>
          <w:right w:w="0" w:type="dxa"/>
        </w:tblCellMar>
      </w:tblPr>
      <w:tblGrid>
        <w:gridCol w:w="6281"/>
        <w:gridCol w:w="109"/>
        <w:gridCol w:w="109"/>
        <w:gridCol w:w="256"/>
        <w:gridCol w:w="949"/>
        <w:gridCol w:w="109"/>
        <w:gridCol w:w="238"/>
        <w:gridCol w:w="884"/>
        <w:gridCol w:w="109"/>
        <w:gridCol w:w="211"/>
        <w:gridCol w:w="793"/>
        <w:gridCol w:w="157"/>
      </w:tblGrid>
      <w:tr>
        <w:trPr/>
        <w:tc>
          <w:tcPr>
            <w:tcW w:w="6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3988435" cy="175260"/>
                      <wp:effectExtent l="0" t="0" r="0" b="0"/>
                      <wp:wrapNone/>
                      <wp:docPr id="158" name="Frame158"/>
                      <a:graphic xmlns:a="http://schemas.openxmlformats.org/drawingml/2006/main">
                        <a:graphicData uri="http://schemas.microsoft.com/office/word/2010/wordprocessingShape">
                          <wps:wsp>
                            <wps:cNvSpPr txBox="1"/>
                            <wps:spPr>
                              <a:xfrm>
                                <a:off x="0" y="0"/>
                                <a:ext cx="3988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9215" cy="175260"/>
                      <wp:effectExtent l="0" t="0" r="0" b="0"/>
                      <wp:wrapNone/>
                      <wp:docPr id="159" name="Frame1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9215" cy="175260"/>
                      <wp:effectExtent l="0" t="0" r="0" b="0"/>
                      <wp:wrapNone/>
                      <wp:docPr id="160" name="Frame1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62560" cy="175260"/>
                      <wp:effectExtent l="0" t="0" r="0" b="0"/>
                      <wp:wrapNone/>
                      <wp:docPr id="161" name="Frame161"/>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02615" cy="175260"/>
                      <wp:effectExtent l="0" t="0" r="0" b="0"/>
                      <wp:wrapNone/>
                      <wp:docPr id="162" name="Frame162"/>
                      <a:graphic xmlns:a="http://schemas.openxmlformats.org/drawingml/2006/main">
                        <a:graphicData uri="http://schemas.microsoft.com/office/word/2010/wordprocessingShape">
                          <wps:wsp>
                            <wps:cNvSpPr txBox="1"/>
                            <wps:spPr>
                              <a:xfrm>
                                <a:off x="0" y="0"/>
                                <a:ext cx="6026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9215" cy="175260"/>
                      <wp:effectExtent l="0" t="0" r="0" b="0"/>
                      <wp:wrapNone/>
                      <wp:docPr id="163" name="Frame1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51130" cy="175260"/>
                      <wp:effectExtent l="0" t="0" r="0" b="0"/>
                      <wp:wrapNone/>
                      <wp:docPr id="164" name="Frame164"/>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561340" cy="175260"/>
                      <wp:effectExtent l="0" t="0" r="0" b="0"/>
                      <wp:wrapNone/>
                      <wp:docPr id="165" name="Frame165"/>
                      <a:graphic xmlns:a="http://schemas.openxmlformats.org/drawingml/2006/main">
                        <a:graphicData uri="http://schemas.microsoft.com/office/word/2010/wordprocessingShape">
                          <wps:wsp>
                            <wps:cNvSpPr txBox="1"/>
                            <wps:spPr>
                              <a:xfrm>
                                <a:off x="0" y="0"/>
                                <a:ext cx="5613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9215" cy="175260"/>
                      <wp:effectExtent l="0" t="0" r="0" b="0"/>
                      <wp:wrapNone/>
                      <wp:docPr id="166" name="Frame1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33985" cy="175260"/>
                      <wp:effectExtent l="0" t="0" r="0" b="0"/>
                      <wp:wrapNone/>
                      <wp:docPr id="167" name="Frame1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503555" cy="175260"/>
                      <wp:effectExtent l="0" t="0" r="0" b="0"/>
                      <wp:wrapNone/>
                      <wp:docPr id="168" name="Frame168"/>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99695" cy="175260"/>
                      <wp:effectExtent l="0" t="0" r="0" b="0"/>
                      <wp:wrapNone/>
                      <wp:docPr id="169" name="Frame169"/>
                      <a:graphic xmlns:a="http://schemas.openxmlformats.org/drawingml/2006/main">
                        <a:graphicData uri="http://schemas.microsoft.com/office/word/2010/wordprocessingShape">
                          <wps:wsp>
                            <wps:cNvSpPr txBox="1"/>
                            <wps:spPr>
                              <a:xfrm>
                                <a:off x="0" y="0"/>
                                <a:ext cx="996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628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20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TTEC Engage</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2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TTEC Digital</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04"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Total</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628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Revenue</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49"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745,773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8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205,897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3"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951,670</w:t>
            </w:r>
          </w:p>
        </w:tc>
        <w:tc>
          <w:tcPr>
            <w:tcW w:w="157" w:type="dxa"/>
            <w:tcBorders/>
            <w:shd w:fill="CCEEFF" w:val="clear"/>
            <w:vAlign w:val="center"/>
          </w:tcPr>
          <w:p>
            <w:pPr>
              <w:pStyle w:val="TableContents"/>
              <w:bidi w:val="0"/>
              <w:spacing w:lineRule="auto" w:line="285" w:before="0" w:after="0"/>
              <w:ind w:left="0" w:right="0" w:hanging="0"/>
              <w:jc w:val="left"/>
              <w:rPr/>
            </w:pPr>
            <w:r>
              <w:rPr/>
              <w:t>​</w:t>
            </w:r>
          </w:p>
        </w:tc>
      </w:tr>
      <w:tr>
        <w:trPr/>
        <w:tc>
          <w:tcPr>
            <w:tcW w:w="6281" w:type="dxa"/>
            <w:tcBorders/>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8"/>
              </w:rPr>
              <w:t xml:space="preserve">Cost of services (exclusive of depreciation and amortization presented separately below) </w:t>
            </w:r>
            <w:r>
              <w:rPr>
                <w:rFonts w:ascii="Arial;Helvetica;sans-serif" w:hAnsi="Arial;Helvetica;sans-serif"/>
                <w:sz w:val="14"/>
              </w:rPr>
              <w:t>(1)</w:t>
            </w:r>
          </w:p>
        </w:tc>
        <w:tc>
          <w:tcPr>
            <w:tcW w:w="109"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949"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604,832</w:t>
            </w:r>
          </w:p>
        </w:tc>
        <w:tc>
          <w:tcPr>
            <w:tcW w:w="109" w:type="dxa"/>
            <w:tcBorders/>
            <w:vAlign w:val="center"/>
          </w:tcPr>
          <w:p>
            <w:pPr>
              <w:pStyle w:val="TableContents"/>
              <w:bidi w:val="0"/>
              <w:spacing w:lineRule="auto" w:line="285" w:before="0" w:after="0"/>
              <w:ind w:left="0" w:right="0" w:hanging="0"/>
              <w:jc w:val="left"/>
              <w:rPr/>
            </w:pPr>
            <w:r>
              <w:rPr/>
              <w:t>​</w:t>
            </w:r>
          </w:p>
        </w:tc>
        <w:tc>
          <w:tcPr>
            <w:tcW w:w="238" w:type="dxa"/>
            <w:tcBorders/>
            <w:vAlign w:val="center"/>
          </w:tcPr>
          <w:p>
            <w:pPr>
              <w:pStyle w:val="TableContents"/>
              <w:bidi w:val="0"/>
              <w:spacing w:lineRule="auto" w:line="285" w:before="0" w:after="0"/>
              <w:ind w:left="0" w:right="0" w:hanging="0"/>
              <w:jc w:val="left"/>
              <w:rPr/>
            </w:pPr>
            <w:r>
              <w:rPr/>
              <w:t>​</w:t>
            </w:r>
          </w:p>
        </w:tc>
        <w:tc>
          <w:tcPr>
            <w:tcW w:w="884"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140,867</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745,699</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628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Selling, general and administrative</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pPr>
            <w:r>
              <w:rPr/>
              <w:t>​</w:t>
            </w:r>
          </w:p>
        </w:tc>
        <w:tc>
          <w:tcPr>
            <w:tcW w:w="949"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85,192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shd w:fill="CCEEFF" w:val="clear"/>
            <w:vAlign w:val="center"/>
          </w:tcPr>
          <w:p>
            <w:pPr>
              <w:pStyle w:val="TableContents"/>
              <w:bidi w:val="0"/>
              <w:spacing w:lineRule="auto" w:line="285" w:before="0" w:after="0"/>
              <w:ind w:left="0" w:right="0" w:hanging="0"/>
              <w:jc w:val="left"/>
              <w:rPr/>
            </w:pPr>
            <w:r>
              <w:rPr/>
              <w:t>​</w:t>
            </w:r>
          </w:p>
        </w:tc>
        <w:tc>
          <w:tcPr>
            <w:tcW w:w="88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42,601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127,793</w:t>
            </w:r>
          </w:p>
        </w:tc>
        <w:tc>
          <w:tcPr>
            <w:tcW w:w="157" w:type="dxa"/>
            <w:tcBorders/>
            <w:shd w:fill="CCEEFF" w:val="clear"/>
            <w:vAlign w:val="center"/>
          </w:tcPr>
          <w:p>
            <w:pPr>
              <w:pStyle w:val="TableContents"/>
              <w:bidi w:val="0"/>
              <w:spacing w:lineRule="auto" w:line="285" w:before="0" w:after="0"/>
              <w:ind w:left="0" w:right="0" w:hanging="0"/>
              <w:jc w:val="left"/>
              <w:rPr/>
            </w:pPr>
            <w:r>
              <w:rPr/>
              <w:t>​</w:t>
            </w:r>
          </w:p>
        </w:tc>
      </w:tr>
      <w:tr>
        <w:trPr/>
        <w:tc>
          <w:tcPr>
            <w:tcW w:w="628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Depreciation and amortization</w:t>
            </w:r>
          </w:p>
        </w:tc>
        <w:tc>
          <w:tcPr>
            <w:tcW w:w="109"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949"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29,723</w:t>
            </w:r>
          </w:p>
        </w:tc>
        <w:tc>
          <w:tcPr>
            <w:tcW w:w="109" w:type="dxa"/>
            <w:tcBorders/>
            <w:vAlign w:val="center"/>
          </w:tcPr>
          <w:p>
            <w:pPr>
              <w:pStyle w:val="TableContents"/>
              <w:bidi w:val="0"/>
              <w:spacing w:lineRule="auto" w:line="285" w:before="0" w:after="0"/>
              <w:ind w:left="0" w:right="0" w:hanging="0"/>
              <w:jc w:val="left"/>
              <w:rPr/>
            </w:pPr>
            <w:r>
              <w:rPr/>
              <w:t>​</w:t>
            </w:r>
          </w:p>
        </w:tc>
        <w:tc>
          <w:tcPr>
            <w:tcW w:w="238" w:type="dxa"/>
            <w:tcBorders/>
            <w:vAlign w:val="center"/>
          </w:tcPr>
          <w:p>
            <w:pPr>
              <w:pStyle w:val="TableContents"/>
              <w:bidi w:val="0"/>
              <w:spacing w:lineRule="auto" w:line="285" w:before="0" w:after="0"/>
              <w:ind w:left="0" w:right="0" w:hanging="0"/>
              <w:jc w:val="left"/>
              <w:rPr/>
            </w:pPr>
            <w:r>
              <w:rPr/>
              <w:t>​</w:t>
            </w:r>
          </w:p>
        </w:tc>
        <w:tc>
          <w:tcPr>
            <w:tcW w:w="884"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12,723</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42,446</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6281" w:type="dxa"/>
            <w:tcBorders/>
            <w:shd w:fill="CCEEFF" w:val="clear"/>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8"/>
              </w:rPr>
              <w:t>Other segment items</w:t>
            </w:r>
            <w:r>
              <w:rPr>
                <w:rFonts w:ascii="Arial;Helvetica;sans-serif" w:hAnsi="Arial;Helvetica;sans-serif"/>
                <w:sz w:val="14"/>
              </w:rPr>
              <w:t>(2)</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pPr>
            <w:r>
              <w:rPr/>
              <w:t>​</w:t>
            </w:r>
          </w:p>
        </w:tc>
        <w:tc>
          <w:tcPr>
            <w:tcW w:w="94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4,585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shd w:fill="CCEEFF" w:val="clear"/>
            <w:vAlign w:val="center"/>
          </w:tcPr>
          <w:p>
            <w:pPr>
              <w:pStyle w:val="TableContents"/>
              <w:bidi w:val="0"/>
              <w:spacing w:lineRule="auto" w:line="285" w:before="0" w:after="0"/>
              <w:ind w:left="0" w:right="0" w:hanging="0"/>
              <w:jc w:val="left"/>
              <w:rPr/>
            </w:pPr>
            <w:r>
              <w:rPr/>
              <w:t>​</w:t>
            </w:r>
          </w:p>
        </w:tc>
        <w:tc>
          <w:tcPr>
            <w:tcW w:w="88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1,643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6,228</w:t>
            </w:r>
          </w:p>
        </w:tc>
        <w:tc>
          <w:tcPr>
            <w:tcW w:w="157" w:type="dxa"/>
            <w:tcBorders/>
            <w:shd w:fill="CCEEFF" w:val="clear"/>
            <w:vAlign w:val="center"/>
          </w:tcPr>
          <w:p>
            <w:pPr>
              <w:pStyle w:val="TableContents"/>
              <w:bidi w:val="0"/>
              <w:spacing w:lineRule="auto" w:line="285" w:before="0" w:after="0"/>
              <w:ind w:left="0" w:right="0" w:hanging="0"/>
              <w:jc w:val="left"/>
              <w:rPr/>
            </w:pPr>
            <w:r>
              <w:rPr/>
              <w:t>​</w:t>
            </w:r>
          </w:p>
        </w:tc>
      </w:tr>
      <w:tr>
        <w:trPr/>
        <w:tc>
          <w:tcPr>
            <w:tcW w:w="628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Income from operations</w:t>
            </w:r>
          </w:p>
        </w:tc>
        <w:tc>
          <w:tcPr>
            <w:tcW w:w="109"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949"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21,441</w:t>
            </w:r>
          </w:p>
        </w:tc>
        <w:tc>
          <w:tcPr>
            <w:tcW w:w="109" w:type="dxa"/>
            <w:tcBorders/>
            <w:vAlign w:val="center"/>
          </w:tcPr>
          <w:p>
            <w:pPr>
              <w:pStyle w:val="TableContents"/>
              <w:bidi w:val="0"/>
              <w:spacing w:lineRule="auto" w:line="285" w:before="0" w:after="0"/>
              <w:ind w:left="0" w:right="0" w:hanging="0"/>
              <w:jc w:val="left"/>
              <w:rPr/>
            </w:pPr>
            <w:r>
              <w:rPr/>
              <w:t>​</w:t>
            </w:r>
          </w:p>
        </w:tc>
        <w:tc>
          <w:tcPr>
            <w:tcW w:w="238" w:type="dxa"/>
            <w:tcBorders/>
            <w:vAlign w:val="center"/>
          </w:tcPr>
          <w:p>
            <w:pPr>
              <w:pStyle w:val="TableContents"/>
              <w:bidi w:val="0"/>
              <w:spacing w:lineRule="auto" w:line="285" w:before="0" w:after="0"/>
              <w:ind w:left="0" w:right="0" w:hanging="0"/>
              <w:jc w:val="left"/>
              <w:rPr/>
            </w:pPr>
            <w:r>
              <w:rPr/>
              <w:t>​</w:t>
            </w:r>
          </w:p>
        </w:tc>
        <w:tc>
          <w:tcPr>
            <w:tcW w:w="884"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8,063</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29,504</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628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Interest income</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pPr>
            <w:r>
              <w:rPr/>
              <w:t>​</w:t>
            </w:r>
          </w:p>
        </w:tc>
        <w:tc>
          <w:tcPr>
            <w:tcW w:w="949"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shd w:fill="CCEEFF" w:val="clear"/>
            <w:vAlign w:val="center"/>
          </w:tcPr>
          <w:p>
            <w:pPr>
              <w:pStyle w:val="TableContents"/>
              <w:bidi w:val="0"/>
              <w:spacing w:lineRule="auto" w:line="285" w:before="0" w:after="0"/>
              <w:ind w:left="0" w:right="0" w:hanging="0"/>
              <w:jc w:val="left"/>
              <w:rPr/>
            </w:pPr>
            <w:r>
              <w:rPr/>
              <w:t>​</w:t>
            </w:r>
          </w:p>
        </w:tc>
        <w:tc>
          <w:tcPr>
            <w:tcW w:w="884"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548</w:t>
            </w:r>
          </w:p>
        </w:tc>
        <w:tc>
          <w:tcPr>
            <w:tcW w:w="157" w:type="dxa"/>
            <w:tcBorders/>
            <w:shd w:fill="CCEEFF" w:val="clear"/>
            <w:vAlign w:val="center"/>
          </w:tcPr>
          <w:p>
            <w:pPr>
              <w:pStyle w:val="TableContents"/>
              <w:bidi w:val="0"/>
              <w:spacing w:lineRule="auto" w:line="285" w:before="0" w:after="0"/>
              <w:ind w:left="0" w:right="0" w:hanging="0"/>
              <w:jc w:val="left"/>
              <w:rPr/>
            </w:pPr>
            <w:r>
              <w:rPr/>
              <w:t>​</w:t>
            </w:r>
          </w:p>
        </w:tc>
      </w:tr>
      <w:tr>
        <w:trPr/>
        <w:tc>
          <w:tcPr>
            <w:tcW w:w="628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Interest expense</w:t>
            </w:r>
          </w:p>
        </w:tc>
        <w:tc>
          <w:tcPr>
            <w:tcW w:w="109"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949"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38" w:type="dxa"/>
            <w:tcBorders/>
            <w:vAlign w:val="center"/>
          </w:tcPr>
          <w:p>
            <w:pPr>
              <w:pStyle w:val="TableContents"/>
              <w:bidi w:val="0"/>
              <w:spacing w:lineRule="auto" w:line="285" w:before="0" w:after="0"/>
              <w:ind w:left="0" w:right="0" w:hanging="0"/>
              <w:jc w:val="left"/>
              <w:rPr/>
            </w:pPr>
            <w:r>
              <w:rPr/>
              <w:t>​</w:t>
            </w:r>
          </w:p>
        </w:tc>
        <w:tc>
          <w:tcPr>
            <w:tcW w:w="884"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(33,672)</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628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Other income (expense), net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right"/>
              <w:rPr/>
            </w:pPr>
            <w:r>
              <w:rPr/>
              <w:t>​</w:t>
            </w:r>
          </w:p>
        </w:tc>
        <w:tc>
          <w:tcPr>
            <w:tcW w:w="949"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shd w:fill="CCEEFF" w:val="clear"/>
            <w:vAlign w:val="center"/>
          </w:tcPr>
          <w:p>
            <w:pPr>
              <w:pStyle w:val="TableContents"/>
              <w:bidi w:val="0"/>
              <w:spacing w:lineRule="auto" w:line="285" w:before="0" w:after="0"/>
              <w:ind w:left="0" w:right="0" w:hanging="0"/>
              <w:jc w:val="right"/>
              <w:rPr/>
            </w:pPr>
            <w:r>
              <w:rPr/>
              <w:t>​</w:t>
            </w:r>
          </w:p>
        </w:tc>
        <w:tc>
          <w:tcPr>
            <w:tcW w:w="884"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1,838</w:t>
            </w:r>
          </w:p>
        </w:tc>
        <w:tc>
          <w:tcPr>
            <w:tcW w:w="157" w:type="dxa"/>
            <w:tcBorders/>
            <w:shd w:fill="CCEEFF" w:val="clear"/>
            <w:vAlign w:val="center"/>
          </w:tcPr>
          <w:p>
            <w:pPr>
              <w:pStyle w:val="TableContents"/>
              <w:bidi w:val="0"/>
              <w:spacing w:lineRule="auto" w:line="285" w:before="0" w:after="0"/>
              <w:ind w:left="0" w:right="0" w:hanging="0"/>
              <w:jc w:val="left"/>
              <w:rPr/>
            </w:pPr>
            <w:r>
              <w:rPr/>
              <w:t>​</w:t>
            </w:r>
          </w:p>
        </w:tc>
      </w:tr>
      <w:tr>
        <w:trPr/>
        <w:tc>
          <w:tcPr>
            <w:tcW w:w="628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Income before income taxes</w:t>
            </w:r>
          </w:p>
        </w:tc>
        <w:tc>
          <w:tcPr>
            <w:tcW w:w="109"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949"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38" w:type="dxa"/>
            <w:tcBorders/>
            <w:vAlign w:val="center"/>
          </w:tcPr>
          <w:p>
            <w:pPr>
              <w:pStyle w:val="TableContents"/>
              <w:bidi w:val="0"/>
              <w:spacing w:lineRule="auto" w:line="285" w:before="0" w:after="0"/>
              <w:ind w:left="0" w:right="0" w:hanging="0"/>
              <w:jc w:val="left"/>
              <w:rPr/>
            </w:pPr>
            <w:r>
              <w:rPr/>
              <w:t>​</w:t>
            </w:r>
          </w:p>
        </w:tc>
        <w:tc>
          <w:tcPr>
            <w:tcW w:w="884"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9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(1,782)</w:t>
            </w:r>
          </w:p>
        </w:tc>
        <w:tc>
          <w:tcPr>
            <w:tcW w:w="157"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9</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TTEC HOLDINGS, INC. AND SUBSIDIARIES</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Notes to Consolidated Financial Statements</w:t>
      </w:r>
    </w:p>
    <w:p>
      <w:pPr>
        <w:pStyle w:val="TextBody"/>
        <w:bidi w:val="0"/>
        <w:spacing w:lineRule="auto" w:line="285" w:before="0" w:after="24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lineRule="auto" w:line="285" w:before="0" w:after="0"/>
        <w:ind w:left="0" w:right="0" w:hanging="0"/>
        <w:jc w:val="left"/>
        <w:rPr>
          <w:rFonts w:ascii="Arial;Helvetica;sans-serif" w:hAnsi="Arial;Helvetica;sans-serif"/>
          <w:b/>
          <w:sz w:val="20"/>
        </w:rPr>
      </w:pPr>
      <w:bookmarkStart w:id="1112" w:name="Tc_MI-mwLcb1k2_AEQfLg_rYQ_8_11"/>
      <w:bookmarkStart w:id="1113" w:name="Tc_F2L7ptu7-UamScpingEx5A_8_8"/>
      <w:bookmarkStart w:id="1114" w:name="Tc_-X1uLGRPSk-PsZKbjpImww_8_5"/>
      <w:bookmarkStart w:id="1115" w:name="Tc_gzP2w2OHM0qmdyoGOTn7xw_8_2"/>
      <w:bookmarkStart w:id="1116" w:name="Tc_Yl4jqBBuIkGJheLk4obPsw_8_0"/>
      <w:bookmarkStart w:id="1117" w:name="Tc_c17Sd4UIFkCRjy4kC0vfTg_7_0"/>
      <w:bookmarkStart w:id="1118" w:name="Tc_xCKsRDH0AEWnkaiwYPTy3w_6_0"/>
      <w:bookmarkStart w:id="1119" w:name="Tc_2fx4jNKn0UmqhspZJPdh6A_5_0"/>
      <w:bookmarkStart w:id="1120" w:name="Tc_jPadqFprFkCn5jQzfUk0Zg_4_11"/>
      <w:bookmarkStart w:id="1121" w:name="Tc_zWu9fVoY30SErbOwMYOyCA_4_8"/>
      <w:bookmarkStart w:id="1122" w:name="Tc_Q5ky67F6eUC6FPMVeS3gXA_4_5"/>
      <w:bookmarkStart w:id="1123" w:name="Tc_tkcRd80AfE2dUKGQ_Z-kjA_4_2"/>
      <w:bookmarkStart w:id="1124" w:name="Tc_aDkGfexfFkaZYaFbvnbhHA_4_0"/>
      <w:bookmarkStart w:id="1125" w:name="Tc_AcNHRmgoCE2MWklmLmo6hA_3_0"/>
      <w:bookmarkStart w:id="1126" w:name="Tc_R8v2_HBurkuFzSfZdUKC0g_2_11"/>
      <w:bookmarkStart w:id="1127" w:name="Tc_gzT3mQMmIUWID3FOsvJ1VA_2_8"/>
      <w:bookmarkStart w:id="1128" w:name="Tc_ajtf_q-vMkK1Hb1p501X0w_2_5"/>
      <w:bookmarkStart w:id="1129" w:name="Tc_S_oRf2oOPEGF0pF5obT5rg_2_2"/>
      <w:bookmarkStart w:id="1130" w:name="Tc_mDR3hIy_40KeREM0ZqFrbw_1_8"/>
      <w:bookmarkStart w:id="1131" w:name="Tc_c-7vhM3ZcEiUpaFmQVy-gA_1_2"/>
      <w:bookmarkStart w:id="1132" w:name="_a40c759f_0614_4e5e_845b_e7c30e2adb10"/>
      <w:bookmarkStart w:id="1133" w:name="_Hlk519691511"/>
      <w:bookmarkStart w:id="1134" w:name="Tc_pGrZ4n2XXEivFG59aeLS-A_5_6"/>
      <w:bookmarkStart w:id="1135" w:name="Tc_voB2ghrWNEaa-rCF9bs3aQ_5_3"/>
      <w:bookmarkStart w:id="1136" w:name="Tc_pKrsG0mDgU6SHydc4YpuAQ_5_0"/>
      <w:bookmarkStart w:id="1137" w:name="Tc_TUw-etCsXUiqqhAupjRJfQ_4_0"/>
      <w:bookmarkStart w:id="1138" w:name="Tc_v6au1MaX702s-_2BojKQmg_3_6"/>
      <w:bookmarkStart w:id="1139" w:name="Tc_krUrHq2JYEaXAy7X2NxkvQ_3_3"/>
      <w:bookmarkStart w:id="1140" w:name="Tc_C8bRV511B0uOIYRJrDfmQQ_3_0"/>
      <w:bookmarkStart w:id="1141" w:name="Tc_k56yuEsN2km8a2pkYdmBgw_2_0"/>
      <w:bookmarkStart w:id="1142" w:name="Tc_2DTWlMDWck2L609q1xYLNg_1_6"/>
      <w:bookmarkStart w:id="1143" w:name="Tc_aAfVHQkUI0qJxRTyNrDu6A_1_3"/>
      <w:bookmarkStart w:id="1144" w:name="_7d5be106_ec8a_4de8_a77d_074a0ece2a0f"/>
      <w:bookmarkStart w:id="1145" w:name="Tc_CMFc1U9TuUiZodbw6e-vkQ_7_11"/>
      <w:bookmarkStart w:id="1146" w:name="Tc_H87kldlE_k6wd5ly6Wp5YA_7_8"/>
      <w:bookmarkStart w:id="1147" w:name="Tc_q-bJFYIQ5E-HVy0Szh1hWg_7_5"/>
      <w:bookmarkStart w:id="1148" w:name="Tc_5BGv37D7oUKDk604KrTNNA_7_2"/>
      <w:bookmarkStart w:id="1149" w:name="Tc_zOjfi6jly0O_ffT38BIyIw_7_0"/>
      <w:bookmarkStart w:id="1150" w:name="Tc_UUd6QtpzKE-NIFR4mXSPGQ_6_0"/>
      <w:bookmarkStart w:id="1151" w:name="Tc_kayizLmW3E2SAvD6osy9NA_5_11"/>
      <w:bookmarkStart w:id="1152" w:name="Tc_62RjpkTp1U6adhgB6MAYmQ_5_8"/>
      <w:bookmarkStart w:id="1153" w:name="Tc_fm69aJ7Yxk-v1wGAsF8vQg_5_5"/>
      <w:bookmarkStart w:id="1154" w:name="Tc_i9qRsG02REGE__Epx1uPDw_5_2"/>
      <w:bookmarkStart w:id="1155" w:name="Tc_TlHnsRP4r0yhojg0wrp4fA_5_0"/>
      <w:bookmarkStart w:id="1156" w:name="Tc_cEqVI05LG067Qqn1gF-1_A_4_0"/>
      <w:bookmarkStart w:id="1157" w:name="Tc_LtZfnrWnAUiXnIyyKL4x7w_3_11"/>
      <w:bookmarkStart w:id="1158" w:name="Tc_7cQniZymu0OpcE14TMgGlA_3_8"/>
      <w:bookmarkStart w:id="1159" w:name="Tc_-9exLKqHPEimc90RvxHdcA_3_5"/>
      <w:bookmarkStart w:id="1160" w:name="Tc_KJFR1yZ9a0iHklrtKKv1Jw_3_2"/>
      <w:bookmarkStart w:id="1161" w:name="Tc_iXf5qwN_z0eYucxvN_cr2g_2_8"/>
      <w:bookmarkStart w:id="1162" w:name="Tc_nbsdbcyYiU6W5R6dSLDnkA_2_2"/>
      <w:bookmarkStart w:id="1163" w:name="Tc_fEPuokCqZkizOAlrbsS19w_1_8"/>
      <w:bookmarkStart w:id="1164" w:name="Tc_GOaRN9dkJk6gtigXd6MudA_1_2"/>
      <w:bookmarkStart w:id="1165" w:name="_c18d3d6b_60f3_4ad7_803f_a3e684f6a182"/>
      <w:bookmarkStart w:id="1166" w:name="Tc_7rQlonE8wEOe68CMCac_-g_11_0"/>
      <w:bookmarkStart w:id="1167" w:name="Tc_9Sh3dRNe9U6rB-rU511yIA_10_0"/>
      <w:bookmarkStart w:id="1168" w:name="Tc_x-nsvDFCsEGN-99nF_sM1A_9_0"/>
      <w:bookmarkStart w:id="1169" w:name="Tc_PN8NDem8L0uxRLmDYPXIvQ_8_0"/>
      <w:bookmarkStart w:id="1170" w:name="Tc_EOVV0-WB-Eepeh6P3g6KFw_7_0"/>
      <w:bookmarkStart w:id="1171" w:name="Tc_VFfesyHI5kCD78J-vfC0cQ_6_0"/>
      <w:bookmarkStart w:id="1172" w:name="Tc_WBcEj9VRXkuOoFRrv6o-vg_5_0"/>
      <w:bookmarkStart w:id="1173" w:name="Tc_Vtt9wcX870yZzFYL2mQYxw_4_0"/>
      <w:bookmarkStart w:id="1174" w:name="Tc_RK9bdRYJNEypwP4iuTKdIQ_3_0"/>
      <w:bookmarkStart w:id="1175" w:name="Tc_OUFWKyR_QkG2s8kdA61qgg_2_9"/>
      <w:bookmarkStart w:id="1176" w:name="Tc_I0D2p0Gr5kiGO8do_v5NcA_2_6"/>
      <w:bookmarkStart w:id="1177" w:name="Tc_rqwtgB9Ob0C2kejJ1p3BCQ_2_3"/>
      <w:bookmarkStart w:id="1178" w:name="Tc_S4FbKbLxikSp7LZ0FMgTfA_2_0"/>
      <w:bookmarkStart w:id="1179" w:name="Tc_dpVcavN7ekKsVQSpLvN4Vw_1_9"/>
      <w:bookmarkStart w:id="1180" w:name="Tc_TN6Wu4opxkagcZIvfP4XUg_1_6"/>
      <w:bookmarkStart w:id="1181" w:name="Tc__4QkvgRfKEigbqrBOuHSrQ_1_3"/>
      <w:bookmarkStart w:id="1182" w:name="_a93d1a56_e343_4363_94de_cc87afd1eda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r>
        <w:rPr>
          <w:rFonts w:ascii="Arial;Helvetica;sans-serif" w:hAnsi="Arial;Helvetica;sans-serif"/>
          <w:b/>
          <w:sz w:val="20"/>
        </w:rPr>
        <w:t>Six Months Ended June 30, 2025</w:t>
      </w:r>
    </w:p>
    <w:tbl>
      <w:tblPr>
        <w:tblW w:w="10205" w:type="dxa"/>
        <w:jc w:val="left"/>
        <w:tblInd w:w="0" w:type="dxa"/>
        <w:tblLayout w:type="fixed"/>
        <w:tblCellMar>
          <w:top w:w="0" w:type="dxa"/>
          <w:left w:w="0" w:type="dxa"/>
          <w:bottom w:w="0" w:type="dxa"/>
          <w:right w:w="0" w:type="dxa"/>
        </w:tblCellMar>
      </w:tblPr>
      <w:tblGrid>
        <w:gridCol w:w="6152"/>
        <w:gridCol w:w="109"/>
        <w:gridCol w:w="109"/>
        <w:gridCol w:w="255"/>
        <w:gridCol w:w="945"/>
        <w:gridCol w:w="109"/>
        <w:gridCol w:w="237"/>
        <w:gridCol w:w="881"/>
        <w:gridCol w:w="109"/>
        <w:gridCol w:w="211"/>
        <w:gridCol w:w="931"/>
        <w:gridCol w:w="157"/>
      </w:tblGrid>
      <w:tr>
        <w:trPr/>
        <w:tc>
          <w:tcPr>
            <w:tcW w:w="61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3906520" cy="175260"/>
                      <wp:effectExtent l="0" t="0" r="0" b="0"/>
                      <wp:wrapNone/>
                      <wp:docPr id="170" name="Frame170"/>
                      <a:graphic xmlns:a="http://schemas.openxmlformats.org/drawingml/2006/main">
                        <a:graphicData uri="http://schemas.microsoft.com/office/word/2010/wordprocessingShape">
                          <wps:wsp>
                            <wps:cNvSpPr txBox="1"/>
                            <wps:spPr>
                              <a:xfrm>
                                <a:off x="0" y="0"/>
                                <a:ext cx="39065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9215" cy="175260"/>
                      <wp:effectExtent l="0" t="0" r="0" b="0"/>
                      <wp:wrapNone/>
                      <wp:docPr id="171" name="Frame1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9215" cy="175260"/>
                      <wp:effectExtent l="0" t="0" r="0" b="0"/>
                      <wp:wrapNone/>
                      <wp:docPr id="172" name="Frame1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61925" cy="175260"/>
                      <wp:effectExtent l="0" t="0" r="0" b="0"/>
                      <wp:wrapNone/>
                      <wp:docPr id="173" name="Frame173"/>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00075" cy="175260"/>
                      <wp:effectExtent l="0" t="0" r="0" b="0"/>
                      <wp:wrapNone/>
                      <wp:docPr id="174" name="Frame174"/>
                      <a:graphic xmlns:a="http://schemas.openxmlformats.org/drawingml/2006/main">
                        <a:graphicData uri="http://schemas.microsoft.com/office/word/2010/wordprocessingShape">
                          <wps:wsp>
                            <wps:cNvSpPr txBox="1"/>
                            <wps:spPr>
                              <a:xfrm>
                                <a:off x="0" y="0"/>
                                <a:ext cx="6000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9215" cy="175260"/>
                      <wp:effectExtent l="0" t="0" r="0" b="0"/>
                      <wp:wrapNone/>
                      <wp:docPr id="175" name="Frame1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50495" cy="175260"/>
                      <wp:effectExtent l="0" t="0" r="0" b="0"/>
                      <wp:wrapNone/>
                      <wp:docPr id="176" name="Frame176"/>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559435" cy="175260"/>
                      <wp:effectExtent l="0" t="0" r="0" b="0"/>
                      <wp:wrapNone/>
                      <wp:docPr id="177" name="Frame177"/>
                      <a:graphic xmlns:a="http://schemas.openxmlformats.org/drawingml/2006/main">
                        <a:graphicData uri="http://schemas.microsoft.com/office/word/2010/wordprocessingShape">
                          <wps:wsp>
                            <wps:cNvSpPr txBox="1"/>
                            <wps:spPr>
                              <a:xfrm>
                                <a:off x="0" y="0"/>
                                <a:ext cx="559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9215" cy="175260"/>
                      <wp:effectExtent l="0" t="0" r="0" b="0"/>
                      <wp:wrapNone/>
                      <wp:docPr id="178" name="Frame1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33985" cy="175260"/>
                      <wp:effectExtent l="0" t="0" r="0" b="0"/>
                      <wp:wrapNone/>
                      <wp:docPr id="179" name="Frame1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591185" cy="175260"/>
                      <wp:effectExtent l="0" t="0" r="0" b="0"/>
                      <wp:wrapNone/>
                      <wp:docPr id="180" name="Frame18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99695" cy="175260"/>
                      <wp:effectExtent l="0" t="0" r="0" b="0"/>
                      <wp:wrapNone/>
                      <wp:docPr id="181" name="Frame181"/>
                      <a:graphic xmlns:a="http://schemas.openxmlformats.org/drawingml/2006/main">
                        <a:graphicData uri="http://schemas.microsoft.com/office/word/2010/wordprocessingShape">
                          <wps:wsp>
                            <wps:cNvSpPr txBox="1"/>
                            <wps:spPr>
                              <a:xfrm>
                                <a:off x="0" y="0"/>
                                <a:ext cx="996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6152"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20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TTEC Engage</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18"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TTEC Digital</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Total</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6152"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Revenue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45"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826,013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7"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8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221,786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1,047,799</w:t>
            </w:r>
          </w:p>
        </w:tc>
        <w:tc>
          <w:tcPr>
            <w:tcW w:w="157" w:type="dxa"/>
            <w:tcBorders/>
            <w:shd w:fill="CCEEFF" w:val="clear"/>
            <w:vAlign w:val="center"/>
          </w:tcPr>
          <w:p>
            <w:pPr>
              <w:pStyle w:val="TableContents"/>
              <w:bidi w:val="0"/>
              <w:spacing w:lineRule="auto" w:line="285" w:before="0" w:after="0"/>
              <w:ind w:left="0" w:right="0" w:hanging="0"/>
              <w:jc w:val="left"/>
              <w:rPr/>
            </w:pPr>
            <w:r>
              <w:rPr/>
              <w:t>​</w:t>
            </w:r>
          </w:p>
        </w:tc>
      </w:tr>
      <w:tr>
        <w:trPr/>
        <w:tc>
          <w:tcPr>
            <w:tcW w:w="6152" w:type="dxa"/>
            <w:tcBorders/>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8"/>
              </w:rPr>
              <w:t xml:space="preserve">Cost of services (exclusive of depreciation and amortization presented separately below) </w:t>
            </w:r>
            <w:r>
              <w:rPr>
                <w:rFonts w:ascii="Arial;Helvetica;sans-serif" w:hAnsi="Arial;Helvetica;sans-serif"/>
                <w:sz w:val="14"/>
              </w:rPr>
              <w:t>(1)</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pPr>
            <w:r>
              <w:rPr/>
              <w:t>​</w:t>
            </w:r>
          </w:p>
        </w:tc>
        <w:tc>
          <w:tcPr>
            <w:tcW w:w="945"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669,177</w:t>
            </w:r>
          </w:p>
        </w:tc>
        <w:tc>
          <w:tcPr>
            <w:tcW w:w="109" w:type="dxa"/>
            <w:tcBorders/>
            <w:vAlign w:val="center"/>
          </w:tcPr>
          <w:p>
            <w:pPr>
              <w:pStyle w:val="TableContents"/>
              <w:bidi w:val="0"/>
              <w:spacing w:lineRule="auto" w:line="285" w:before="0" w:after="0"/>
              <w:ind w:left="0" w:right="0" w:hanging="0"/>
              <w:jc w:val="left"/>
              <w:rPr/>
            </w:pPr>
            <w:r>
              <w:rPr/>
              <w:t>​</w:t>
            </w:r>
          </w:p>
        </w:tc>
        <w:tc>
          <w:tcPr>
            <w:tcW w:w="237" w:type="dxa"/>
            <w:tcBorders/>
            <w:vAlign w:val="center"/>
          </w:tcPr>
          <w:p>
            <w:pPr>
              <w:pStyle w:val="TableContents"/>
              <w:bidi w:val="0"/>
              <w:spacing w:lineRule="auto" w:line="285" w:before="0" w:after="0"/>
              <w:ind w:left="0" w:right="0" w:hanging="0"/>
              <w:jc w:val="left"/>
              <w:rPr/>
            </w:pPr>
            <w:r>
              <w:rPr/>
              <w:t>​</w:t>
            </w:r>
          </w:p>
        </w:tc>
        <w:tc>
          <w:tcPr>
            <w:tcW w:w="88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144,643</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813,820</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6152"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Selling, general and administrative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left"/>
              <w:rPr/>
            </w:pPr>
            <w:r>
              <w:rPr/>
              <w:t>​</w:t>
            </w:r>
          </w:p>
        </w:tc>
        <w:tc>
          <w:tcPr>
            <w:tcW w:w="945"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94,948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7" w:type="dxa"/>
            <w:tcBorders/>
            <w:shd w:fill="CCEEFF" w:val="clear"/>
            <w:vAlign w:val="center"/>
          </w:tcPr>
          <w:p>
            <w:pPr>
              <w:pStyle w:val="TableContents"/>
              <w:bidi w:val="0"/>
              <w:spacing w:lineRule="auto" w:line="285" w:before="0" w:after="0"/>
              <w:ind w:left="0" w:right="0" w:hanging="0"/>
              <w:jc w:val="left"/>
              <w:rPr/>
            </w:pPr>
            <w:r>
              <w:rPr/>
              <w:t>​</w:t>
            </w:r>
          </w:p>
        </w:tc>
        <w:tc>
          <w:tcPr>
            <w:tcW w:w="88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45,743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140,691</w:t>
            </w:r>
          </w:p>
        </w:tc>
        <w:tc>
          <w:tcPr>
            <w:tcW w:w="157" w:type="dxa"/>
            <w:tcBorders/>
            <w:shd w:fill="CCEEFF" w:val="clear"/>
            <w:vAlign w:val="center"/>
          </w:tcPr>
          <w:p>
            <w:pPr>
              <w:pStyle w:val="TableContents"/>
              <w:bidi w:val="0"/>
              <w:spacing w:lineRule="auto" w:line="285" w:before="0" w:after="0"/>
              <w:ind w:left="0" w:right="0" w:hanging="0"/>
              <w:jc w:val="left"/>
              <w:rPr/>
            </w:pPr>
            <w:r>
              <w:rPr/>
              <w:t>​</w:t>
            </w:r>
          </w:p>
        </w:tc>
      </w:tr>
      <w:tr>
        <w:trPr/>
        <w:tc>
          <w:tcPr>
            <w:tcW w:w="6152"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Depreciation and amortization</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pPr>
            <w:r>
              <w:rPr/>
              <w:t>​</w:t>
            </w:r>
          </w:p>
        </w:tc>
        <w:tc>
          <w:tcPr>
            <w:tcW w:w="945"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32,630</w:t>
            </w:r>
          </w:p>
        </w:tc>
        <w:tc>
          <w:tcPr>
            <w:tcW w:w="109" w:type="dxa"/>
            <w:tcBorders/>
            <w:vAlign w:val="center"/>
          </w:tcPr>
          <w:p>
            <w:pPr>
              <w:pStyle w:val="TableContents"/>
              <w:bidi w:val="0"/>
              <w:spacing w:lineRule="auto" w:line="285" w:before="0" w:after="0"/>
              <w:ind w:left="0" w:right="0" w:hanging="0"/>
              <w:jc w:val="left"/>
              <w:rPr/>
            </w:pPr>
            <w:r>
              <w:rPr/>
              <w:t>​</w:t>
            </w:r>
          </w:p>
        </w:tc>
        <w:tc>
          <w:tcPr>
            <w:tcW w:w="237" w:type="dxa"/>
            <w:tcBorders/>
            <w:vAlign w:val="center"/>
          </w:tcPr>
          <w:p>
            <w:pPr>
              <w:pStyle w:val="TableContents"/>
              <w:bidi w:val="0"/>
              <w:spacing w:lineRule="auto" w:line="285" w:before="0" w:after="0"/>
              <w:ind w:left="0" w:right="0" w:hanging="0"/>
              <w:jc w:val="left"/>
              <w:rPr/>
            </w:pPr>
            <w:r>
              <w:rPr/>
              <w:t>​</w:t>
            </w:r>
          </w:p>
        </w:tc>
        <w:tc>
          <w:tcPr>
            <w:tcW w:w="88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12,956</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45,586</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6152" w:type="dxa"/>
            <w:tcBorders/>
            <w:shd w:fill="CCEEFF" w:val="clear"/>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8"/>
              </w:rPr>
              <w:t>Other segment items</w:t>
            </w:r>
            <w:r>
              <w:rPr>
                <w:rFonts w:ascii="Arial;Helvetica;sans-serif" w:hAnsi="Arial;Helvetica;sans-serif"/>
                <w:sz w:val="14"/>
              </w:rPr>
              <w:t>(2)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4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3,466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1,171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4,637</w:t>
            </w:r>
          </w:p>
        </w:tc>
        <w:tc>
          <w:tcPr>
            <w:tcW w:w="157" w:type="dxa"/>
            <w:tcBorders/>
            <w:shd w:fill="CCEEFF" w:val="clear"/>
            <w:vAlign w:val="center"/>
          </w:tcPr>
          <w:p>
            <w:pPr>
              <w:pStyle w:val="TableContents"/>
              <w:bidi w:val="0"/>
              <w:spacing w:lineRule="auto" w:line="285" w:before="0" w:after="0"/>
              <w:ind w:left="0" w:right="0" w:hanging="0"/>
              <w:jc w:val="left"/>
              <w:rPr/>
            </w:pPr>
            <w:r>
              <w:rPr/>
              <w:t>​</w:t>
            </w:r>
          </w:p>
        </w:tc>
      </w:tr>
      <w:tr>
        <w:trPr/>
        <w:tc>
          <w:tcPr>
            <w:tcW w:w="6152"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Income from operations</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pPr>
            <w:r>
              <w:rPr/>
              <w:t>​</w:t>
            </w:r>
          </w:p>
        </w:tc>
        <w:tc>
          <w:tcPr>
            <w:tcW w:w="945"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25,792</w:t>
            </w:r>
          </w:p>
        </w:tc>
        <w:tc>
          <w:tcPr>
            <w:tcW w:w="109" w:type="dxa"/>
            <w:tcBorders/>
            <w:vAlign w:val="center"/>
          </w:tcPr>
          <w:p>
            <w:pPr>
              <w:pStyle w:val="TableContents"/>
              <w:bidi w:val="0"/>
              <w:spacing w:lineRule="auto" w:line="285" w:before="0" w:after="0"/>
              <w:ind w:left="0" w:right="0" w:hanging="0"/>
              <w:jc w:val="left"/>
              <w:rPr/>
            </w:pPr>
            <w:r>
              <w:rPr/>
              <w:t>​</w:t>
            </w:r>
          </w:p>
        </w:tc>
        <w:tc>
          <w:tcPr>
            <w:tcW w:w="237" w:type="dxa"/>
            <w:tcBorders/>
            <w:vAlign w:val="center"/>
          </w:tcPr>
          <w:p>
            <w:pPr>
              <w:pStyle w:val="TableContents"/>
              <w:bidi w:val="0"/>
              <w:spacing w:lineRule="auto" w:line="285" w:before="0" w:after="0"/>
              <w:ind w:left="0" w:right="0" w:hanging="0"/>
              <w:jc w:val="left"/>
              <w:rPr/>
            </w:pPr>
            <w:r>
              <w:rPr/>
              <w:t>​</w:t>
            </w:r>
          </w:p>
        </w:tc>
        <w:tc>
          <w:tcPr>
            <w:tcW w:w="88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17,273</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43,065</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6152"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Interest income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left"/>
              <w:rPr/>
            </w:pPr>
            <w:r>
              <w:rPr/>
              <w:t>​</w:t>
            </w:r>
          </w:p>
        </w:tc>
        <w:tc>
          <w:tcPr>
            <w:tcW w:w="945"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7" w:type="dxa"/>
            <w:tcBorders/>
            <w:shd w:fill="CCEEFF" w:val="clear"/>
            <w:vAlign w:val="center"/>
          </w:tcPr>
          <w:p>
            <w:pPr>
              <w:pStyle w:val="TableContents"/>
              <w:bidi w:val="0"/>
              <w:spacing w:lineRule="auto" w:line="285" w:before="0" w:after="0"/>
              <w:ind w:left="0" w:right="0" w:hanging="0"/>
              <w:jc w:val="left"/>
              <w:rPr/>
            </w:pPr>
            <w:r>
              <w:rPr/>
              <w:t>​</w:t>
            </w:r>
          </w:p>
        </w:tc>
        <w:tc>
          <w:tcPr>
            <w:tcW w:w="881"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7,797</w:t>
            </w:r>
          </w:p>
        </w:tc>
        <w:tc>
          <w:tcPr>
            <w:tcW w:w="157" w:type="dxa"/>
            <w:tcBorders/>
            <w:shd w:fill="CCEEFF" w:val="clear"/>
            <w:vAlign w:val="center"/>
          </w:tcPr>
          <w:p>
            <w:pPr>
              <w:pStyle w:val="TableContents"/>
              <w:bidi w:val="0"/>
              <w:spacing w:lineRule="auto" w:line="285" w:before="0" w:after="0"/>
              <w:ind w:left="0" w:right="0" w:hanging="0"/>
              <w:jc w:val="left"/>
              <w:rPr/>
            </w:pPr>
            <w:r>
              <w:rPr/>
              <w:t>​</w:t>
            </w:r>
          </w:p>
        </w:tc>
      </w:tr>
      <w:tr>
        <w:trPr/>
        <w:tc>
          <w:tcPr>
            <w:tcW w:w="6152"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Interest expense</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pPr>
            <w:r>
              <w:rPr/>
              <w:t>​</w:t>
            </w:r>
          </w:p>
        </w:tc>
        <w:tc>
          <w:tcPr>
            <w:tcW w:w="945"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37" w:type="dxa"/>
            <w:tcBorders/>
            <w:vAlign w:val="center"/>
          </w:tcPr>
          <w:p>
            <w:pPr>
              <w:pStyle w:val="TableContents"/>
              <w:bidi w:val="0"/>
              <w:spacing w:lineRule="auto" w:line="285" w:before="0" w:after="0"/>
              <w:ind w:left="0" w:right="0" w:hanging="0"/>
              <w:jc w:val="left"/>
              <w:rPr/>
            </w:pPr>
            <w:r>
              <w:rPr/>
              <w:t>​</w:t>
            </w:r>
          </w:p>
        </w:tc>
        <w:tc>
          <w:tcPr>
            <w:tcW w:w="88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(38,030)</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6152"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Other income (expense), net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left"/>
              <w:rPr/>
            </w:pPr>
            <w:r>
              <w:rPr/>
              <w:t>​</w:t>
            </w:r>
          </w:p>
        </w:tc>
        <w:tc>
          <w:tcPr>
            <w:tcW w:w="945"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7" w:type="dxa"/>
            <w:tcBorders/>
            <w:shd w:fill="CCEEFF" w:val="clear"/>
            <w:vAlign w:val="center"/>
          </w:tcPr>
          <w:p>
            <w:pPr>
              <w:pStyle w:val="TableContents"/>
              <w:bidi w:val="0"/>
              <w:spacing w:lineRule="auto" w:line="285" w:before="0" w:after="0"/>
              <w:ind w:left="0" w:right="0" w:hanging="0"/>
              <w:jc w:val="left"/>
              <w:rPr/>
            </w:pPr>
            <w:r>
              <w:rPr/>
              <w:t>​</w:t>
            </w:r>
          </w:p>
        </w:tc>
        <w:tc>
          <w:tcPr>
            <w:tcW w:w="881"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3,293</w:t>
            </w:r>
          </w:p>
        </w:tc>
        <w:tc>
          <w:tcPr>
            <w:tcW w:w="157" w:type="dxa"/>
            <w:tcBorders/>
            <w:shd w:fill="CCEEFF" w:val="clear"/>
            <w:vAlign w:val="center"/>
          </w:tcPr>
          <w:p>
            <w:pPr>
              <w:pStyle w:val="TableContents"/>
              <w:bidi w:val="0"/>
              <w:spacing w:lineRule="auto" w:line="285" w:before="0" w:after="0"/>
              <w:ind w:left="0" w:right="0" w:hanging="0"/>
              <w:jc w:val="left"/>
              <w:rPr/>
            </w:pPr>
            <w:r>
              <w:rPr/>
              <w:t>​</w:t>
            </w:r>
          </w:p>
        </w:tc>
      </w:tr>
      <w:tr>
        <w:trPr/>
        <w:tc>
          <w:tcPr>
            <w:tcW w:w="6152"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Income before income taxes</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pPr>
            <w:r>
              <w:rPr/>
              <w:t>​</w:t>
            </w:r>
          </w:p>
        </w:tc>
        <w:tc>
          <w:tcPr>
            <w:tcW w:w="945"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37" w:type="dxa"/>
            <w:tcBorders/>
            <w:vAlign w:val="center"/>
          </w:tcPr>
          <w:p>
            <w:pPr>
              <w:pStyle w:val="TableContents"/>
              <w:bidi w:val="0"/>
              <w:spacing w:lineRule="auto" w:line="285" w:before="0" w:after="0"/>
              <w:ind w:left="0" w:right="0" w:hanging="0"/>
              <w:jc w:val="left"/>
              <w:rPr/>
            </w:pPr>
            <w:r>
              <w:rPr/>
              <w:t>​</w:t>
            </w:r>
          </w:p>
        </w:tc>
        <w:tc>
          <w:tcPr>
            <w:tcW w:w="88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16,125</w:t>
            </w:r>
          </w:p>
        </w:tc>
        <w:tc>
          <w:tcPr>
            <w:tcW w:w="157"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40" w:before="0" w:after="0"/>
        <w:ind w:left="0" w:right="0" w:hanging="0"/>
        <w:jc w:val="left"/>
        <w:rPr>
          <w:rFonts w:ascii="Arial;Helvetica;sans-serif" w:hAnsi="Arial;Helvetica;sans-serif"/>
          <w:sz w:val="16"/>
        </w:rPr>
      </w:pPr>
      <w:r>
        <w:rPr>
          <w:rFonts w:ascii="Arial;Helvetica;sans-serif" w:hAnsi="Arial;Helvetica;sans-serif"/>
          <w:sz w:val="12"/>
        </w:rPr>
        <w:t>(1)</w:t>
      </w:r>
      <w:r>
        <w:rPr>
          <w:rFonts w:ascii="Arial;Helvetica;sans-serif" w:hAnsi="Arial;Helvetica;sans-serif"/>
          <w:sz w:val="16"/>
        </w:rPr>
        <w:t xml:space="preserve"> Cost of services primarily includes employee related and technology costs.</w:t>
      </w:r>
    </w:p>
    <w:p>
      <w:pPr>
        <w:pStyle w:val="TextBody"/>
        <w:bidi w:val="0"/>
        <w:spacing w:lineRule="auto" w:line="240" w:before="0" w:after="0"/>
        <w:ind w:left="0" w:right="0" w:hanging="0"/>
        <w:jc w:val="left"/>
        <w:rPr>
          <w:rFonts w:ascii="Arial;Helvetica;sans-serif" w:hAnsi="Arial;Helvetica;sans-serif"/>
          <w:sz w:val="16"/>
        </w:rPr>
      </w:pPr>
      <w:r>
        <w:rPr>
          <w:rFonts w:ascii="Arial;Helvetica;sans-serif" w:hAnsi="Arial;Helvetica;sans-serif"/>
          <w:sz w:val="12"/>
        </w:rPr>
        <w:t>(2)</w:t>
      </w:r>
      <w:r>
        <w:rPr>
          <w:rFonts w:ascii="Arial;Helvetica;sans-serif" w:hAnsi="Arial;Helvetica;sans-serif"/>
          <w:sz w:val="16"/>
        </w:rPr>
        <w:t xml:space="preserve"> Other segment items include impairment losses and restructuring charges.</w:t>
      </w:r>
    </w:p>
    <w:p>
      <w:pPr>
        <w:pStyle w:val="TextBody"/>
        <w:bidi w:val="0"/>
        <w:spacing w:lineRule="auto" w:line="285" w:before="0" w:after="0"/>
        <w:ind w:left="0" w:right="0" w:hanging="0"/>
        <w:jc w:val="left"/>
        <w:rPr/>
      </w:pPr>
      <w:r>
        <w:rPr/>
        <w:t>​</w:t>
      </w:r>
    </w:p>
    <w:tbl>
      <w:tblPr>
        <w:tblW w:w="6687" w:type="dxa"/>
        <w:jc w:val="left"/>
        <w:tblInd w:w="0" w:type="dxa"/>
        <w:tblLayout w:type="fixed"/>
        <w:tblCellMar>
          <w:top w:w="0" w:type="dxa"/>
          <w:left w:w="0" w:type="dxa"/>
          <w:bottom w:w="0" w:type="dxa"/>
          <w:right w:w="0" w:type="dxa"/>
        </w:tblCellMar>
      </w:tblPr>
      <w:tblGrid>
        <w:gridCol w:w="1906"/>
        <w:gridCol w:w="109"/>
        <w:gridCol w:w="211"/>
        <w:gridCol w:w="676"/>
        <w:gridCol w:w="346"/>
        <w:gridCol w:w="211"/>
        <w:gridCol w:w="571"/>
        <w:gridCol w:w="346"/>
        <w:gridCol w:w="211"/>
        <w:gridCol w:w="676"/>
        <w:gridCol w:w="346"/>
        <w:gridCol w:w="211"/>
        <w:gridCol w:w="676"/>
        <w:gridCol w:w="191"/>
      </w:tblGrid>
      <w:tr>
        <w:trPr/>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210310" cy="175260"/>
                      <wp:effectExtent l="0" t="0" r="0" b="0"/>
                      <wp:wrapNone/>
                      <wp:docPr id="182" name="Frame182"/>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9215" cy="175260"/>
                      <wp:effectExtent l="0" t="0" r="0" b="0"/>
                      <wp:wrapNone/>
                      <wp:docPr id="183" name="Frame1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33985" cy="175260"/>
                      <wp:effectExtent l="0" t="0" r="0" b="0"/>
                      <wp:wrapNone/>
                      <wp:docPr id="184" name="Frame1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429260" cy="175260"/>
                      <wp:effectExtent l="0" t="0" r="0" b="0"/>
                      <wp:wrapNone/>
                      <wp:docPr id="185" name="Frame18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19710" cy="175260"/>
                      <wp:effectExtent l="0" t="0" r="0" b="0"/>
                      <wp:wrapNone/>
                      <wp:docPr id="186" name="Frame1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33985" cy="175260"/>
                      <wp:effectExtent l="0" t="0" r="0" b="0"/>
                      <wp:wrapNone/>
                      <wp:docPr id="187" name="Frame1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362585" cy="175260"/>
                      <wp:effectExtent l="0" t="0" r="0" b="0"/>
                      <wp:wrapNone/>
                      <wp:docPr id="188" name="Frame18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9710" cy="175260"/>
                      <wp:effectExtent l="0" t="0" r="0" b="0"/>
                      <wp:wrapNone/>
                      <wp:docPr id="189" name="Frame1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33985" cy="175260"/>
                      <wp:effectExtent l="0" t="0" r="0" b="0"/>
                      <wp:wrapNone/>
                      <wp:docPr id="190" name="Frame1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429260" cy="175260"/>
                      <wp:effectExtent l="0" t="0" r="0" b="0"/>
                      <wp:wrapNone/>
                      <wp:docPr id="191" name="Frame19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9710" cy="175260"/>
                      <wp:effectExtent l="0" t="0" r="0" b="0"/>
                      <wp:wrapNone/>
                      <wp:docPr id="192" name="Frame1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33985" cy="175260"/>
                      <wp:effectExtent l="0" t="0" r="0" b="0"/>
                      <wp:wrapNone/>
                      <wp:docPr id="193" name="Frame1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429260" cy="175260"/>
                      <wp:effectExtent l="0" t="0" r="0" b="0"/>
                      <wp:wrapNone/>
                      <wp:docPr id="194" name="Frame19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21285" cy="175260"/>
                      <wp:effectExtent l="0" t="0" r="0" b="0"/>
                      <wp:wrapNone/>
                      <wp:docPr id="195" name="Frame195"/>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90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015" w:type="dxa"/>
            <w:gridSpan w:val="5"/>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Three Months Ended </w:t>
            </w:r>
          </w:p>
        </w:tc>
        <w:tc>
          <w:tcPr>
            <w:tcW w:w="346" w:type="dxa"/>
            <w:tcBorders/>
            <w:vAlign w:val="center"/>
          </w:tcPr>
          <w:p>
            <w:pPr>
              <w:pStyle w:val="TableContents"/>
              <w:bidi w:val="0"/>
              <w:spacing w:lineRule="auto" w:line="285" w:before="0" w:after="0"/>
              <w:ind w:left="0" w:right="0" w:hanging="0"/>
              <w:jc w:val="left"/>
              <w:rPr/>
            </w:pPr>
            <w:r>
              <w:rPr/>
              <w:t>​</w:t>
            </w:r>
          </w:p>
        </w:tc>
        <w:tc>
          <w:tcPr>
            <w:tcW w:w="2120" w:type="dxa"/>
            <w:gridSpan w:val="5"/>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Six Months Ended </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190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01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c>
          <w:tcPr>
            <w:tcW w:w="346" w:type="dxa"/>
            <w:tcBorders/>
            <w:vAlign w:val="center"/>
          </w:tcPr>
          <w:p>
            <w:pPr>
              <w:pStyle w:val="TableContents"/>
              <w:bidi w:val="0"/>
              <w:spacing w:lineRule="auto" w:line="285" w:before="0" w:after="0"/>
              <w:ind w:left="0" w:right="0" w:hanging="0"/>
              <w:jc w:val="center"/>
              <w:rPr/>
            </w:pPr>
            <w:r>
              <w:rPr/>
              <w:t>​</w:t>
            </w:r>
          </w:p>
        </w:tc>
        <w:tc>
          <w:tcPr>
            <w:tcW w:w="212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c>
          <w:tcPr>
            <w:tcW w:w="191" w:type="dxa"/>
            <w:tcBorders/>
            <w:vAlign w:val="center"/>
          </w:tcPr>
          <w:p>
            <w:pPr>
              <w:pStyle w:val="TableContents"/>
              <w:bidi w:val="0"/>
              <w:spacing w:lineRule="auto" w:line="285" w:before="0" w:after="0"/>
              <w:ind w:left="0" w:right="0" w:hanging="0"/>
              <w:jc w:val="center"/>
              <w:rPr/>
            </w:pPr>
            <w:r>
              <w:rPr/>
              <w:t>​</w:t>
            </w:r>
          </w:p>
        </w:tc>
      </w:tr>
      <w:tr>
        <w:trPr/>
        <w:tc>
          <w:tcPr>
            <w:tcW w:w="190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346" w:type="dxa"/>
            <w:tcBorders/>
            <w:vAlign w:val="center"/>
          </w:tcPr>
          <w:p>
            <w:pPr>
              <w:pStyle w:val="TableContents"/>
              <w:bidi w:val="0"/>
              <w:spacing w:lineRule="auto" w:line="285"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46" w:type="dxa"/>
            <w:tcBorders/>
            <w:vAlign w:val="center"/>
          </w:tcPr>
          <w:p>
            <w:pPr>
              <w:pStyle w:val="TableContents"/>
              <w:bidi w:val="0"/>
              <w:spacing w:lineRule="auto" w:line="285"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346" w:type="dxa"/>
            <w:tcBorders/>
            <w:vAlign w:val="center"/>
          </w:tcPr>
          <w:p>
            <w:pPr>
              <w:pStyle w:val="TableContents"/>
              <w:bidi w:val="0"/>
              <w:spacing w:lineRule="auto" w:line="285"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190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Capital Expenditures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67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57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67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right"/>
              <w:rPr/>
            </w:pPr>
            <w:r>
              <w:rPr/>
              <w:t>​</w:t>
            </w:r>
          </w:p>
        </w:tc>
      </w:tr>
      <w:tr>
        <w:trPr/>
        <w:tc>
          <w:tcPr>
            <w:tcW w:w="190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TTEC Digital</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76"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2,783</w:t>
            </w:r>
          </w:p>
        </w:tc>
        <w:tc>
          <w:tcPr>
            <w:tcW w:w="34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57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1,554</w:t>
            </w:r>
          </w:p>
        </w:tc>
        <w:tc>
          <w:tcPr>
            <w:tcW w:w="34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76"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5,141</w:t>
            </w:r>
          </w:p>
        </w:tc>
        <w:tc>
          <w:tcPr>
            <w:tcW w:w="34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76"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3,660</w:t>
            </w:r>
          </w:p>
        </w:tc>
        <w:tc>
          <w:tcPr>
            <w:tcW w:w="191" w:type="dxa"/>
            <w:tcBorders/>
            <w:vAlign w:val="center"/>
          </w:tcPr>
          <w:p>
            <w:pPr>
              <w:pStyle w:val="TableContents"/>
              <w:bidi w:val="0"/>
              <w:spacing w:lineRule="auto" w:line="285" w:before="0" w:after="0"/>
              <w:ind w:left="0" w:right="0" w:hanging="0"/>
              <w:jc w:val="right"/>
              <w:rPr/>
            </w:pPr>
            <w:r>
              <w:rPr/>
              <w:t>​</w:t>
            </w:r>
          </w:p>
        </w:tc>
      </w:tr>
      <w:tr>
        <w:trPr/>
        <w:tc>
          <w:tcPr>
            <w:tcW w:w="190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TTEC Engage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6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9,857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57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5,627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6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13,899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8,927</w:t>
            </w:r>
          </w:p>
        </w:tc>
        <w:tc>
          <w:tcPr>
            <w:tcW w:w="191" w:type="dxa"/>
            <w:tcBorders/>
            <w:shd w:fill="CCEEFF" w:val="clear"/>
            <w:vAlign w:val="center"/>
          </w:tcPr>
          <w:p>
            <w:pPr>
              <w:pStyle w:val="TableContents"/>
              <w:bidi w:val="0"/>
              <w:spacing w:lineRule="auto" w:line="285" w:before="0" w:after="0"/>
              <w:ind w:left="0" w:right="0" w:hanging="0"/>
              <w:jc w:val="right"/>
              <w:rPr/>
            </w:pPr>
            <w:r>
              <w:rPr/>
              <w:t>​</w:t>
            </w:r>
          </w:p>
        </w:tc>
      </w:tr>
      <w:tr>
        <w:trPr/>
        <w:tc>
          <w:tcPr>
            <w:tcW w:w="190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Total</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7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12,640</w:t>
            </w:r>
          </w:p>
        </w:tc>
        <w:tc>
          <w:tcPr>
            <w:tcW w:w="346" w:type="dxa"/>
            <w:tcBorders/>
            <w:vAlign w:val="center"/>
          </w:tcPr>
          <w:p>
            <w:pPr>
              <w:pStyle w:val="TableContents"/>
              <w:bidi w:val="0"/>
              <w:spacing w:lineRule="auto" w:line="285"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57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7,181</w:t>
            </w:r>
          </w:p>
        </w:tc>
        <w:tc>
          <w:tcPr>
            <w:tcW w:w="346" w:type="dxa"/>
            <w:tcBorders/>
            <w:vAlign w:val="center"/>
          </w:tcPr>
          <w:p>
            <w:pPr>
              <w:pStyle w:val="TableContents"/>
              <w:bidi w:val="0"/>
              <w:spacing w:lineRule="auto" w:line="285"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7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19,040</w:t>
            </w:r>
          </w:p>
        </w:tc>
        <w:tc>
          <w:tcPr>
            <w:tcW w:w="346" w:type="dxa"/>
            <w:tcBorders/>
            <w:vAlign w:val="center"/>
          </w:tcPr>
          <w:p>
            <w:pPr>
              <w:pStyle w:val="TableContents"/>
              <w:bidi w:val="0"/>
              <w:spacing w:lineRule="auto" w:line="285"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7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12,587</w:t>
            </w:r>
          </w:p>
        </w:tc>
        <w:tc>
          <w:tcPr>
            <w:tcW w:w="191" w:type="dxa"/>
            <w:tcBorders/>
            <w:vAlign w:val="center"/>
          </w:tcPr>
          <w:p>
            <w:pPr>
              <w:pStyle w:val="TableContents"/>
              <w:bidi w:val="0"/>
              <w:spacing w:lineRule="auto" w:line="285" w:before="0" w:after="0"/>
              <w:ind w:left="0" w:right="0" w:hanging="0"/>
              <w:jc w:val="right"/>
              <w:rPr/>
            </w:pPr>
            <w:r>
              <w:rPr/>
              <w:t>​</w:t>
            </w:r>
          </w:p>
        </w:tc>
      </w:tr>
    </w:tbl>
    <w:p>
      <w:pPr>
        <w:pStyle w:val="TextBody"/>
        <w:bidi w:val="0"/>
        <w:spacing w:lineRule="auto" w:line="285" w:before="0" w:after="0"/>
        <w:ind w:left="0" w:right="0" w:hanging="0"/>
        <w:jc w:val="left"/>
        <w:rPr/>
      </w:pPr>
      <w:r>
        <w:rPr/>
        <w:t>​</w:t>
      </w:r>
    </w:p>
    <w:tbl>
      <w:tblPr>
        <w:tblW w:w="5054" w:type="dxa"/>
        <w:jc w:val="left"/>
        <w:tblInd w:w="0" w:type="dxa"/>
        <w:tblLayout w:type="fixed"/>
        <w:tblCellMar>
          <w:top w:w="0" w:type="dxa"/>
          <w:left w:w="0" w:type="dxa"/>
          <w:bottom w:w="0" w:type="dxa"/>
          <w:right w:w="0" w:type="dxa"/>
        </w:tblCellMar>
      </w:tblPr>
      <w:tblGrid>
        <w:gridCol w:w="1276"/>
        <w:gridCol w:w="109"/>
        <w:gridCol w:w="109"/>
        <w:gridCol w:w="238"/>
        <w:gridCol w:w="1052"/>
        <w:gridCol w:w="346"/>
        <w:gridCol w:w="327"/>
        <w:gridCol w:w="1443"/>
        <w:gridCol w:w="154"/>
      </w:tblGrid>
      <w:tr>
        <w:trPr/>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810260" cy="175260"/>
                      <wp:effectExtent l="0" t="0" r="0" b="0"/>
                      <wp:wrapNone/>
                      <wp:docPr id="196" name="Frame196"/>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9215" cy="175260"/>
                      <wp:effectExtent l="0" t="0" r="0" b="0"/>
                      <wp:wrapNone/>
                      <wp:docPr id="197" name="Frame1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9215" cy="175260"/>
                      <wp:effectExtent l="0" t="0" r="0" b="0"/>
                      <wp:wrapNone/>
                      <wp:docPr id="198" name="Frame1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51130" cy="175260"/>
                      <wp:effectExtent l="0" t="0" r="0" b="0"/>
                      <wp:wrapNone/>
                      <wp:docPr id="199" name="Frame199"/>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68020" cy="175260"/>
                      <wp:effectExtent l="0" t="0" r="0" b="0"/>
                      <wp:wrapNone/>
                      <wp:docPr id="200" name="Frame200"/>
                      <a:graphic xmlns:a="http://schemas.openxmlformats.org/drawingml/2006/main">
                        <a:graphicData uri="http://schemas.microsoft.com/office/word/2010/wordprocessingShape">
                          <wps:wsp>
                            <wps:cNvSpPr txBox="1"/>
                            <wps:spPr>
                              <a:xfrm>
                                <a:off x="0" y="0"/>
                                <a:ext cx="6680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19710" cy="175260"/>
                      <wp:effectExtent l="0" t="0" r="0" b="0"/>
                      <wp:wrapNone/>
                      <wp:docPr id="201" name="Frame2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7645" cy="175260"/>
                      <wp:effectExtent l="0" t="0" r="0" b="0"/>
                      <wp:wrapNone/>
                      <wp:docPr id="202" name="Frame202"/>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916305" cy="175260"/>
                      <wp:effectExtent l="0" t="0" r="0" b="0"/>
                      <wp:wrapNone/>
                      <wp:docPr id="203" name="Frame203"/>
                      <a:graphic xmlns:a="http://schemas.openxmlformats.org/drawingml/2006/main">
                        <a:graphicData uri="http://schemas.microsoft.com/office/word/2010/wordprocessingShape">
                          <wps:wsp>
                            <wps:cNvSpPr txBox="1"/>
                            <wps:spPr>
                              <a:xfrm>
                                <a:off x="0" y="0"/>
                                <a:ext cx="9163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97790" cy="175260"/>
                      <wp:effectExtent l="0" t="0" r="0" b="0"/>
                      <wp:wrapNone/>
                      <wp:docPr id="204" name="Frame20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27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29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June 30, 2026</w:t>
            </w:r>
          </w:p>
        </w:tc>
        <w:tc>
          <w:tcPr>
            <w:tcW w:w="346" w:type="dxa"/>
            <w:tcBorders/>
            <w:vAlign w:val="center"/>
          </w:tcPr>
          <w:p>
            <w:pPr>
              <w:pStyle w:val="TableContents"/>
              <w:bidi w:val="0"/>
              <w:spacing w:lineRule="auto" w:line="285" w:before="0" w:after="0"/>
              <w:ind w:left="0" w:right="0" w:hanging="0"/>
              <w:jc w:val="center"/>
              <w:rPr/>
            </w:pPr>
            <w:r>
              <w:rPr/>
              <w:t>  ​ ​ ​</w:t>
            </w:r>
          </w:p>
        </w:tc>
        <w:tc>
          <w:tcPr>
            <w:tcW w:w="177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December 31, 2025</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127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Total Assets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shd w:fill="CCEEFF" w:val="clear"/>
            <w:vAlign w:val="center"/>
          </w:tcPr>
          <w:p>
            <w:pPr>
              <w:pStyle w:val="TableContents"/>
              <w:bidi w:val="0"/>
              <w:spacing w:lineRule="auto" w:line="285" w:before="0" w:after="0"/>
              <w:ind w:left="0" w:right="0" w:hanging="0"/>
              <w:jc w:val="left"/>
              <w:rPr/>
            </w:pPr>
            <w:r>
              <w:rPr/>
              <w:t>​</w:t>
            </w:r>
          </w:p>
        </w:tc>
        <w:tc>
          <w:tcPr>
            <w:tcW w:w="1052"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27" w:type="dxa"/>
            <w:tcBorders/>
            <w:shd w:fill="CCEEFF" w:val="clear"/>
            <w:vAlign w:val="center"/>
          </w:tcPr>
          <w:p>
            <w:pPr>
              <w:pStyle w:val="TableContents"/>
              <w:bidi w:val="0"/>
              <w:spacing w:lineRule="auto" w:line="285" w:before="0" w:after="0"/>
              <w:ind w:left="0" w:right="0" w:hanging="0"/>
              <w:jc w:val="left"/>
              <w:rPr/>
            </w:pPr>
            <w:r>
              <w:rPr/>
              <w:t>​</w:t>
            </w:r>
          </w:p>
        </w:tc>
        <w:tc>
          <w:tcPr>
            <w:tcW w:w="1443" w:type="dxa"/>
            <w:tcBorders/>
            <w:shd w:fill="CCEEFF" w:val="clear"/>
            <w:vAlign w:val="center"/>
          </w:tcPr>
          <w:p>
            <w:pPr>
              <w:pStyle w:val="TableContents"/>
              <w:bidi w:val="0"/>
              <w:spacing w:lineRule="auto" w:line="285" w:before="0" w:after="0"/>
              <w:ind w:left="0" w:right="0" w:hanging="0"/>
              <w:jc w:val="left"/>
              <w:rPr/>
            </w:pPr>
            <w:r>
              <w:rPr/>
              <w:t>​</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r>
        <w:trPr/>
        <w:tc>
          <w:tcPr>
            <w:tcW w:w="127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TTEC Digital</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38"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52"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543,623</w:t>
            </w:r>
          </w:p>
        </w:tc>
        <w:tc>
          <w:tcPr>
            <w:tcW w:w="346" w:type="dxa"/>
            <w:tcBorders/>
            <w:vAlign w:val="center"/>
          </w:tcPr>
          <w:p>
            <w:pPr>
              <w:pStyle w:val="TableContents"/>
              <w:bidi w:val="0"/>
              <w:spacing w:lineRule="auto" w:line="285" w:before="0" w:after="0"/>
              <w:ind w:left="0" w:right="0" w:hanging="0"/>
              <w:jc w:val="left"/>
              <w:rPr/>
            </w:pPr>
            <w:r>
              <w:rPr/>
              <w:t> </w:t>
            </w:r>
          </w:p>
        </w:tc>
        <w:tc>
          <w:tcPr>
            <w:tcW w:w="327"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443"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566,057</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127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TTEC Engage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105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830,024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2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144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933,025</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r>
        <w:trPr/>
        <w:tc>
          <w:tcPr>
            <w:tcW w:w="127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Total</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5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1,373,647</w:t>
            </w:r>
          </w:p>
        </w:tc>
        <w:tc>
          <w:tcPr>
            <w:tcW w:w="346" w:type="dxa"/>
            <w:tcBorders/>
            <w:vAlign w:val="center"/>
          </w:tcPr>
          <w:p>
            <w:pPr>
              <w:pStyle w:val="TableContents"/>
              <w:bidi w:val="0"/>
              <w:spacing w:lineRule="auto" w:line="285" w:before="0" w:after="0"/>
              <w:ind w:left="0" w:right="0" w:hanging="0"/>
              <w:jc w:val="left"/>
              <w:rPr/>
            </w:pPr>
            <w:r>
              <w:rPr/>
              <w:t> </w:t>
            </w:r>
          </w:p>
        </w:tc>
        <w:tc>
          <w:tcPr>
            <w:tcW w:w="327"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44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1,499,082</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1276"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shd w:fill="CCEEFF" w:val="clear"/>
            <w:vAlign w:val="center"/>
          </w:tcPr>
          <w:p>
            <w:pPr>
              <w:pStyle w:val="TableContents"/>
              <w:bidi w:val="0"/>
              <w:spacing w:lineRule="auto" w:line="285" w:before="0" w:after="0"/>
              <w:ind w:left="0" w:right="0" w:hanging="0"/>
              <w:jc w:val="left"/>
              <w:rPr/>
            </w:pPr>
            <w:r>
              <w:rPr/>
              <w:t>​</w:t>
            </w:r>
          </w:p>
        </w:tc>
        <w:tc>
          <w:tcPr>
            <w:tcW w:w="1052"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27" w:type="dxa"/>
            <w:tcBorders/>
            <w:shd w:fill="CCEEFF" w:val="clear"/>
            <w:vAlign w:val="center"/>
          </w:tcPr>
          <w:p>
            <w:pPr>
              <w:pStyle w:val="TableContents"/>
              <w:bidi w:val="0"/>
              <w:spacing w:lineRule="auto" w:line="285" w:before="0" w:after="0"/>
              <w:ind w:left="0" w:right="0" w:hanging="0"/>
              <w:jc w:val="left"/>
              <w:rPr/>
            </w:pPr>
            <w:r>
              <w:rPr/>
              <w:t>​</w:t>
            </w:r>
          </w:p>
        </w:tc>
        <w:tc>
          <w:tcPr>
            <w:tcW w:w="1443" w:type="dxa"/>
            <w:tcBorders/>
            <w:shd w:fill="CCEEFF" w:val="clear"/>
            <w:vAlign w:val="center"/>
          </w:tcPr>
          <w:p>
            <w:pPr>
              <w:pStyle w:val="TableContents"/>
              <w:bidi w:val="0"/>
              <w:spacing w:lineRule="auto" w:line="285" w:before="0" w:after="0"/>
              <w:ind w:left="0" w:right="0" w:hanging="0"/>
              <w:jc w:val="left"/>
              <w:rPr/>
            </w:pPr>
            <w:r>
              <w:rPr/>
              <w:t>​</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 following table presents revenue based upon the geographic location where the services are provided (in thousands):</w:t>
      </w:r>
    </w:p>
    <w:tbl>
      <w:tblPr>
        <w:tblW w:w="8650" w:type="dxa"/>
        <w:jc w:val="left"/>
        <w:tblInd w:w="0" w:type="dxa"/>
        <w:tblLayout w:type="fixed"/>
        <w:tblCellMar>
          <w:top w:w="0" w:type="dxa"/>
          <w:left w:w="0" w:type="dxa"/>
          <w:bottom w:w="0" w:type="dxa"/>
          <w:right w:w="0" w:type="dxa"/>
        </w:tblCellMar>
      </w:tblPr>
      <w:tblGrid>
        <w:gridCol w:w="2656"/>
        <w:gridCol w:w="346"/>
        <w:gridCol w:w="241"/>
        <w:gridCol w:w="895"/>
        <w:gridCol w:w="396"/>
        <w:gridCol w:w="241"/>
        <w:gridCol w:w="895"/>
        <w:gridCol w:w="346"/>
        <w:gridCol w:w="211"/>
        <w:gridCol w:w="781"/>
        <w:gridCol w:w="346"/>
        <w:gridCol w:w="211"/>
        <w:gridCol w:w="931"/>
        <w:gridCol w:w="154"/>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686560" cy="175260"/>
                      <wp:effectExtent l="0" t="0" r="0" b="0"/>
                      <wp:wrapNone/>
                      <wp:docPr id="205" name="Frame205"/>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19710" cy="175260"/>
                      <wp:effectExtent l="0" t="0" r="0" b="0"/>
                      <wp:wrapNone/>
                      <wp:docPr id="206" name="Frame2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53035" cy="175260"/>
                      <wp:effectExtent l="0" t="0" r="0" b="0"/>
                      <wp:wrapNone/>
                      <wp:docPr id="207" name="Frame207"/>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568325" cy="175260"/>
                      <wp:effectExtent l="0" t="0" r="0" b="0"/>
                      <wp:wrapNone/>
                      <wp:docPr id="208" name="Frame208"/>
                      <a:graphic xmlns:a="http://schemas.openxmlformats.org/drawingml/2006/main">
                        <a:graphicData uri="http://schemas.microsoft.com/office/word/2010/wordprocessingShape">
                          <wps:wsp>
                            <wps:cNvSpPr txBox="1"/>
                            <wps:spPr>
                              <a:xfrm>
                                <a:off x="0" y="0"/>
                                <a:ext cx="5683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51460" cy="175260"/>
                      <wp:effectExtent l="0" t="0" r="0" b="0"/>
                      <wp:wrapNone/>
                      <wp:docPr id="209" name="Frame209"/>
                      <a:graphic xmlns:a="http://schemas.openxmlformats.org/drawingml/2006/main">
                        <a:graphicData uri="http://schemas.microsoft.com/office/word/2010/wordprocessingShape">
                          <wps:wsp>
                            <wps:cNvSpPr txBox="1"/>
                            <wps:spPr>
                              <a:xfrm>
                                <a:off x="0" y="0"/>
                                <a:ext cx="251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53035" cy="175260"/>
                      <wp:effectExtent l="0" t="0" r="0" b="0"/>
                      <wp:wrapNone/>
                      <wp:docPr id="210" name="Frame210"/>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568325" cy="175260"/>
                      <wp:effectExtent l="0" t="0" r="0" b="0"/>
                      <wp:wrapNone/>
                      <wp:docPr id="211" name="Frame211"/>
                      <a:graphic xmlns:a="http://schemas.openxmlformats.org/drawingml/2006/main">
                        <a:graphicData uri="http://schemas.microsoft.com/office/word/2010/wordprocessingShape">
                          <wps:wsp>
                            <wps:cNvSpPr txBox="1"/>
                            <wps:spPr>
                              <a:xfrm>
                                <a:off x="0" y="0"/>
                                <a:ext cx="5683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19710" cy="175260"/>
                      <wp:effectExtent l="0" t="0" r="0" b="0"/>
                      <wp:wrapNone/>
                      <wp:docPr id="212" name="Frame2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33985" cy="175260"/>
                      <wp:effectExtent l="0" t="0" r="0" b="0"/>
                      <wp:wrapNone/>
                      <wp:docPr id="213" name="Frame2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495935" cy="175260"/>
                      <wp:effectExtent l="0" t="0" r="0" b="0"/>
                      <wp:wrapNone/>
                      <wp:docPr id="214" name="Frame21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9710" cy="175260"/>
                      <wp:effectExtent l="0" t="0" r="0" b="0"/>
                      <wp:wrapNone/>
                      <wp:docPr id="215" name="Frame2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33985" cy="175260"/>
                      <wp:effectExtent l="0" t="0" r="0" b="0"/>
                      <wp:wrapNone/>
                      <wp:docPr id="216" name="Frame2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591185" cy="175260"/>
                      <wp:effectExtent l="0" t="0" r="0" b="0"/>
                      <wp:wrapNone/>
                      <wp:docPr id="217" name="Frame21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97790" cy="175260"/>
                      <wp:effectExtent l="0" t="0" r="0" b="0"/>
                      <wp:wrapNone/>
                      <wp:docPr id="218" name="Frame21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266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xml:space="preserve">Three Months Ended June 30, </w:t>
            </w:r>
          </w:p>
        </w:tc>
        <w:tc>
          <w:tcPr>
            <w:tcW w:w="346" w:type="dxa"/>
            <w:tcBorders/>
            <w:vAlign w:val="center"/>
          </w:tcPr>
          <w:p>
            <w:pPr>
              <w:pStyle w:val="TableContents"/>
              <w:bidi w:val="0"/>
              <w:spacing w:lineRule="auto" w:line="285" w:before="0" w:after="0"/>
              <w:ind w:left="0" w:right="0" w:hanging="0"/>
              <w:jc w:val="left"/>
              <w:rPr/>
            </w:pPr>
            <w:r>
              <w:rPr/>
              <w:t>​</w:t>
            </w:r>
          </w:p>
        </w:tc>
        <w:tc>
          <w:tcPr>
            <w:tcW w:w="248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xml:space="preserve">Six Months Ended June 30, </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265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13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396" w:type="dxa"/>
            <w:tcBorders/>
            <w:vAlign w:val="center"/>
          </w:tcPr>
          <w:p>
            <w:pPr>
              <w:pStyle w:val="TableContents"/>
              <w:bidi w:val="0"/>
              <w:spacing w:lineRule="auto" w:line="285" w:before="0" w:after="0"/>
              <w:ind w:left="0" w:right="0" w:hanging="0"/>
              <w:jc w:val="center"/>
              <w:rPr/>
            </w:pPr>
            <w:r>
              <w:rPr/>
              <w:t>  ​ ​ ​</w:t>
            </w:r>
          </w:p>
        </w:tc>
        <w:tc>
          <w:tcPr>
            <w:tcW w:w="113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46" w:type="dxa"/>
            <w:tcBorders/>
            <w:vAlign w:val="center"/>
          </w:tcPr>
          <w:p>
            <w:pPr>
              <w:pStyle w:val="TableContents"/>
              <w:bidi w:val="0"/>
              <w:spacing w:lineRule="auto" w:line="285"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346" w:type="dxa"/>
            <w:tcBorders/>
            <w:vAlign w:val="center"/>
          </w:tcPr>
          <w:p>
            <w:pPr>
              <w:pStyle w:val="TableContents"/>
              <w:bidi w:val="0"/>
              <w:spacing w:lineRule="auto" w:line="285"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265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Revenue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1" w:type="dxa"/>
            <w:tcBorders/>
            <w:shd w:fill="CCEEFF" w:val="clear"/>
            <w:vAlign w:val="center"/>
          </w:tcPr>
          <w:p>
            <w:pPr>
              <w:pStyle w:val="TableContents"/>
              <w:bidi w:val="0"/>
              <w:spacing w:lineRule="auto" w:line="285" w:before="0" w:after="0"/>
              <w:ind w:left="0" w:right="0" w:hanging="0"/>
              <w:jc w:val="left"/>
              <w:rPr/>
            </w:pPr>
            <w:r>
              <w:rPr/>
              <w:t>​</w:t>
            </w:r>
          </w:p>
        </w:tc>
        <w:tc>
          <w:tcPr>
            <w:tcW w:w="895" w:type="dxa"/>
            <w:tcBorders/>
            <w:shd w:fill="CCEEFF" w:val="clear"/>
            <w:vAlign w:val="center"/>
          </w:tcPr>
          <w:p>
            <w:pPr>
              <w:pStyle w:val="TableContents"/>
              <w:bidi w:val="0"/>
              <w:spacing w:lineRule="auto" w:line="285" w:before="0" w:after="0"/>
              <w:ind w:left="0" w:right="0" w:hanging="0"/>
              <w:jc w:val="left"/>
              <w:rPr/>
            </w:pPr>
            <w:r>
              <w:rPr/>
              <w:t>​</w:t>
            </w:r>
          </w:p>
        </w:tc>
        <w:tc>
          <w:tcPr>
            <w:tcW w:w="396" w:type="dxa"/>
            <w:tcBorders/>
            <w:shd w:fill="CCEEFF" w:val="clear"/>
            <w:vAlign w:val="center"/>
          </w:tcPr>
          <w:p>
            <w:pPr>
              <w:pStyle w:val="TableContents"/>
              <w:bidi w:val="0"/>
              <w:spacing w:lineRule="auto" w:line="285" w:before="0" w:after="0"/>
              <w:ind w:left="0" w:right="0" w:hanging="0"/>
              <w:jc w:val="left"/>
              <w:rPr/>
            </w:pPr>
            <w:r>
              <w:rPr/>
              <w:t>​</w:t>
            </w:r>
          </w:p>
        </w:tc>
        <w:tc>
          <w:tcPr>
            <w:tcW w:w="241" w:type="dxa"/>
            <w:tcBorders/>
            <w:shd w:fill="CCEEFF" w:val="clear"/>
            <w:vAlign w:val="center"/>
          </w:tcPr>
          <w:p>
            <w:pPr>
              <w:pStyle w:val="TableContents"/>
              <w:bidi w:val="0"/>
              <w:spacing w:lineRule="auto" w:line="285" w:before="0" w:after="0"/>
              <w:ind w:left="0" w:right="0" w:hanging="0"/>
              <w:jc w:val="left"/>
              <w:rPr/>
            </w:pPr>
            <w:r>
              <w:rPr/>
              <w:t>​</w:t>
            </w:r>
          </w:p>
        </w:tc>
        <w:tc>
          <w:tcPr>
            <w:tcW w:w="895"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left"/>
              <w:rPr/>
            </w:pPr>
            <w:r>
              <w:rPr/>
              <w:t>​</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r>
        <w:trPr/>
        <w:tc>
          <w:tcPr>
            <w:tcW w:w="265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United States / Canada</w:t>
            </w:r>
          </w:p>
        </w:tc>
        <w:tc>
          <w:tcPr>
            <w:tcW w:w="346"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95"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277,854</w:t>
            </w:r>
          </w:p>
        </w:tc>
        <w:tc>
          <w:tcPr>
            <w:tcW w:w="396" w:type="dxa"/>
            <w:tcBorders/>
            <w:vAlign w:val="center"/>
          </w:tcPr>
          <w:p>
            <w:pPr>
              <w:pStyle w:val="TableContents"/>
              <w:bidi w:val="0"/>
              <w:spacing w:lineRule="auto" w:line="285" w:before="0" w:after="0"/>
              <w:ind w:left="0" w:right="0" w:hanging="0"/>
              <w:jc w:val="center"/>
              <w:rPr/>
            </w:pPr>
            <w:r>
              <w:rPr/>
              <w:t>​</w:t>
            </w:r>
          </w:p>
        </w:tc>
        <w:tc>
          <w:tcPr>
            <w:tcW w:w="24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95"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346,216</w:t>
            </w:r>
          </w:p>
        </w:tc>
        <w:tc>
          <w:tcPr>
            <w:tcW w:w="346" w:type="dxa"/>
            <w:tcBorders/>
            <w:vAlign w:val="center"/>
          </w:tcPr>
          <w:p>
            <w:pPr>
              <w:pStyle w:val="TableContents"/>
              <w:bidi w:val="0"/>
              <w:spacing w:lineRule="auto" w:line="285" w:before="0" w:after="0"/>
              <w:ind w:left="0" w:right="0" w:hanging="0"/>
              <w:jc w:val="center"/>
              <w:rPr/>
            </w:pPr>
            <w:r>
              <w:rPr/>
              <w:t> </w:t>
            </w:r>
          </w:p>
        </w:tc>
        <w:tc>
          <w:tcPr>
            <w:tcW w:w="21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587,819</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715,245</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65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Philippines / Asia Pacific / India</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1" w:type="dxa"/>
            <w:tcBorders/>
            <w:shd w:fill="CCEEFF" w:val="clear"/>
            <w:vAlign w:val="center"/>
          </w:tcPr>
          <w:p>
            <w:pPr>
              <w:pStyle w:val="TableContents"/>
              <w:bidi w:val="0"/>
              <w:spacing w:lineRule="auto" w:line="285" w:before="0" w:after="0"/>
              <w:ind w:left="0" w:right="0" w:hanging="0"/>
              <w:jc w:val="right"/>
              <w:rPr/>
            </w:pPr>
            <w:r>
              <w:rPr/>
              <w:t> </w:t>
            </w:r>
          </w:p>
        </w:tc>
        <w:tc>
          <w:tcPr>
            <w:tcW w:w="895"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92,696</w:t>
            </w:r>
          </w:p>
        </w:tc>
        <w:tc>
          <w:tcPr>
            <w:tcW w:w="396" w:type="dxa"/>
            <w:tcBorders/>
            <w:shd w:fill="CCEEFF" w:val="clear"/>
            <w:vAlign w:val="center"/>
          </w:tcPr>
          <w:p>
            <w:pPr>
              <w:pStyle w:val="TableContents"/>
              <w:bidi w:val="0"/>
              <w:spacing w:lineRule="auto" w:line="285" w:before="0" w:after="0"/>
              <w:ind w:left="0" w:right="0" w:hanging="0"/>
              <w:jc w:val="left"/>
              <w:rPr/>
            </w:pPr>
            <w:r>
              <w:rPr/>
              <w:t>​</w:t>
            </w:r>
          </w:p>
        </w:tc>
        <w:tc>
          <w:tcPr>
            <w:tcW w:w="241" w:type="dxa"/>
            <w:tcBorders/>
            <w:shd w:fill="CCEEFF" w:val="clear"/>
            <w:vAlign w:val="center"/>
          </w:tcPr>
          <w:p>
            <w:pPr>
              <w:pStyle w:val="TableContents"/>
              <w:bidi w:val="0"/>
              <w:spacing w:lineRule="auto" w:line="285" w:before="0" w:after="0"/>
              <w:ind w:left="0" w:right="0" w:hanging="0"/>
              <w:jc w:val="right"/>
              <w:rPr/>
            </w:pPr>
            <w:r>
              <w:rPr/>
              <w:t> </w:t>
            </w:r>
          </w:p>
        </w:tc>
        <w:tc>
          <w:tcPr>
            <w:tcW w:w="895"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92,350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78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194,556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93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183,604</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r>
        <w:trPr/>
        <w:tc>
          <w:tcPr>
            <w:tcW w:w="265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Europe / Middle East / Africa</w:t>
            </w:r>
          </w:p>
        </w:tc>
        <w:tc>
          <w:tcPr>
            <w:tcW w:w="346"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lineRule="auto" w:line="285" w:before="0" w:after="0"/>
              <w:ind w:left="0" w:right="0" w:hanging="0"/>
              <w:jc w:val="right"/>
              <w:rPr/>
            </w:pPr>
            <w:r>
              <w:rPr/>
              <w:t> </w:t>
            </w:r>
          </w:p>
        </w:tc>
        <w:tc>
          <w:tcPr>
            <w:tcW w:w="895"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57,901</w:t>
            </w:r>
          </w:p>
        </w:tc>
        <w:tc>
          <w:tcPr>
            <w:tcW w:w="396"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lineRule="auto" w:line="285" w:before="0" w:after="0"/>
              <w:ind w:left="0" w:right="0" w:hanging="0"/>
              <w:jc w:val="right"/>
              <w:rPr/>
            </w:pPr>
            <w:r>
              <w:rPr/>
              <w:t> </w:t>
            </w:r>
          </w:p>
        </w:tc>
        <w:tc>
          <w:tcPr>
            <w:tcW w:w="895"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49,899</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78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113,946</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93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97,448</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65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Latin America</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89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27,044</w:t>
            </w:r>
          </w:p>
        </w:tc>
        <w:tc>
          <w:tcPr>
            <w:tcW w:w="396" w:type="dxa"/>
            <w:tcBorders/>
            <w:shd w:fill="CCEEFF" w:val="clear"/>
            <w:vAlign w:val="center"/>
          </w:tcPr>
          <w:p>
            <w:pPr>
              <w:pStyle w:val="TableContents"/>
              <w:bidi w:val="0"/>
              <w:spacing w:lineRule="auto" w:line="285" w:before="0" w:after="0"/>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89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25,106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55,349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51,502</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r>
        <w:trPr/>
        <w:tc>
          <w:tcPr>
            <w:tcW w:w="265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Total</w:t>
            </w:r>
          </w:p>
        </w:tc>
        <w:tc>
          <w:tcPr>
            <w:tcW w:w="346" w:type="dxa"/>
            <w:tcBorders/>
            <w:vAlign w:val="center"/>
          </w:tcPr>
          <w:p>
            <w:pPr>
              <w:pStyle w:val="TableContents"/>
              <w:bidi w:val="0"/>
              <w:spacing w:lineRule="auto" w:line="285" w:before="0" w:after="0"/>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9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455,495</w:t>
            </w:r>
          </w:p>
        </w:tc>
        <w:tc>
          <w:tcPr>
            <w:tcW w:w="396" w:type="dxa"/>
            <w:tcBorders/>
            <w:vAlign w:val="center"/>
          </w:tcPr>
          <w:p>
            <w:pPr>
              <w:pStyle w:val="TableContents"/>
              <w:bidi w:val="0"/>
              <w:spacing w:lineRule="auto" w:line="285" w:before="0" w:after="0"/>
              <w:ind w:left="0" w:right="0" w:hanging="0"/>
              <w:jc w:val="left"/>
              <w:rPr/>
            </w:pPr>
            <w:r>
              <w:rPr/>
              <w:t> </w:t>
            </w:r>
          </w:p>
        </w:tc>
        <w:tc>
          <w:tcPr>
            <w:tcW w:w="24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9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513,571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951,670</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1,047,799</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65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895" w:type="dxa"/>
            <w:tcBorders/>
            <w:vAlign w:val="center"/>
          </w:tcPr>
          <w:p>
            <w:pPr>
              <w:pStyle w:val="TableContents"/>
              <w:bidi w:val="0"/>
              <w:spacing w:lineRule="auto" w:line="285" w:before="0" w:after="0"/>
              <w:ind w:left="0" w:right="0" w:hanging="0"/>
              <w:jc w:val="left"/>
              <w:rPr/>
            </w:pPr>
            <w:r>
              <w:rPr/>
              <w:t>​</w:t>
            </w:r>
          </w:p>
        </w:tc>
        <w:tc>
          <w:tcPr>
            <w:tcW w:w="396"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895"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10</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TTEC HOLDINGS, INC. AND SUBSIDIARIES</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Notes to Consolidated Financial Statements</w:t>
      </w:r>
    </w:p>
    <w:p>
      <w:pPr>
        <w:pStyle w:val="TextBody"/>
        <w:bidi w:val="0"/>
        <w:spacing w:lineRule="auto" w:line="285" w:before="0" w:after="24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lineRule="auto" w:line="285" w:before="0" w:after="120"/>
        <w:ind w:left="0" w:right="0" w:hanging="0"/>
        <w:jc w:val="left"/>
        <w:rPr>
          <w:rFonts w:ascii="Arial;Helvetica;sans-serif" w:hAnsi="Arial;Helvetica;sans-serif"/>
          <w:sz w:val="20"/>
        </w:rPr>
      </w:pPr>
      <w:bookmarkStart w:id="1183" w:name="Tc_RtRzUVeNsE2QdjkZrbaqLQ_6_11"/>
      <w:bookmarkStart w:id="1184" w:name="Tc_0ZkXrPb5X0qfWnn3zoZtdg_6_8"/>
      <w:bookmarkStart w:id="1185" w:name="Tc_1n3-hImFAU62pYMv0OkIdA_6_5"/>
      <w:bookmarkStart w:id="1186" w:name="Tc_nYchbQsMYUClEXfVbklLWA_6_2"/>
      <w:bookmarkStart w:id="1187" w:name="Tc_RuAJ8eGNC0ua8v2_-OTU7Q_6_0"/>
      <w:bookmarkStart w:id="1188" w:name="Tc_u-deEVKSKkChd21BUbzOZw_5_0"/>
      <w:bookmarkStart w:id="1189" w:name="Tc_PNkC2bif-ESkntiYV0rHUw_4_0"/>
      <w:bookmarkStart w:id="1190" w:name="Tc_9b0MPVkzBkS7hGxo3yP9uQ_3_11"/>
      <w:bookmarkStart w:id="1191" w:name="Tc_fgEFijy5r0mvY5W3wGXOGg_3_8"/>
      <w:bookmarkStart w:id="1192" w:name="Tc_0aaxK2biq0WxYYA3u-Rq5A_3_5"/>
      <w:bookmarkStart w:id="1193" w:name="Tc_Qa8b361sQEilIOpTClEo0Q_3_2"/>
      <w:bookmarkStart w:id="1194" w:name="Tc_BF5HYweO2kykMTI8jHrRtQ_3_0"/>
      <w:bookmarkStart w:id="1195" w:name="Tc_7H4Ge6TzgUWk7na694Q6UA_2_11"/>
      <w:bookmarkStart w:id="1196" w:name="Tc_2X42UWCpNkepq5KvpRvctA_2_8"/>
      <w:bookmarkStart w:id="1197" w:name="Tc_MPO1za9kmkiV1ZCnjC4UYw_2_5"/>
      <w:bookmarkStart w:id="1198" w:name="Tc_Moopb8m7nkKkPuGX40tS9Q_2_2"/>
      <w:bookmarkStart w:id="1199" w:name="Tc_FN55bxj5gUqn-EXTRFdxDg_1_8"/>
      <w:bookmarkStart w:id="1200" w:name="Tc_UJAZaeX1K02C8n16edNdzA_1_2"/>
      <w:bookmarkStart w:id="1201" w:name="_1f75b279_d094_438a_b2ba_8c02349e94a4"/>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r>
        <w:rPr>
          <w:rFonts w:ascii="Arial;Helvetica;sans-serif" w:hAnsi="Arial;Helvetica;sans-serif"/>
          <w:b/>
          <w:i w:val="false"/>
          <w:caps w:val="false"/>
          <w:smallCaps w:val="false"/>
          <w:sz w:val="20"/>
        </w:rPr>
        <w:t>(3)</w:t>
      </w:r>
      <w:r>
        <w:rPr>
          <w:rFonts w:ascii="Arial;Helvetica;sans-serif" w:hAnsi="Arial;Helvetica;sans-serif"/>
          <w:b/>
          <w:sz w:val="20"/>
        </w:rPr>
        <w:t>SIGNIFICANT CLIENTS AND OTHER CONCENTRATIONS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 xml:space="preserve">The Company had one client that contributed in excess of 10% of total revenue for the six months ended June 30, 2026; this client operates in the automotive industry and is included in the TTEC Engage segment. This client contributed 12.1% and 10.7% of total revenue for the six months ended June 30, 2026 and 2025, respectively. In addition, the Company has other clients with aggregate revenue exceeding $100 million annually and the loss of one or more of these clients could have a material adverse effect on the Company’s business, operating results, or financial condition. To mitigate this risk, the Company’s business arrangements with these larger clients are structured as multiple contracts with different statements of work that are specific to a different line of business or service; these contracts have different durations and renewal dates and could have a revenue opportunity above the $100 million aggregate. </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To limit the Company’s credit risk with its clients, management performs periodic credit evaluations, maintains allowances for credit losses and may require pre-payment for services from certain clients whose financial stability or payment practices raise concern. Based on currently available information, management does not believe significant credit risk existed as of June 30, 2026 beyond what was already recognized.</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Activity in the Company’s allowance for credit losses consists of the following (in thousands):</w:t>
      </w:r>
    </w:p>
    <w:tbl>
      <w:tblPr>
        <w:tblW w:w="9010" w:type="dxa"/>
        <w:jc w:val="left"/>
        <w:tblInd w:w="0" w:type="dxa"/>
        <w:tblLayout w:type="fixed"/>
        <w:tblCellMar>
          <w:top w:w="0" w:type="dxa"/>
          <w:left w:w="0" w:type="dxa"/>
          <w:bottom w:w="0" w:type="dxa"/>
          <w:right w:w="0" w:type="dxa"/>
        </w:tblCellMar>
      </w:tblPr>
      <w:tblGrid>
        <w:gridCol w:w="3016"/>
        <w:gridCol w:w="346"/>
        <w:gridCol w:w="294"/>
        <w:gridCol w:w="798"/>
        <w:gridCol w:w="482"/>
        <w:gridCol w:w="294"/>
        <w:gridCol w:w="800"/>
        <w:gridCol w:w="346"/>
        <w:gridCol w:w="261"/>
        <w:gridCol w:w="782"/>
        <w:gridCol w:w="428"/>
        <w:gridCol w:w="261"/>
        <w:gridCol w:w="711"/>
        <w:gridCol w:w="191"/>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915160" cy="175260"/>
                      <wp:effectExtent l="0" t="0" r="0" b="0"/>
                      <wp:wrapNone/>
                      <wp:docPr id="219" name="Frame219"/>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19710" cy="175260"/>
                      <wp:effectExtent l="0" t="0" r="0" b="0"/>
                      <wp:wrapNone/>
                      <wp:docPr id="220" name="Frame2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86690" cy="175260"/>
                      <wp:effectExtent l="0" t="0" r="0" b="0"/>
                      <wp:wrapNone/>
                      <wp:docPr id="221" name="Frame221"/>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506730" cy="175260"/>
                      <wp:effectExtent l="0" t="0" r="0" b="0"/>
                      <wp:wrapNone/>
                      <wp:docPr id="222" name="Frame222"/>
                      <a:graphic xmlns:a="http://schemas.openxmlformats.org/drawingml/2006/main">
                        <a:graphicData uri="http://schemas.microsoft.com/office/word/2010/wordprocessingShape">
                          <wps:wsp>
                            <wps:cNvSpPr txBox="1"/>
                            <wps:spPr>
                              <a:xfrm>
                                <a:off x="0" y="0"/>
                                <a:ext cx="5067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306070" cy="175260"/>
                      <wp:effectExtent l="0" t="0" r="0" b="0"/>
                      <wp:wrapNone/>
                      <wp:docPr id="223" name="Frame223"/>
                      <a:graphic xmlns:a="http://schemas.openxmlformats.org/drawingml/2006/main">
                        <a:graphicData uri="http://schemas.microsoft.com/office/word/2010/wordprocessingShape">
                          <wps:wsp>
                            <wps:cNvSpPr txBox="1"/>
                            <wps:spPr>
                              <a:xfrm>
                                <a:off x="0" y="0"/>
                                <a:ext cx="3060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86690" cy="175260"/>
                      <wp:effectExtent l="0" t="0" r="0" b="0"/>
                      <wp:wrapNone/>
                      <wp:docPr id="224" name="Frame224"/>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508000" cy="175260"/>
                      <wp:effectExtent l="0" t="0" r="0" b="0"/>
                      <wp:wrapNone/>
                      <wp:docPr id="225" name="Frame225"/>
                      <a:graphic xmlns:a="http://schemas.openxmlformats.org/drawingml/2006/main">
                        <a:graphicData uri="http://schemas.microsoft.com/office/word/2010/wordprocessingShape">
                          <wps:wsp>
                            <wps:cNvSpPr txBox="1"/>
                            <wps:spPr>
                              <a:xfrm>
                                <a:off x="0" y="0"/>
                                <a:ext cx="5080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19710" cy="175260"/>
                      <wp:effectExtent l="0" t="0" r="0" b="0"/>
                      <wp:wrapNone/>
                      <wp:docPr id="226" name="Frame2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65735" cy="175260"/>
                      <wp:effectExtent l="0" t="0" r="0" b="0"/>
                      <wp:wrapNone/>
                      <wp:docPr id="227" name="Frame227"/>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496570" cy="175260"/>
                      <wp:effectExtent l="0" t="0" r="0" b="0"/>
                      <wp:wrapNone/>
                      <wp:docPr id="228" name="Frame228"/>
                      <a:graphic xmlns:a="http://schemas.openxmlformats.org/drawingml/2006/main">
                        <a:graphicData uri="http://schemas.microsoft.com/office/word/2010/wordprocessingShape">
                          <wps:wsp>
                            <wps:cNvSpPr txBox="1"/>
                            <wps:spPr>
                              <a:xfrm>
                                <a:off x="0" y="0"/>
                                <a:ext cx="4965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71780" cy="175260"/>
                      <wp:effectExtent l="0" t="0" r="0" b="0"/>
                      <wp:wrapNone/>
                      <wp:docPr id="229" name="Frame229"/>
                      <a:graphic xmlns:a="http://schemas.openxmlformats.org/drawingml/2006/main">
                        <a:graphicData uri="http://schemas.microsoft.com/office/word/2010/wordprocessingShape">
                          <wps:wsp>
                            <wps:cNvSpPr txBox="1"/>
                            <wps:spPr>
                              <a:xfrm>
                                <a:off x="0" y="0"/>
                                <a:ext cx="2717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65735" cy="175260"/>
                      <wp:effectExtent l="0" t="0" r="0" b="0"/>
                      <wp:wrapNone/>
                      <wp:docPr id="230" name="Frame230"/>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451485" cy="175260"/>
                      <wp:effectExtent l="0" t="0" r="0" b="0"/>
                      <wp:wrapNone/>
                      <wp:docPr id="231" name="Frame231"/>
                      <a:graphic xmlns:a="http://schemas.openxmlformats.org/drawingml/2006/main">
                        <a:graphicData uri="http://schemas.microsoft.com/office/word/2010/wordprocessingShape">
                          <wps:wsp>
                            <wps:cNvSpPr txBox="1"/>
                            <wps:spPr>
                              <a:xfrm>
                                <a:off x="0" y="0"/>
                                <a:ext cx="4514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21285" cy="175260"/>
                      <wp:effectExtent l="0" t="0" r="0" b="0"/>
                      <wp:wrapNone/>
                      <wp:docPr id="232" name="Frame232"/>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266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xml:space="preserve">Three Months Ended June 30, </w:t>
            </w:r>
          </w:p>
        </w:tc>
        <w:tc>
          <w:tcPr>
            <w:tcW w:w="346" w:type="dxa"/>
            <w:tcBorders/>
            <w:vAlign w:val="center"/>
          </w:tcPr>
          <w:p>
            <w:pPr>
              <w:pStyle w:val="TableContents"/>
              <w:bidi w:val="0"/>
              <w:spacing w:lineRule="auto" w:line="285" w:before="0" w:after="0"/>
              <w:ind w:left="0" w:right="0" w:hanging="0"/>
              <w:jc w:val="center"/>
              <w:rPr/>
            </w:pPr>
            <w:r>
              <w:rPr/>
              <w:t>​</w:t>
            </w:r>
          </w:p>
        </w:tc>
        <w:tc>
          <w:tcPr>
            <w:tcW w:w="2443"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xml:space="preserve">Six Months Ended June 30, </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301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0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482" w:type="dxa"/>
            <w:tcBorders/>
            <w:vAlign w:val="center"/>
          </w:tcPr>
          <w:p>
            <w:pPr>
              <w:pStyle w:val="TableContents"/>
              <w:bidi w:val="0"/>
              <w:spacing w:lineRule="auto" w:line="285" w:before="0" w:after="0"/>
              <w:ind w:left="0" w:right="0" w:hanging="0"/>
              <w:jc w:val="center"/>
              <w:rPr/>
            </w:pPr>
            <w:r>
              <w:rPr/>
              <w:t>  ​ ​ ​</w:t>
            </w:r>
          </w:p>
        </w:tc>
        <w:tc>
          <w:tcPr>
            <w:tcW w:w="1094"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46" w:type="dxa"/>
            <w:tcBorders/>
            <w:vAlign w:val="center"/>
          </w:tcPr>
          <w:p>
            <w:pPr>
              <w:pStyle w:val="TableContents"/>
              <w:bidi w:val="0"/>
              <w:spacing w:lineRule="auto" w:line="285" w:before="0" w:after="0"/>
              <w:ind w:left="0" w:right="0" w:hanging="0"/>
              <w:jc w:val="center"/>
              <w:rPr/>
            </w:pPr>
            <w:r>
              <w:rPr/>
              <w:t>  ​ ​ ​</w:t>
            </w:r>
          </w:p>
        </w:tc>
        <w:tc>
          <w:tcPr>
            <w:tcW w:w="104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428" w:type="dxa"/>
            <w:tcBorders/>
            <w:vAlign w:val="center"/>
          </w:tcPr>
          <w:p>
            <w:pPr>
              <w:pStyle w:val="TableContents"/>
              <w:bidi w:val="0"/>
              <w:spacing w:lineRule="auto" w:line="285" w:before="0" w:after="0"/>
              <w:ind w:left="0" w:right="0" w:hanging="0"/>
              <w:jc w:val="center"/>
              <w:rPr/>
            </w:pPr>
            <w:r>
              <w:rPr/>
              <w:t>  ​ ​ ​</w:t>
            </w:r>
          </w:p>
        </w:tc>
        <w:tc>
          <w:tcPr>
            <w:tcW w:w="97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301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Balance, beginning of period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4"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8"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2,333</w:t>
            </w:r>
          </w:p>
        </w:tc>
        <w:tc>
          <w:tcPr>
            <w:tcW w:w="482" w:type="dxa"/>
            <w:tcBorders/>
            <w:shd w:fill="CCEEFF" w:val="clear"/>
            <w:vAlign w:val="center"/>
          </w:tcPr>
          <w:p>
            <w:pPr>
              <w:pStyle w:val="TableContents"/>
              <w:bidi w:val="0"/>
              <w:spacing w:lineRule="auto" w:line="285" w:before="0" w:after="0"/>
              <w:ind w:left="0" w:right="0" w:hanging="0"/>
              <w:jc w:val="left"/>
              <w:rPr/>
            </w:pPr>
            <w:r>
              <w:rPr/>
              <w:t>​</w:t>
            </w:r>
          </w:p>
        </w:tc>
        <w:tc>
          <w:tcPr>
            <w:tcW w:w="294"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00"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4,770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2"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4,908</w:t>
            </w:r>
          </w:p>
        </w:tc>
        <w:tc>
          <w:tcPr>
            <w:tcW w:w="428" w:type="dxa"/>
            <w:tcBorders/>
            <w:shd w:fill="CCEEFF" w:val="clear"/>
            <w:vAlign w:val="center"/>
          </w:tcPr>
          <w:p>
            <w:pPr>
              <w:pStyle w:val="TableContents"/>
              <w:bidi w:val="0"/>
              <w:spacing w:lineRule="auto" w:line="285" w:before="0" w:after="0"/>
              <w:ind w:left="0" w:right="0" w:hanging="0"/>
              <w:jc w:val="left"/>
              <w:rPr/>
            </w:pPr>
            <w:r>
              <w:rPr/>
              <w:t>​</w:t>
            </w:r>
          </w:p>
        </w:tc>
        <w:tc>
          <w:tcPr>
            <w:tcW w:w="26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1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5,244</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301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Provision for credit losses</w:t>
            </w:r>
          </w:p>
        </w:tc>
        <w:tc>
          <w:tcPr>
            <w:tcW w:w="346" w:type="dxa"/>
            <w:tcBorders/>
            <w:vAlign w:val="center"/>
          </w:tcPr>
          <w:p>
            <w:pPr>
              <w:pStyle w:val="TableContents"/>
              <w:bidi w:val="0"/>
              <w:spacing w:lineRule="auto" w:line="285" w:before="0" w:after="0"/>
              <w:ind w:left="0" w:right="0" w:hanging="0"/>
              <w:jc w:val="left"/>
              <w:rPr/>
            </w:pPr>
            <w:r>
              <w:rPr/>
              <w:t>​</w:t>
            </w:r>
          </w:p>
        </w:tc>
        <w:tc>
          <w:tcPr>
            <w:tcW w:w="294" w:type="dxa"/>
            <w:tcBorders/>
            <w:vAlign w:val="center"/>
          </w:tcPr>
          <w:p>
            <w:pPr>
              <w:pStyle w:val="TableContents"/>
              <w:bidi w:val="0"/>
              <w:spacing w:lineRule="auto" w:line="285" w:before="0" w:after="0"/>
              <w:ind w:left="0" w:right="0" w:hanging="0"/>
              <w:jc w:val="right"/>
              <w:rPr/>
            </w:pPr>
            <w:r>
              <w:rPr/>
              <w:t> </w:t>
            </w:r>
          </w:p>
        </w:tc>
        <w:tc>
          <w:tcPr>
            <w:tcW w:w="798"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(95)</w:t>
            </w:r>
          </w:p>
        </w:tc>
        <w:tc>
          <w:tcPr>
            <w:tcW w:w="482" w:type="dxa"/>
            <w:tcBorders/>
            <w:vAlign w:val="center"/>
          </w:tcPr>
          <w:p>
            <w:pPr>
              <w:pStyle w:val="TableContents"/>
              <w:bidi w:val="0"/>
              <w:spacing w:lineRule="auto" w:line="285" w:before="0" w:after="0"/>
              <w:ind w:left="0" w:right="0" w:hanging="0"/>
              <w:jc w:val="left"/>
              <w:rPr/>
            </w:pPr>
            <w:r>
              <w:rPr/>
              <w:t>​</w:t>
            </w:r>
          </w:p>
        </w:tc>
        <w:tc>
          <w:tcPr>
            <w:tcW w:w="294" w:type="dxa"/>
            <w:tcBorders/>
            <w:vAlign w:val="center"/>
          </w:tcPr>
          <w:p>
            <w:pPr>
              <w:pStyle w:val="TableContents"/>
              <w:bidi w:val="0"/>
              <w:spacing w:lineRule="auto" w:line="285" w:before="0" w:after="0"/>
              <w:ind w:left="0" w:right="0" w:hanging="0"/>
              <w:jc w:val="right"/>
              <w:rPr/>
            </w:pPr>
            <w:r>
              <w:rPr/>
              <w:t> </w:t>
            </w:r>
          </w:p>
        </w:tc>
        <w:tc>
          <w:tcPr>
            <w:tcW w:w="800"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347</w:t>
            </w:r>
          </w:p>
        </w:tc>
        <w:tc>
          <w:tcPr>
            <w:tcW w:w="346" w:type="dxa"/>
            <w:tcBorders/>
            <w:vAlign w:val="center"/>
          </w:tcPr>
          <w:p>
            <w:pPr>
              <w:pStyle w:val="TableContents"/>
              <w:bidi w:val="0"/>
              <w:spacing w:lineRule="auto" w:line="285" w:before="0" w:after="0"/>
              <w:ind w:left="0" w:right="0" w:hanging="0"/>
              <w:jc w:val="left"/>
              <w:rPr/>
            </w:pPr>
            <w:r>
              <w:rPr/>
              <w:t>​</w:t>
            </w:r>
          </w:p>
        </w:tc>
        <w:tc>
          <w:tcPr>
            <w:tcW w:w="261" w:type="dxa"/>
            <w:tcBorders/>
            <w:vAlign w:val="center"/>
          </w:tcPr>
          <w:p>
            <w:pPr>
              <w:pStyle w:val="TableContents"/>
              <w:bidi w:val="0"/>
              <w:spacing w:lineRule="auto" w:line="285" w:before="0" w:after="0"/>
              <w:ind w:left="0" w:right="0" w:hanging="0"/>
              <w:jc w:val="right"/>
              <w:rPr/>
            </w:pPr>
            <w:r>
              <w:rPr/>
              <w:t> </w:t>
            </w:r>
          </w:p>
        </w:tc>
        <w:tc>
          <w:tcPr>
            <w:tcW w:w="782"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89</w:t>
            </w:r>
          </w:p>
        </w:tc>
        <w:tc>
          <w:tcPr>
            <w:tcW w:w="428" w:type="dxa"/>
            <w:tcBorders/>
            <w:vAlign w:val="center"/>
          </w:tcPr>
          <w:p>
            <w:pPr>
              <w:pStyle w:val="TableContents"/>
              <w:bidi w:val="0"/>
              <w:spacing w:lineRule="auto" w:line="285" w:before="0" w:after="0"/>
              <w:ind w:left="0" w:right="0" w:hanging="0"/>
              <w:jc w:val="left"/>
              <w:rPr/>
            </w:pPr>
            <w:r>
              <w:rPr/>
              <w:t>​</w:t>
            </w:r>
          </w:p>
        </w:tc>
        <w:tc>
          <w:tcPr>
            <w:tcW w:w="261" w:type="dxa"/>
            <w:tcBorders/>
            <w:vAlign w:val="center"/>
          </w:tcPr>
          <w:p>
            <w:pPr>
              <w:pStyle w:val="TableContents"/>
              <w:bidi w:val="0"/>
              <w:spacing w:lineRule="auto" w:line="285" w:before="0" w:after="0"/>
              <w:ind w:left="0" w:right="0" w:hanging="0"/>
              <w:jc w:val="right"/>
              <w:rPr/>
            </w:pPr>
            <w:r>
              <w:rPr/>
              <w:t>​</w:t>
            </w:r>
          </w:p>
        </w:tc>
        <w:tc>
          <w:tcPr>
            <w:tcW w:w="71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598</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301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Uncollectible receivables written-off</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79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(348)</w:t>
            </w:r>
          </w:p>
        </w:tc>
        <w:tc>
          <w:tcPr>
            <w:tcW w:w="482" w:type="dxa"/>
            <w:tcBorders/>
            <w:shd w:fill="CCEEFF" w:val="clear"/>
            <w:vAlign w:val="center"/>
          </w:tcPr>
          <w:p>
            <w:pPr>
              <w:pStyle w:val="TableContents"/>
              <w:bidi w:val="0"/>
              <w:spacing w:lineRule="auto" w:line="285" w:before="0" w:after="0"/>
              <w:ind w:left="0" w:right="0" w:hanging="0"/>
              <w:jc w:val="left"/>
              <w:rPr/>
            </w:pPr>
            <w:r>
              <w:rPr/>
              <w:t>​</w:t>
            </w:r>
          </w:p>
        </w:tc>
        <w:tc>
          <w:tcPr>
            <w:tcW w:w="29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80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(117)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78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(3,107)</w:t>
            </w:r>
          </w:p>
        </w:tc>
        <w:tc>
          <w:tcPr>
            <w:tcW w:w="428" w:type="dxa"/>
            <w:tcBorders/>
            <w:shd w:fill="CCEEFF" w:val="clear"/>
            <w:vAlign w:val="center"/>
          </w:tcPr>
          <w:p>
            <w:pPr>
              <w:pStyle w:val="TableContents"/>
              <w:bidi w:val="0"/>
              <w:spacing w:lineRule="auto" w:line="285"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7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(842)</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301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Balance, end of period</w:t>
            </w:r>
          </w:p>
        </w:tc>
        <w:tc>
          <w:tcPr>
            <w:tcW w:w="346" w:type="dxa"/>
            <w:tcBorders/>
            <w:vAlign w:val="center"/>
          </w:tcPr>
          <w:p>
            <w:pPr>
              <w:pStyle w:val="TableContents"/>
              <w:bidi w:val="0"/>
              <w:spacing w:lineRule="auto" w:line="285" w:before="0" w:after="0"/>
              <w:ind w:left="0" w:right="0" w:hanging="0"/>
              <w:jc w:val="left"/>
              <w:rPr/>
            </w:pPr>
            <w:r>
              <w:rPr/>
              <w:t>​</w:t>
            </w:r>
          </w:p>
        </w:tc>
        <w:tc>
          <w:tcPr>
            <w:tcW w:w="294"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8"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1,890</w:t>
            </w:r>
          </w:p>
        </w:tc>
        <w:tc>
          <w:tcPr>
            <w:tcW w:w="482" w:type="dxa"/>
            <w:tcBorders/>
            <w:vAlign w:val="center"/>
          </w:tcPr>
          <w:p>
            <w:pPr>
              <w:pStyle w:val="TableContents"/>
              <w:bidi w:val="0"/>
              <w:spacing w:lineRule="auto" w:line="285" w:before="0" w:after="0"/>
              <w:ind w:left="0" w:right="0" w:hanging="0"/>
              <w:jc w:val="left"/>
              <w:rPr/>
            </w:pPr>
            <w:r>
              <w:rPr/>
              <w:t>​</w:t>
            </w:r>
          </w:p>
        </w:tc>
        <w:tc>
          <w:tcPr>
            <w:tcW w:w="294"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0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5,000</w:t>
            </w:r>
          </w:p>
        </w:tc>
        <w:tc>
          <w:tcPr>
            <w:tcW w:w="346" w:type="dxa"/>
            <w:tcBorders/>
            <w:vAlign w:val="center"/>
          </w:tcPr>
          <w:p>
            <w:pPr>
              <w:pStyle w:val="TableContents"/>
              <w:bidi w:val="0"/>
              <w:spacing w:lineRule="auto" w:line="285" w:before="0" w:after="0"/>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1,890</w:t>
            </w:r>
          </w:p>
        </w:tc>
        <w:tc>
          <w:tcPr>
            <w:tcW w:w="428" w:type="dxa"/>
            <w:tcBorders/>
            <w:vAlign w:val="center"/>
          </w:tcPr>
          <w:p>
            <w:pPr>
              <w:pStyle w:val="TableContents"/>
              <w:bidi w:val="0"/>
              <w:spacing w:lineRule="auto" w:line="285" w:before="0" w:after="0"/>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1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5,000</w:t>
            </w:r>
          </w:p>
        </w:tc>
        <w:tc>
          <w:tcPr>
            <w:tcW w:w="191"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sz w:val="20"/>
        </w:rPr>
      </w:pPr>
      <w:bookmarkStart w:id="1202" w:name="Tc_Xk8rWrgcc0-31VGiWn4yhw_7_14"/>
      <w:bookmarkStart w:id="1203" w:name="Tc_dD_NAJA660KcAA0r2sY5Mg_7_11"/>
      <w:bookmarkStart w:id="1204" w:name="Tc_F4HVzlW00UKHX2w4iCwy9g_7_9"/>
      <w:bookmarkStart w:id="1205" w:name="Tc_SCdS1KcUy0m3H8-Dbb2Dmw_7_8"/>
      <w:bookmarkStart w:id="1206" w:name="Tc_5ppKdUSrAUWkheR7Wt0IEQ_7_6"/>
      <w:bookmarkStart w:id="1207" w:name="Tc_wMawNzEW3Uqhb9OKN8B9kA_7_5"/>
      <w:bookmarkStart w:id="1208" w:name="Tc_KpnyrncQukeg2RCEuRU5cg_7_2"/>
      <w:bookmarkStart w:id="1209" w:name="Tc_NdY_mJ-jbUyOjvXCOtQl1A_7_0"/>
      <w:bookmarkStart w:id="1210" w:name="Tc_vXZDwIVEdkm5lK8cvOFrxA_6_9"/>
      <w:bookmarkStart w:id="1211" w:name="Tc_rzUMqQ-eMEeZ_vI_Bask6w_6_6"/>
      <w:bookmarkStart w:id="1212" w:name="Tc_ULlEkMeQokSrCht1WG_ogg_6_0"/>
      <w:bookmarkStart w:id="1213" w:name="Tc_InkNm7JSzkeB1GM0ltlX0Q_5_14"/>
      <w:bookmarkStart w:id="1214" w:name="Tc_LzjENtwZKUeYPL3fyzRtzQ_5_11"/>
      <w:bookmarkStart w:id="1215" w:name="Tc_LWaMKa1rsEm8e_mwFAaOxA_5_9"/>
      <w:bookmarkStart w:id="1216" w:name="Tc_KUOVXuPK70Onre7vobqOJw_5_8"/>
      <w:bookmarkStart w:id="1217" w:name="Tc_3EQY1gpKEkOsalK7ZBVWYg_5_6"/>
      <w:bookmarkStart w:id="1218" w:name="Tc_2WUFK7zkH0So6nOtH2YHQg_5_5"/>
      <w:bookmarkStart w:id="1219" w:name="Tc_YysP9ScNEk2aX5-qAgikGQ_5_2"/>
      <w:bookmarkStart w:id="1220" w:name="Tc_7eYJTulYc0KDdgCq_0d3mQ_5_0"/>
      <w:bookmarkStart w:id="1221" w:name="Tc_LfaQyxFx_0i48ogBhnZpXg_3_14"/>
      <w:bookmarkStart w:id="1222" w:name="Tc_ymHbvAMB8U662jiUJWXw0Q_3_11"/>
      <w:bookmarkStart w:id="1223" w:name="Tc_50RNwO9PVkeKv3ClTOOqbg_3_8"/>
      <w:bookmarkStart w:id="1224" w:name="Tc_27SdjnOLiUSMtzevrQyp2Q_3_5"/>
      <w:bookmarkStart w:id="1225" w:name="Tc_5-MOrzPBHUCx5o2H3hpOEQ_3_2"/>
      <w:bookmarkStart w:id="1226" w:name="Tc_NkWxl_zqLUuoUQDGdn0k4Q_2_14"/>
      <w:bookmarkStart w:id="1227" w:name="Tc_sgGFdEjRYk6AAVFbhTLnXg_2_11"/>
      <w:bookmarkStart w:id="1228" w:name="Tc_l0V0HmxBNEqcCNwKSgWxIQ_2_5"/>
      <w:bookmarkStart w:id="1229" w:name="Tc_CVhgFmELBE6sdWlNxRAmPA_2_2"/>
      <w:bookmarkStart w:id="1230" w:name="Tc_lfQ88DXSGUywOSK8iRQ2-w_1_11"/>
      <w:bookmarkStart w:id="1231" w:name="_2c11b872_d208_44c3_9339_c6f572ce0c13"/>
      <w:bookmarkStart w:id="1232" w:name="_Hlk519691469"/>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r>
        <w:rPr>
          <w:rFonts w:ascii="Arial;Helvetica;sans-serif" w:hAnsi="Arial;Helvetica;sans-serif"/>
          <w:b/>
          <w:i w:val="false"/>
          <w:caps w:val="false"/>
          <w:smallCaps w:val="false"/>
          <w:sz w:val="20"/>
        </w:rPr>
        <w:t>(4)</w:t>
      </w:r>
      <w:r>
        <w:rPr>
          <w:rFonts w:ascii="Arial;Helvetica;sans-serif" w:hAnsi="Arial;Helvetica;sans-serif"/>
          <w:b/>
          <w:sz w:val="20"/>
        </w:rPr>
        <w:t>GOODWILL</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Goodwill consisted of the following (in thousands):</w:t>
      </w:r>
    </w:p>
    <w:tbl>
      <w:tblPr>
        <w:tblW w:w="8902" w:type="dxa"/>
        <w:jc w:val="left"/>
        <w:tblInd w:w="0" w:type="dxa"/>
        <w:tblLayout w:type="fixed"/>
        <w:tblCellMar>
          <w:top w:w="0" w:type="dxa"/>
          <w:left w:w="0" w:type="dxa"/>
          <w:bottom w:w="0" w:type="dxa"/>
          <w:right w:w="0" w:type="dxa"/>
        </w:tblCellMar>
      </w:tblPr>
      <w:tblGrid>
        <w:gridCol w:w="1276"/>
        <w:gridCol w:w="346"/>
        <w:gridCol w:w="287"/>
        <w:gridCol w:w="1063"/>
        <w:gridCol w:w="346"/>
        <w:gridCol w:w="477"/>
        <w:gridCol w:w="784"/>
        <w:gridCol w:w="346"/>
        <w:gridCol w:w="449"/>
        <w:gridCol w:w="737"/>
        <w:gridCol w:w="346"/>
        <w:gridCol w:w="278"/>
        <w:gridCol w:w="638"/>
        <w:gridCol w:w="346"/>
        <w:gridCol w:w="211"/>
        <w:gridCol w:w="781"/>
        <w:gridCol w:w="191"/>
      </w:tblGrid>
      <w:tr>
        <w:trPr/>
        <w:tc>
          <w:tcPr>
            <w:tcW w:w="12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87" w:type="dxa"/>
            <w:tcBorders/>
            <w:vAlign w:val="center"/>
          </w:tcPr>
          <w:p>
            <w:pPr>
              <w:pStyle w:val="TableContents"/>
              <w:bidi w:val="0"/>
              <w:spacing w:lineRule="auto" w:line="285" w:before="0" w:after="0"/>
              <w:ind w:left="0" w:right="0" w:hanging="0"/>
              <w:jc w:val="left"/>
              <w:rPr/>
            </w:pPr>
            <w:r>
              <w:rPr/>
              <w:t>​</w:t>
            </w:r>
          </w:p>
        </w:tc>
        <w:tc>
          <w:tcPr>
            <w:tcW w:w="1063"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77" w:type="dxa"/>
            <w:tcBorders/>
            <w:vAlign w:val="center"/>
          </w:tcPr>
          <w:p>
            <w:pPr>
              <w:pStyle w:val="TableContents"/>
              <w:bidi w:val="0"/>
              <w:spacing w:lineRule="auto" w:line="285" w:before="0" w:after="0"/>
              <w:ind w:left="0" w:right="0" w:hanging="0"/>
              <w:jc w:val="left"/>
              <w:rPr/>
            </w:pPr>
            <w:r>
              <w:rPr/>
              <w:t>​</w:t>
            </w:r>
          </w:p>
        </w:tc>
        <w:tc>
          <w:tcPr>
            <w:tcW w:w="78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49" w:type="dxa"/>
            <w:tcBorders/>
            <w:vAlign w:val="center"/>
          </w:tcPr>
          <w:p>
            <w:pPr>
              <w:pStyle w:val="TableContents"/>
              <w:bidi w:val="0"/>
              <w:spacing w:lineRule="auto" w:line="285" w:before="0" w:after="0"/>
              <w:ind w:left="0" w:right="0" w:hanging="0"/>
              <w:jc w:val="left"/>
              <w:rPr/>
            </w:pPr>
            <w:r>
              <w:rPr/>
              <w:t>​</w:t>
            </w:r>
          </w:p>
        </w:tc>
        <w:tc>
          <w:tcPr>
            <w:tcW w:w="737"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78" w:type="dxa"/>
            <w:tcBorders/>
            <w:vAlign w:val="center"/>
          </w:tcPr>
          <w:p>
            <w:pPr>
              <w:pStyle w:val="TableContents"/>
              <w:bidi w:val="0"/>
              <w:spacing w:lineRule="auto" w:line="285" w:before="0" w:after="0"/>
              <w:ind w:left="0" w:right="0" w:hanging="0"/>
              <w:jc w:val="left"/>
              <w:rPr/>
            </w:pPr>
            <w:r>
              <w:rPr/>
              <w:t>​</w:t>
            </w:r>
          </w:p>
        </w:tc>
        <w:tc>
          <w:tcPr>
            <w:tcW w:w="638"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lef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12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287" w:type="dxa"/>
            <w:tcBorders/>
            <w:vAlign w:val="center"/>
          </w:tcPr>
          <w:p>
            <w:pPr>
              <w:pStyle w:val="TableContents"/>
              <w:bidi w:val="0"/>
              <w:spacing w:lineRule="auto" w:line="285" w:before="0" w:after="0"/>
              <w:ind w:left="0" w:right="0" w:hanging="0"/>
              <w:jc w:val="center"/>
              <w:rPr/>
            </w:pPr>
            <w:r>
              <w:rPr/>
              <w:t>​</w:t>
            </w:r>
          </w:p>
        </w:tc>
        <w:tc>
          <w:tcPr>
            <w:tcW w:w="1063"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477" w:type="dxa"/>
            <w:tcBorders/>
            <w:vAlign w:val="center"/>
          </w:tcPr>
          <w:p>
            <w:pPr>
              <w:pStyle w:val="TableContents"/>
              <w:bidi w:val="0"/>
              <w:spacing w:lineRule="auto" w:line="285" w:before="0" w:after="0"/>
              <w:ind w:left="0" w:right="0" w:hanging="0"/>
              <w:jc w:val="center"/>
              <w:rPr/>
            </w:pPr>
            <w:r>
              <w:rPr/>
              <w:t>​</w:t>
            </w:r>
          </w:p>
        </w:tc>
        <w:tc>
          <w:tcPr>
            <w:tcW w:w="784"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449" w:type="dxa"/>
            <w:tcBorders/>
            <w:vAlign w:val="center"/>
          </w:tcPr>
          <w:p>
            <w:pPr>
              <w:pStyle w:val="TableContents"/>
              <w:bidi w:val="0"/>
              <w:spacing w:lineRule="auto" w:line="285" w:before="0" w:after="0"/>
              <w:ind w:left="0" w:right="0" w:hanging="0"/>
              <w:jc w:val="center"/>
              <w:rPr/>
            </w:pPr>
            <w:r>
              <w:rPr/>
              <w:t>​</w:t>
            </w:r>
          </w:p>
        </w:tc>
        <w:tc>
          <w:tcPr>
            <w:tcW w:w="737"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91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Effect of</w:t>
            </w:r>
          </w:p>
        </w:tc>
        <w:tc>
          <w:tcPr>
            <w:tcW w:w="346" w:type="dxa"/>
            <w:tcBorders/>
            <w:vAlign w:val="center"/>
          </w:tcPr>
          <w:p>
            <w:pPr>
              <w:pStyle w:val="TableContents"/>
              <w:bidi w:val="0"/>
              <w:spacing w:lineRule="auto" w:line="285" w:before="0" w:after="0"/>
              <w:ind w:left="0" w:right="0" w:hanging="0"/>
              <w:jc w:val="center"/>
              <w:rPr/>
            </w:pPr>
            <w:r>
              <w:rPr/>
              <w:t>  ​ ​ ​</w:t>
            </w:r>
          </w:p>
        </w:tc>
        <w:tc>
          <w:tcPr>
            <w:tcW w:w="211" w:type="dxa"/>
            <w:tcBorders/>
            <w:vAlign w:val="center"/>
          </w:tcPr>
          <w:p>
            <w:pPr>
              <w:pStyle w:val="TableContents"/>
              <w:bidi w:val="0"/>
              <w:spacing w:lineRule="auto" w:line="285" w:before="0" w:after="0"/>
              <w:ind w:left="0" w:right="0" w:hanging="0"/>
              <w:jc w:val="center"/>
              <w:rPr/>
            </w:pPr>
            <w:r>
              <w:rPr/>
              <w:t>​</w:t>
            </w:r>
          </w:p>
        </w:tc>
        <w:tc>
          <w:tcPr>
            <w:tcW w:w="781"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12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350"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xml:space="preserve">December 31, </w:t>
            </w:r>
          </w:p>
        </w:tc>
        <w:tc>
          <w:tcPr>
            <w:tcW w:w="346" w:type="dxa"/>
            <w:tcBorders/>
            <w:vAlign w:val="center"/>
          </w:tcPr>
          <w:p>
            <w:pPr>
              <w:pStyle w:val="TableContents"/>
              <w:bidi w:val="0"/>
              <w:spacing w:lineRule="auto" w:line="285" w:before="0" w:after="0"/>
              <w:ind w:left="0" w:right="0" w:hanging="0"/>
              <w:jc w:val="center"/>
              <w:rPr/>
            </w:pPr>
            <w:r>
              <w:rPr/>
              <w:t>​</w:t>
            </w:r>
          </w:p>
        </w:tc>
        <w:tc>
          <w:tcPr>
            <w:tcW w:w="1261"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Acquisitions /</w:t>
            </w:r>
          </w:p>
        </w:tc>
        <w:tc>
          <w:tcPr>
            <w:tcW w:w="346" w:type="dxa"/>
            <w:tcBorders/>
            <w:vAlign w:val="center"/>
          </w:tcPr>
          <w:p>
            <w:pPr>
              <w:pStyle w:val="TableContents"/>
              <w:bidi w:val="0"/>
              <w:spacing w:lineRule="auto" w:line="285" w:before="0" w:after="0"/>
              <w:ind w:left="0" w:right="0" w:hanging="0"/>
              <w:jc w:val="center"/>
              <w:rPr/>
            </w:pPr>
            <w:r>
              <w:rPr/>
              <w:t>​</w:t>
            </w:r>
          </w:p>
        </w:tc>
        <w:tc>
          <w:tcPr>
            <w:tcW w:w="449" w:type="dxa"/>
            <w:tcBorders/>
            <w:vAlign w:val="center"/>
          </w:tcPr>
          <w:p>
            <w:pPr>
              <w:pStyle w:val="TableContents"/>
              <w:bidi w:val="0"/>
              <w:spacing w:lineRule="auto" w:line="285" w:before="0" w:after="0"/>
              <w:ind w:left="0" w:right="0" w:hanging="0"/>
              <w:jc w:val="center"/>
              <w:rPr/>
            </w:pPr>
            <w:r>
              <w:rPr/>
              <w:t>​</w:t>
            </w:r>
          </w:p>
        </w:tc>
        <w:tc>
          <w:tcPr>
            <w:tcW w:w="737"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91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Foreign</w:t>
            </w:r>
          </w:p>
        </w:tc>
        <w:tc>
          <w:tcPr>
            <w:tcW w:w="346" w:type="dxa"/>
            <w:tcBorders/>
            <w:vAlign w:val="center"/>
          </w:tcPr>
          <w:p>
            <w:pPr>
              <w:pStyle w:val="TableContents"/>
              <w:bidi w:val="0"/>
              <w:spacing w:lineRule="auto" w:line="285" w:before="0" w:after="0"/>
              <w:ind w:left="0" w:right="0" w:hanging="0"/>
              <w:jc w:val="center"/>
              <w:rPr/>
            </w:pPr>
            <w:r>
              <w:rPr/>
              <w:t>​</w:t>
            </w:r>
          </w:p>
        </w:tc>
        <w:tc>
          <w:tcPr>
            <w:tcW w:w="992"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12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35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46" w:type="dxa"/>
            <w:tcBorders/>
            <w:vAlign w:val="center"/>
          </w:tcPr>
          <w:p>
            <w:pPr>
              <w:pStyle w:val="TableContents"/>
              <w:bidi w:val="0"/>
              <w:spacing w:lineRule="auto" w:line="285" w:before="0" w:after="0"/>
              <w:ind w:left="0" w:right="0" w:hanging="0"/>
              <w:jc w:val="center"/>
              <w:rPr/>
            </w:pPr>
            <w:r>
              <w:rPr/>
              <w:t>​</w:t>
            </w:r>
          </w:p>
        </w:tc>
        <w:tc>
          <w:tcPr>
            <w:tcW w:w="126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Adjustments</w:t>
            </w:r>
          </w:p>
        </w:tc>
        <w:tc>
          <w:tcPr>
            <w:tcW w:w="346" w:type="dxa"/>
            <w:tcBorders/>
            <w:vAlign w:val="center"/>
          </w:tcPr>
          <w:p>
            <w:pPr>
              <w:pStyle w:val="TableContents"/>
              <w:bidi w:val="0"/>
              <w:spacing w:lineRule="auto" w:line="285" w:before="0" w:after="0"/>
              <w:ind w:left="0" w:right="0" w:hanging="0"/>
              <w:jc w:val="center"/>
              <w:rPr/>
            </w:pPr>
            <w:r>
              <w:rPr/>
              <w:t>​</w:t>
            </w:r>
          </w:p>
        </w:tc>
        <w:tc>
          <w:tcPr>
            <w:tcW w:w="118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Impairments</w:t>
            </w:r>
          </w:p>
        </w:tc>
        <w:tc>
          <w:tcPr>
            <w:tcW w:w="346" w:type="dxa"/>
            <w:tcBorders/>
            <w:vAlign w:val="center"/>
          </w:tcPr>
          <w:p>
            <w:pPr>
              <w:pStyle w:val="TableContents"/>
              <w:bidi w:val="0"/>
              <w:spacing w:lineRule="auto" w:line="285" w:before="0" w:after="0"/>
              <w:ind w:left="0" w:right="0" w:hanging="0"/>
              <w:jc w:val="center"/>
              <w:rPr/>
            </w:pPr>
            <w:r>
              <w:rPr/>
              <w:t>​</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Currency</w:t>
            </w:r>
          </w:p>
        </w:tc>
        <w:tc>
          <w:tcPr>
            <w:tcW w:w="346" w:type="dxa"/>
            <w:tcBorders/>
            <w:vAlign w:val="center"/>
          </w:tcPr>
          <w:p>
            <w:pPr>
              <w:pStyle w:val="TableContents"/>
              <w:bidi w:val="0"/>
              <w:spacing w:lineRule="auto" w:line="285"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12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87" w:type="dxa"/>
            <w:tcBorders/>
            <w:vAlign w:val="center"/>
          </w:tcPr>
          <w:p>
            <w:pPr>
              <w:pStyle w:val="TableContents"/>
              <w:bidi w:val="0"/>
              <w:spacing w:lineRule="auto" w:line="285" w:before="0" w:after="0"/>
              <w:ind w:left="0" w:right="0" w:hanging="0"/>
              <w:jc w:val="right"/>
              <w:rPr/>
            </w:pPr>
            <w:r>
              <w:rPr/>
              <w:t>​</w:t>
            </w:r>
          </w:p>
        </w:tc>
        <w:tc>
          <w:tcPr>
            <w:tcW w:w="1063"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77" w:type="dxa"/>
            <w:tcBorders/>
            <w:vAlign w:val="center"/>
          </w:tcPr>
          <w:p>
            <w:pPr>
              <w:pStyle w:val="TableContents"/>
              <w:bidi w:val="0"/>
              <w:spacing w:lineRule="auto" w:line="285" w:before="0" w:after="0"/>
              <w:ind w:left="0" w:right="0" w:hanging="0"/>
              <w:jc w:val="right"/>
              <w:rPr/>
            </w:pPr>
            <w:r>
              <w:rPr/>
              <w:t>​</w:t>
            </w:r>
          </w:p>
        </w:tc>
        <w:tc>
          <w:tcPr>
            <w:tcW w:w="78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49" w:type="dxa"/>
            <w:tcBorders/>
            <w:vAlign w:val="center"/>
          </w:tcPr>
          <w:p>
            <w:pPr>
              <w:pStyle w:val="TableContents"/>
              <w:bidi w:val="0"/>
              <w:spacing w:lineRule="auto" w:line="285" w:before="0" w:after="0"/>
              <w:ind w:left="0" w:right="0" w:hanging="0"/>
              <w:jc w:val="right"/>
              <w:rPr/>
            </w:pPr>
            <w:r>
              <w:rPr/>
              <w:t>​</w:t>
            </w:r>
          </w:p>
        </w:tc>
        <w:tc>
          <w:tcPr>
            <w:tcW w:w="737"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78" w:type="dxa"/>
            <w:tcBorders/>
            <w:vAlign w:val="center"/>
          </w:tcPr>
          <w:p>
            <w:pPr>
              <w:pStyle w:val="TableContents"/>
              <w:bidi w:val="0"/>
              <w:spacing w:lineRule="auto" w:line="285" w:before="0" w:after="0"/>
              <w:ind w:left="0" w:right="0" w:hanging="0"/>
              <w:jc w:val="right"/>
              <w:rPr/>
            </w:pPr>
            <w:r>
              <w:rPr/>
              <w:t>​</w:t>
            </w:r>
          </w:p>
        </w:tc>
        <w:tc>
          <w:tcPr>
            <w:tcW w:w="638"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781"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127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TTEC Digital</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7"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63"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295,202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77"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4"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49"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37"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78"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38"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155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295,357</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127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TTEC Engage</w:t>
            </w:r>
          </w:p>
        </w:tc>
        <w:tc>
          <w:tcPr>
            <w:tcW w:w="346" w:type="dxa"/>
            <w:tcBorders/>
            <w:vAlign w:val="center"/>
          </w:tcPr>
          <w:p>
            <w:pPr>
              <w:pStyle w:val="TableContents"/>
              <w:bidi w:val="0"/>
              <w:spacing w:lineRule="auto" w:line="285" w:before="0" w:after="0"/>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106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73,476</w:t>
            </w:r>
          </w:p>
        </w:tc>
        <w:tc>
          <w:tcPr>
            <w:tcW w:w="346" w:type="dxa"/>
            <w:tcBorders/>
            <w:vAlign w:val="center"/>
          </w:tcPr>
          <w:p>
            <w:pPr>
              <w:pStyle w:val="TableContents"/>
              <w:bidi w:val="0"/>
              <w:spacing w:lineRule="auto" w:line="285" w:before="0" w:after="0"/>
              <w:ind w:left="0" w:right="0" w:hanging="0"/>
              <w:jc w:val="left"/>
              <w:rPr/>
            </w:pPr>
            <w:r>
              <w:rPr/>
              <w:t>​</w:t>
            </w:r>
          </w:p>
        </w:tc>
        <w:tc>
          <w:tcPr>
            <w:tcW w:w="47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78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4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73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63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(931)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72,545</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127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Total</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6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368,678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7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4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3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7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3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(776)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367,902</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40" w:before="0" w:after="120"/>
        <w:ind w:left="0" w:right="0" w:hanging="0"/>
        <w:jc w:val="both"/>
        <w:rPr>
          <w:rFonts w:ascii="Arial;Helvetica;sans-serif" w:hAnsi="Arial;Helvetica;sans-serif"/>
          <w:sz w:val="20"/>
        </w:rPr>
      </w:pPr>
      <w:r>
        <w:rPr>
          <w:rFonts w:ascii="Arial;Helvetica;sans-serif" w:hAnsi="Arial;Helvetica;sans-serif"/>
          <w:sz w:val="20"/>
        </w:rPr>
        <w:t>The Company performs an annual goodwill impairment assessment on December 1</w:t>
      </w:r>
      <w:r>
        <w:rPr>
          <w:rFonts w:ascii="Arial;Helvetica;sans-serif" w:hAnsi="Arial;Helvetica;sans-serif"/>
          <w:sz w:val="15"/>
        </w:rPr>
        <w:t>st</w:t>
      </w:r>
      <w:r>
        <w:rPr>
          <w:rFonts w:ascii="Arial;Helvetica;sans-serif" w:hAnsi="Arial;Helvetica;sans-serif"/>
          <w:sz w:val="20"/>
        </w:rPr>
        <w:t xml:space="preserve">, or more frequently, if indicators of impairment exist. The Company also monitors its reporting units for any triggering events and performs qualitative assessments of impairment indicators. </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As of December 1, 2025, the date of the annual impairment testing, the Company concluded that for the Engage and Digital Professional Services reporting units, resulting fair values were in excess of the respective carrying values and the goodwill for those reporting units was not impaired. The resulting fair value of the Digital Recurring reporting unit decreased below its carrying value, which resulted in recording a $193.0 million noncash pre-tax impairment charge. Recognition of this non-cash goodwill impairment charge resulted in a tax benefit that generated an incremental deferred tax asset of $12.4 million to the reporting unit’s carrying value. Accordingly, the Company recorded an additional non-cash charge of $12.4 million to reduce the Company’s carrying value to its previously determined fair value in accordance with the applicable goodwill impairment guidance. In total, a non-cash impairment loss of $205.4 million was recognized for the fourth quarter ended December 31, 2025.</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11</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TTEC HOLDINGS, INC. AND SUBSIDIARIES</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Notes to Consolidated Financial Statements</w:t>
      </w:r>
    </w:p>
    <w:p>
      <w:pPr>
        <w:pStyle w:val="TextBody"/>
        <w:bidi w:val="0"/>
        <w:spacing w:lineRule="auto" w:line="285" w:before="0" w:after="24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During the Company’s annual impairment testing as of December 1, 2025, the Company identified one reporting unit, Digital Professional Services, as at risk for future impairment. The carrying value of Digital Professional Services was $228.8 million at December 1, 2025, including approximately $189.7 million of goodwill. Based on the Company’s assessment, the estimated fair value of the Digital Professional Services reporting unit exceeded its carrying value by approximately 8%. If all assumptions are held constant, either a 0.5% increase in the discount rate or a 4.0% decrease in each year’s projected revenue over the forecast period would result in approximately a $17.7 million decrease in the estimated fair value of the Digital Professional Services reporting unit. Such a change in either of these assumptions individually would have resulted in the Digital Professional Services reporting unit failing Step 1 of the goodwill impairment analysis on December 1, 2025.</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 xml:space="preserve">As an international outsourcing agent, TTEC’s revenue and cash flows are susceptible to global economic conditions and client business volumes. In performing the Step 1 evaluation, the reporting unit’s current backlog and pipeline of customer business were considered, as well as inflation rates, gross domestic product rates, historical revenue growth and profitability, and state of the CX industry. The estimate of fair value was based on generally accepted valuation techniques and information available at the date of the assessment, which incorporated management’s assumptions about expected revenues, future cash flows and available market information for comparable companies. </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Outside of the Company’s annual impairment testing process, the Company monitors its reporting units for any triggering events while also performing qualitative assessments of impairment indicators. During the second quarter of 2026, the Company concluded there were no triggering events and completed its qualitative assessment of impairment indicators, which included, among other things, an assessment of changes in macroeconomic conditions, comparison of the actual results to those forecasted in the most recent annual impairment test and performing sensitivity analysis on key assumptions.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12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(5)</w:t>
      </w:r>
      <w:r>
        <w:rPr>
          <w:rFonts w:ascii="Arial;Helvetica;sans-serif" w:hAnsi="Arial;Helvetica;sans-serif"/>
          <w:b/>
          <w:sz w:val="20"/>
        </w:rPr>
        <w:t>DERIVATIVES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TTEC’s Financial Risk Management Committee monitors cash flow and fair value foreign exchange exposures and interest rate exposures on a worldwide basis, assesses the potential economics and earnings impact from foreign exchange and/or interest rate fluctuations, and deploys risk management policies and solutions to reduce volatility related to TTEC’s exposure to foreign exchange rate changes and interest rate changes.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 xml:space="preserve">The Company enters into foreign exchange forward and option contracts to reduce its exposure to foreign currency exchange rate fluctuations that are associated with forecasted revenue earned in foreign locations. Upon proper qualification, these contracts are designated as cash flow hedges. The Company formally documents at the inception of the hedge all relationships between hedging instruments and hedged items as well as its risk management objective and strategy for undertaking various hedging activities. </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 xml:space="preserve">The Company also enters into fair value derivative contracts that hedge against foreign currency exchange gains and losses primarily associated with short-term payables and receivables. These swap contracts are not designated as hedges under ASC Topic 815, </w:t>
      </w:r>
      <w:r>
        <w:rPr>
          <w:rFonts w:ascii="Arial;Helvetica;sans-serif" w:hAnsi="Arial;Helvetica;sans-serif"/>
          <w:i/>
          <w:sz w:val="20"/>
        </w:rPr>
        <w:t>Derivatives and Hedging</w:t>
      </w:r>
      <w:r>
        <w:rPr>
          <w:rFonts w:ascii="Arial;Helvetica;sans-serif" w:hAnsi="Arial;Helvetica;sans-serif"/>
          <w:sz w:val="20"/>
        </w:rPr>
        <w:t xml:space="preserve">. </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 xml:space="preserve">It is the Company’s policy to only enter into derivative contracts with investment grade counterparty financial institutions, and correspondingly, the fair value of derivative assets considers, among other factors, the creditworthiness of these counterparties. Conversely, the fair value of derivative liabilities reflects the Company’s creditworthiness. As of June 30, 2026, the Company has not experienced, nor does it anticipate, any issues related to derivative counterparty defaults. </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All derivative financial instruments are reported at gross fair value and recorded in Prepaids and other current assets, Other long-term assets, Other current liabilities, and Other long-term liabilities in the accompanying Consolidated Balance Sheets as applicable for each period end.</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12</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TTEC HOLDINGS, INC. AND SUBSIDIARIES</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Notes to Consolidated Financial Statements</w:t>
      </w:r>
    </w:p>
    <w:p>
      <w:pPr>
        <w:pStyle w:val="TextBody"/>
        <w:bidi w:val="0"/>
        <w:spacing w:lineRule="auto" w:line="285" w:before="0" w:after="24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lineRule="auto" w:line="285" w:before="0" w:after="120"/>
        <w:ind w:left="0" w:right="0" w:hanging="0"/>
        <w:jc w:val="both"/>
        <w:rPr>
          <w:rFonts w:ascii="Arial;Helvetica;sans-serif" w:hAnsi="Arial;Helvetica;sans-serif"/>
          <w:b/>
          <w:sz w:val="20"/>
        </w:rPr>
      </w:pPr>
      <w:bookmarkStart w:id="1233" w:name="Tc_osgpmbw-e02jguyrkw3_UQ_13_5"/>
      <w:bookmarkStart w:id="1234" w:name="Tc_K5rGTm4lEE2yloOavNpGTQ_13_2"/>
      <w:bookmarkStart w:id="1235" w:name="Tc_PMm5hkZSaUWpt5xFTTpCGw_13_0"/>
      <w:bookmarkStart w:id="1236" w:name="Tc_pdnvutwArECmsJteJgc8IQ_12_0"/>
      <w:bookmarkStart w:id="1237" w:name="Tc__OsLIQeoMEmxLwCBPiK4DA_11_6"/>
      <w:bookmarkStart w:id="1238" w:name="Tc_PD21vONC8E60nSFNp-r3fg_11_0"/>
      <w:bookmarkStart w:id="1239" w:name="Tc_3YNrh8J7_EuhIK_U8YUqoA_10_0"/>
      <w:bookmarkStart w:id="1240" w:name="Tc_Jc8PXv9PtEGqK2bGjSIyCw_9_5"/>
      <w:bookmarkStart w:id="1241" w:name="Tc_lTMVPNpmkUiiKWNlCdD-eg_9_2"/>
      <w:bookmarkStart w:id="1242" w:name="Tc_IwU8eYDuRUWlMfqycvACKw_9_0"/>
      <w:bookmarkStart w:id="1243" w:name="Tc_8Asuo9OFUkySe7UxYDXEfQ_7_5"/>
      <w:bookmarkStart w:id="1244" w:name="Tc_QCfqcDQsGECgJeP-j4AMCA_7_2"/>
      <w:bookmarkStart w:id="1245" w:name="Tc_Vez_8E2j3Eq088tvFdIdrQ_7_0"/>
      <w:bookmarkStart w:id="1246" w:name="Tc_SC_-sepjDEy4dEHR_fDjqw_6_5"/>
      <w:bookmarkStart w:id="1247" w:name="Tc_2rjug5Rxk0ObFTDxkAE5-A_6_2"/>
      <w:bookmarkStart w:id="1248" w:name="Tc_x8qU427ytUKu5PX5Ytd6Vg_6_0"/>
      <w:bookmarkStart w:id="1249" w:name="Tc_VxnrKrPexkGsAIgRAVxSzg_5_5"/>
      <w:bookmarkStart w:id="1250" w:name="Tc_I1ejmOwnT0GkBAjpCDtSmA_5_2"/>
      <w:bookmarkStart w:id="1251" w:name="Tc_Q2UI0cnW60iHjl_GrLjpYQ_4_5"/>
      <w:bookmarkStart w:id="1252" w:name="Tc_8iOV26uMaku6q4BslThw8g_4_2"/>
      <w:bookmarkStart w:id="1253" w:name="Tc_J_7-WXbO2ky972gYOo-SJg_4_0"/>
      <w:bookmarkStart w:id="1254" w:name="Tc_x-5fhvl2Y0K3uWIba1RhYg_3_5"/>
      <w:bookmarkStart w:id="1255" w:name="Tc_Ixh7uuU_w0CdlMOA_jF7kA_3_2"/>
      <w:bookmarkStart w:id="1256" w:name="Tc_ZuATWDd8W0y7IlC98fmnFw_2_5"/>
      <w:bookmarkStart w:id="1257" w:name="Tc_TD4XLJEbCE69bC6viWXyRg_2_2"/>
      <w:bookmarkStart w:id="1258" w:name="Tc_tNcHZnXlvk6C02nNfiQqCQ_1_2"/>
      <w:bookmarkStart w:id="1259" w:name="_c0e60214_ac9f_4846_bc9d_bf3d8bbbf267"/>
      <w:bookmarkStart w:id="1260" w:name="Tc_-HGyX1VET0y97OUxz1dYnw_13_5"/>
      <w:bookmarkStart w:id="1261" w:name="Tc_uFFmaVTyc0qrApyH1nWmpw_13_2"/>
      <w:bookmarkStart w:id="1262" w:name="Tc_G7m-MvvkbEq_ZSlYclSe2w_13_0"/>
      <w:bookmarkStart w:id="1263" w:name="Tc_sqDCCYFjFEuFncrL1KvsQw_12_0"/>
      <w:bookmarkStart w:id="1264" w:name="Tc_y3SNpKyO-E6wzlStDUl_5A_11_0"/>
      <w:bookmarkStart w:id="1265" w:name="Tc_QTV4q5xG2EuQ19nTU86lEQ_10_0"/>
      <w:bookmarkStart w:id="1266" w:name="Tc_Nlhui-G--060oEM20oF8Cg_9_5"/>
      <w:bookmarkStart w:id="1267" w:name="Tc_f6hwZY8vIkqJR7vPohz9Kg_9_2"/>
      <w:bookmarkStart w:id="1268" w:name="Tc_j2gybTao_0aMIHu0JpMhSQ_9_0"/>
      <w:bookmarkStart w:id="1269" w:name="Tc_2cQi6YtZikiSHGXoxgGtow_7_5"/>
      <w:bookmarkStart w:id="1270" w:name="Tc_Z-vk2J9Cs0OrWdFCSD6uew_7_2"/>
      <w:bookmarkStart w:id="1271" w:name="Tc__hIUrf2XhUmNSgU4_t9idA_7_0"/>
      <w:bookmarkStart w:id="1272" w:name="Tc_Rk1Wrqhq20GkhVkAKNKkHQ_6_5"/>
      <w:bookmarkStart w:id="1273" w:name="Tc__INlU6XpKkCTt_Zw1H7Spw_6_2"/>
      <w:bookmarkStart w:id="1274" w:name="Tc_tbhN6Zg4r06-xWLzodoARg_6_0"/>
      <w:bookmarkStart w:id="1275" w:name="Tc_DnkUKdClIUqeHbAH_Dxi6g_5_5"/>
      <w:bookmarkStart w:id="1276" w:name="Tc_Fn237sb090y-9AZ8T1MDOQ_5_2"/>
      <w:bookmarkStart w:id="1277" w:name="Tc_LyuktgWupEG_Ro4wlhbW6A_4_5"/>
      <w:bookmarkStart w:id="1278" w:name="Tc_zO0EuBLvq06M6NXs7iT-NA_4_2"/>
      <w:bookmarkStart w:id="1279" w:name="Tc_7IxhybMU_kmcQyPbAKt9hg_4_0"/>
      <w:bookmarkStart w:id="1280" w:name="Tc_iRUgHgn5lk2h433I9Ax6LQ_3_5"/>
      <w:bookmarkStart w:id="1281" w:name="Tc_Py8ljhGCG0CW70SHcvcClg_3_2"/>
      <w:bookmarkStart w:id="1282" w:name="Tc_-ldqoNLwkEGIwTQTry07nA_2_5"/>
      <w:bookmarkStart w:id="1283" w:name="Tc_PhYraRtEXUmk6GEyjsZy-w_2_2"/>
      <w:bookmarkStart w:id="1284" w:name="Tc_n2yqGS3-lUqFX4k2mEUriA_1_2"/>
      <w:bookmarkStart w:id="1285" w:name="_1a5080d9_80ab_4269_9425_db2967d84e28"/>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r>
        <w:rPr>
          <w:rFonts w:ascii="Arial;Helvetica;sans-serif" w:hAnsi="Arial;Helvetica;sans-serif"/>
          <w:b/>
          <w:sz w:val="20"/>
        </w:rPr>
        <w:t>Fair Value of Derivative Instruments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fair value and location of derivatives in the Consolidated Balance Sheets as of June 30, 2026 and December 31, 2025 were as follows (in thousands):</w:t>
      </w:r>
    </w:p>
    <w:tbl>
      <w:tblPr>
        <w:tblW w:w="6166" w:type="dxa"/>
        <w:jc w:val="left"/>
        <w:tblInd w:w="0" w:type="dxa"/>
        <w:tblLayout w:type="fixed"/>
        <w:tblCellMar>
          <w:top w:w="0" w:type="dxa"/>
          <w:left w:w="0" w:type="dxa"/>
          <w:bottom w:w="0" w:type="dxa"/>
          <w:right w:w="0" w:type="dxa"/>
        </w:tblCellMar>
      </w:tblPr>
      <w:tblGrid>
        <w:gridCol w:w="2866"/>
        <w:gridCol w:w="346"/>
        <w:gridCol w:w="247"/>
        <w:gridCol w:w="744"/>
        <w:gridCol w:w="346"/>
        <w:gridCol w:w="512"/>
        <w:gridCol w:w="914"/>
        <w:gridCol w:w="191"/>
      </w:tblGrid>
      <w:tr>
        <w:trPr/>
        <w:tc>
          <w:tcPr>
            <w:tcW w:w="2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819910" cy="175260"/>
                      <wp:effectExtent l="0" t="0" r="0" b="0"/>
                      <wp:wrapNone/>
                      <wp:docPr id="233" name="Frame233"/>
                      <a:graphic xmlns:a="http://schemas.openxmlformats.org/drawingml/2006/main">
                        <a:graphicData uri="http://schemas.microsoft.com/office/word/2010/wordprocessingShape">
                          <wps:wsp>
                            <wps:cNvSpPr txBox="1"/>
                            <wps:spPr>
                              <a:xfrm>
                                <a:off x="0" y="0"/>
                                <a:ext cx="1819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19710" cy="175260"/>
                      <wp:effectExtent l="0" t="0" r="0" b="0"/>
                      <wp:wrapNone/>
                      <wp:docPr id="234" name="Frame2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56845" cy="175260"/>
                      <wp:effectExtent l="0" t="0" r="0" b="0"/>
                      <wp:wrapNone/>
                      <wp:docPr id="235" name="Frame235"/>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472440" cy="175260"/>
                      <wp:effectExtent l="0" t="0" r="0" b="0"/>
                      <wp:wrapNone/>
                      <wp:docPr id="236" name="Frame236"/>
                      <a:graphic xmlns:a="http://schemas.openxmlformats.org/drawingml/2006/main">
                        <a:graphicData uri="http://schemas.microsoft.com/office/word/2010/wordprocessingShape">
                          <wps:wsp>
                            <wps:cNvSpPr txBox="1"/>
                            <wps:spPr>
                              <a:xfrm>
                                <a:off x="0" y="0"/>
                                <a:ext cx="4724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19710" cy="175260"/>
                      <wp:effectExtent l="0" t="0" r="0" b="0"/>
                      <wp:wrapNone/>
                      <wp:docPr id="237" name="Frame2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325120" cy="175260"/>
                      <wp:effectExtent l="0" t="0" r="0" b="0"/>
                      <wp:wrapNone/>
                      <wp:docPr id="238" name="Frame238"/>
                      <a:graphic xmlns:a="http://schemas.openxmlformats.org/drawingml/2006/main">
                        <a:graphicData uri="http://schemas.microsoft.com/office/word/2010/wordprocessingShape">
                          <wps:wsp>
                            <wps:cNvSpPr txBox="1"/>
                            <wps:spPr>
                              <a:xfrm>
                                <a:off x="0" y="0"/>
                                <a:ext cx="3251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580390" cy="175260"/>
                      <wp:effectExtent l="0" t="0" r="0" b="0"/>
                      <wp:wrapNone/>
                      <wp:docPr id="239" name="Frame239"/>
                      <a:graphic xmlns:a="http://schemas.openxmlformats.org/drawingml/2006/main">
                        <a:graphicData uri="http://schemas.microsoft.com/office/word/2010/wordprocessingShape">
                          <wps:wsp>
                            <wps:cNvSpPr txBox="1"/>
                            <wps:spPr>
                              <a:xfrm>
                                <a:off x="0" y="0"/>
                                <a:ext cx="5803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21285" cy="175260"/>
                      <wp:effectExtent l="0" t="0" r="0" b="0"/>
                      <wp:wrapNone/>
                      <wp:docPr id="240" name="Frame240"/>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8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2763"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June 30, 2026</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86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337" w:type="dxa"/>
            <w:gridSpan w:val="3"/>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Designated</w:t>
            </w:r>
          </w:p>
        </w:tc>
        <w:tc>
          <w:tcPr>
            <w:tcW w:w="142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Not Designated</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86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337" w:type="dxa"/>
            <w:gridSpan w:val="3"/>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as Hedging</w:t>
            </w:r>
          </w:p>
        </w:tc>
        <w:tc>
          <w:tcPr>
            <w:tcW w:w="142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as Hedging</w:t>
            </w:r>
          </w:p>
        </w:tc>
        <w:tc>
          <w:tcPr>
            <w:tcW w:w="191" w:type="dxa"/>
            <w:tcBorders/>
            <w:vAlign w:val="center"/>
          </w:tcPr>
          <w:p>
            <w:pPr>
              <w:pStyle w:val="TableContents"/>
              <w:bidi w:val="0"/>
              <w:spacing w:lineRule="auto" w:line="285" w:before="0" w:after="0"/>
              <w:ind w:left="0" w:right="0" w:hanging="0"/>
              <w:jc w:val="center"/>
              <w:rPr/>
            </w:pPr>
            <w:r>
              <w:rPr/>
              <w:t>​</w:t>
            </w:r>
          </w:p>
        </w:tc>
      </w:tr>
      <w:tr>
        <w:trPr/>
        <w:tc>
          <w:tcPr>
            <w:tcW w:w="286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Designation:</w:t>
            </w:r>
          </w:p>
        </w:tc>
        <w:tc>
          <w:tcPr>
            <w:tcW w:w="346" w:type="dxa"/>
            <w:tcBorders/>
            <w:vAlign w:val="center"/>
          </w:tcPr>
          <w:p>
            <w:pPr>
              <w:pStyle w:val="TableContents"/>
              <w:bidi w:val="0"/>
              <w:spacing w:lineRule="auto" w:line="285" w:before="0" w:after="0"/>
              <w:ind w:left="0" w:right="0" w:hanging="0"/>
              <w:jc w:val="center"/>
              <w:rPr/>
            </w:pPr>
            <w:r>
              <w:rPr/>
              <w:t>​</w:t>
            </w:r>
          </w:p>
        </w:tc>
        <w:tc>
          <w:tcPr>
            <w:tcW w:w="1337" w:type="dxa"/>
            <w:gridSpan w:val="3"/>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Instruments</w:t>
            </w:r>
          </w:p>
        </w:tc>
        <w:tc>
          <w:tcPr>
            <w:tcW w:w="142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Instruments</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86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991"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Foreign</w:t>
            </w:r>
          </w:p>
        </w:tc>
        <w:tc>
          <w:tcPr>
            <w:tcW w:w="346" w:type="dxa"/>
            <w:tcBorders/>
            <w:vAlign w:val="center"/>
          </w:tcPr>
          <w:p>
            <w:pPr>
              <w:pStyle w:val="TableContents"/>
              <w:bidi w:val="0"/>
              <w:spacing w:lineRule="auto" w:line="285" w:before="0" w:after="0"/>
              <w:ind w:left="0" w:right="0" w:hanging="0"/>
              <w:jc w:val="center"/>
              <w:rPr/>
            </w:pPr>
            <w:r>
              <w:rPr/>
              <w:t>  ​ ​ ​</w:t>
            </w:r>
          </w:p>
        </w:tc>
        <w:tc>
          <w:tcPr>
            <w:tcW w:w="142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Foreign</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86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Derivative contract type:</w:t>
            </w:r>
          </w:p>
        </w:tc>
        <w:tc>
          <w:tcPr>
            <w:tcW w:w="346" w:type="dxa"/>
            <w:tcBorders/>
            <w:vAlign w:val="center"/>
          </w:tcPr>
          <w:p>
            <w:pPr>
              <w:pStyle w:val="TableContents"/>
              <w:bidi w:val="0"/>
              <w:spacing w:lineRule="auto" w:line="285" w:before="0" w:after="0"/>
              <w:ind w:left="0" w:right="0" w:hanging="0"/>
              <w:jc w:val="center"/>
              <w:rPr/>
            </w:pPr>
            <w:r>
              <w:rPr/>
              <w:t>​</w:t>
            </w:r>
          </w:p>
        </w:tc>
        <w:tc>
          <w:tcPr>
            <w:tcW w:w="99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Exchange</w:t>
            </w:r>
          </w:p>
        </w:tc>
        <w:tc>
          <w:tcPr>
            <w:tcW w:w="346" w:type="dxa"/>
            <w:tcBorders/>
            <w:vAlign w:val="center"/>
          </w:tcPr>
          <w:p>
            <w:pPr>
              <w:pStyle w:val="TableContents"/>
              <w:bidi w:val="0"/>
              <w:spacing w:lineRule="auto" w:line="285" w:before="0" w:after="0"/>
              <w:ind w:left="0" w:right="0" w:hanging="0"/>
              <w:jc w:val="center"/>
              <w:rPr/>
            </w:pPr>
            <w:r>
              <w:rPr/>
              <w:t>​</w:t>
            </w:r>
          </w:p>
        </w:tc>
        <w:tc>
          <w:tcPr>
            <w:tcW w:w="142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Exchange</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86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Derivative classification:</w:t>
            </w:r>
          </w:p>
        </w:tc>
        <w:tc>
          <w:tcPr>
            <w:tcW w:w="346" w:type="dxa"/>
            <w:tcBorders/>
            <w:vAlign w:val="center"/>
          </w:tcPr>
          <w:p>
            <w:pPr>
              <w:pStyle w:val="TableContents"/>
              <w:bidi w:val="0"/>
              <w:spacing w:lineRule="auto" w:line="285" w:before="0" w:after="0"/>
              <w:ind w:left="0" w:right="0" w:hanging="0"/>
              <w:jc w:val="center"/>
              <w:rPr/>
            </w:pPr>
            <w:r>
              <w:rPr/>
              <w:t>​</w:t>
            </w:r>
          </w:p>
        </w:tc>
        <w:tc>
          <w:tcPr>
            <w:tcW w:w="99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Cash Flow</w:t>
            </w:r>
          </w:p>
        </w:tc>
        <w:tc>
          <w:tcPr>
            <w:tcW w:w="346" w:type="dxa"/>
            <w:tcBorders/>
            <w:vAlign w:val="center"/>
          </w:tcPr>
          <w:p>
            <w:pPr>
              <w:pStyle w:val="TableContents"/>
              <w:bidi w:val="0"/>
              <w:spacing w:lineRule="auto" w:line="285" w:before="0" w:after="0"/>
              <w:ind w:left="0" w:right="0" w:hanging="0"/>
              <w:jc w:val="center"/>
              <w:rPr/>
            </w:pPr>
            <w:r>
              <w:rPr/>
              <w:t>​</w:t>
            </w:r>
          </w:p>
        </w:tc>
        <w:tc>
          <w:tcPr>
            <w:tcW w:w="142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Fair Value</w:t>
            </w:r>
          </w:p>
        </w:tc>
        <w:tc>
          <w:tcPr>
            <w:tcW w:w="191" w:type="dxa"/>
            <w:tcBorders/>
            <w:vAlign w:val="center"/>
          </w:tcPr>
          <w:p>
            <w:pPr>
              <w:pStyle w:val="TableContents"/>
              <w:bidi w:val="0"/>
              <w:spacing w:lineRule="auto" w:line="285" w:before="0" w:after="0"/>
              <w:ind w:left="0" w:right="0" w:hanging="0"/>
              <w:jc w:val="center"/>
              <w:rPr/>
            </w:pPr>
            <w:r>
              <w:rPr/>
              <w:t>​</w:t>
            </w:r>
          </w:p>
        </w:tc>
      </w:tr>
      <w:tr>
        <w:trPr/>
        <w:tc>
          <w:tcPr>
            <w:tcW w:w="28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7" w:type="dxa"/>
            <w:tcBorders/>
            <w:vAlign w:val="center"/>
          </w:tcPr>
          <w:p>
            <w:pPr>
              <w:pStyle w:val="TableContents"/>
              <w:bidi w:val="0"/>
              <w:spacing w:lineRule="auto" w:line="285" w:before="0" w:after="0"/>
              <w:ind w:left="0" w:right="0" w:hanging="0"/>
              <w:jc w:val="right"/>
              <w:rPr/>
            </w:pPr>
            <w:r>
              <w:rPr/>
              <w:t>​</w:t>
            </w:r>
          </w:p>
        </w:tc>
        <w:tc>
          <w:tcPr>
            <w:tcW w:w="74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12" w:type="dxa"/>
            <w:tcBorders/>
            <w:vAlign w:val="center"/>
          </w:tcPr>
          <w:p>
            <w:pPr>
              <w:pStyle w:val="TableContents"/>
              <w:bidi w:val="0"/>
              <w:spacing w:lineRule="auto" w:line="285" w:before="0" w:after="0"/>
              <w:ind w:left="0" w:right="0" w:hanging="0"/>
              <w:jc w:val="right"/>
              <w:rPr/>
            </w:pPr>
            <w:r>
              <w:rPr/>
              <w:t>​</w:t>
            </w:r>
          </w:p>
        </w:tc>
        <w:tc>
          <w:tcPr>
            <w:tcW w:w="914"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286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Prepaids and other current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7"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4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1,241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12"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1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286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Other long-term assets</w:t>
            </w:r>
          </w:p>
        </w:tc>
        <w:tc>
          <w:tcPr>
            <w:tcW w:w="346" w:type="dxa"/>
            <w:tcBorders/>
            <w:vAlign w:val="center"/>
          </w:tcPr>
          <w:p>
            <w:pPr>
              <w:pStyle w:val="TableContents"/>
              <w:bidi w:val="0"/>
              <w:spacing w:lineRule="auto" w:line="285" w:before="0" w:after="0"/>
              <w:ind w:left="0" w:right="0" w:hanging="0"/>
              <w:jc w:val="left"/>
              <w:rPr/>
            </w:pPr>
            <w:r>
              <w:rPr/>
              <w:t>​</w:t>
            </w:r>
          </w:p>
        </w:tc>
        <w:tc>
          <w:tcPr>
            <w:tcW w:w="247" w:type="dxa"/>
            <w:tcBorders/>
            <w:vAlign w:val="center"/>
          </w:tcPr>
          <w:p>
            <w:pPr>
              <w:pStyle w:val="TableContents"/>
              <w:bidi w:val="0"/>
              <w:spacing w:lineRule="auto" w:line="285" w:before="0" w:after="0"/>
              <w:ind w:left="0" w:right="0" w:hanging="0"/>
              <w:jc w:val="right"/>
              <w:rPr/>
            </w:pPr>
            <w:r>
              <w:rPr/>
              <w:t> </w:t>
            </w:r>
          </w:p>
        </w:tc>
        <w:tc>
          <w:tcPr>
            <w:tcW w:w="74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12" w:type="dxa"/>
            <w:tcBorders/>
            <w:vAlign w:val="center"/>
          </w:tcPr>
          <w:p>
            <w:pPr>
              <w:pStyle w:val="TableContents"/>
              <w:bidi w:val="0"/>
              <w:spacing w:lineRule="auto" w:line="285" w:before="0" w:after="0"/>
              <w:ind w:left="0" w:right="0" w:hanging="0"/>
              <w:jc w:val="right"/>
              <w:rPr/>
            </w:pPr>
            <w:r>
              <w:rPr/>
              <w:t> </w:t>
            </w:r>
          </w:p>
        </w:tc>
        <w:tc>
          <w:tcPr>
            <w:tcW w:w="914"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286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Other current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7" w:type="dxa"/>
            <w:tcBorders/>
            <w:shd w:fill="CCEEFF" w:val="clear"/>
            <w:vAlign w:val="center"/>
          </w:tcPr>
          <w:p>
            <w:pPr>
              <w:pStyle w:val="TableContents"/>
              <w:bidi w:val="0"/>
              <w:spacing w:lineRule="auto" w:line="285" w:before="0" w:after="0"/>
              <w:ind w:left="0" w:right="0" w:hanging="0"/>
              <w:jc w:val="right"/>
              <w:rPr/>
            </w:pPr>
            <w:r>
              <w:rPr/>
              <w:t> </w:t>
            </w:r>
          </w:p>
        </w:tc>
        <w:tc>
          <w:tcPr>
            <w:tcW w:w="74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(1,751)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12" w:type="dxa"/>
            <w:tcBorders/>
            <w:shd w:fill="CCEEFF" w:val="clear"/>
            <w:vAlign w:val="center"/>
          </w:tcPr>
          <w:p>
            <w:pPr>
              <w:pStyle w:val="TableContents"/>
              <w:bidi w:val="0"/>
              <w:spacing w:lineRule="auto" w:line="285" w:before="0" w:after="0"/>
              <w:ind w:left="0" w:right="0" w:hanging="0"/>
              <w:jc w:val="right"/>
              <w:rPr/>
            </w:pPr>
            <w:r>
              <w:rPr/>
              <w:t> </w:t>
            </w:r>
          </w:p>
        </w:tc>
        <w:tc>
          <w:tcPr>
            <w:tcW w:w="91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(54)</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286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Other long-term liabilities</w:t>
            </w:r>
          </w:p>
        </w:tc>
        <w:tc>
          <w:tcPr>
            <w:tcW w:w="346" w:type="dxa"/>
            <w:tcBorders/>
            <w:vAlign w:val="center"/>
          </w:tcPr>
          <w:p>
            <w:pPr>
              <w:pStyle w:val="TableContents"/>
              <w:bidi w:val="0"/>
              <w:spacing w:lineRule="auto" w:line="285" w:before="0" w:after="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74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1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91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286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Total fair value of derivatives,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4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(510)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1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1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(50)</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both"/>
        <w:rPr/>
      </w:pPr>
      <w:r>
        <w:rPr/>
        <w:t>​</w:t>
      </w:r>
    </w:p>
    <w:tbl>
      <w:tblPr>
        <w:tblW w:w="6166" w:type="dxa"/>
        <w:jc w:val="left"/>
        <w:tblInd w:w="0" w:type="dxa"/>
        <w:tblLayout w:type="fixed"/>
        <w:tblCellMar>
          <w:top w:w="0" w:type="dxa"/>
          <w:left w:w="0" w:type="dxa"/>
          <w:bottom w:w="0" w:type="dxa"/>
          <w:right w:w="0" w:type="dxa"/>
        </w:tblCellMar>
      </w:tblPr>
      <w:tblGrid>
        <w:gridCol w:w="2866"/>
        <w:gridCol w:w="346"/>
        <w:gridCol w:w="247"/>
        <w:gridCol w:w="744"/>
        <w:gridCol w:w="346"/>
        <w:gridCol w:w="540"/>
        <w:gridCol w:w="886"/>
        <w:gridCol w:w="191"/>
      </w:tblGrid>
      <w:tr>
        <w:trPr/>
        <w:tc>
          <w:tcPr>
            <w:tcW w:w="2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819910" cy="175260"/>
                      <wp:effectExtent l="0" t="0" r="0" b="0"/>
                      <wp:wrapNone/>
                      <wp:docPr id="241" name="Frame241"/>
                      <a:graphic xmlns:a="http://schemas.openxmlformats.org/drawingml/2006/main">
                        <a:graphicData uri="http://schemas.microsoft.com/office/word/2010/wordprocessingShape">
                          <wps:wsp>
                            <wps:cNvSpPr txBox="1"/>
                            <wps:spPr>
                              <a:xfrm>
                                <a:off x="0" y="0"/>
                                <a:ext cx="1819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19710" cy="175260"/>
                      <wp:effectExtent l="0" t="0" r="0" b="0"/>
                      <wp:wrapNone/>
                      <wp:docPr id="242" name="Frame2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56845" cy="175260"/>
                      <wp:effectExtent l="0" t="0" r="0" b="0"/>
                      <wp:wrapNone/>
                      <wp:docPr id="243" name="Frame243"/>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472440" cy="175260"/>
                      <wp:effectExtent l="0" t="0" r="0" b="0"/>
                      <wp:wrapNone/>
                      <wp:docPr id="244" name="Frame244"/>
                      <a:graphic xmlns:a="http://schemas.openxmlformats.org/drawingml/2006/main">
                        <a:graphicData uri="http://schemas.microsoft.com/office/word/2010/wordprocessingShape">
                          <wps:wsp>
                            <wps:cNvSpPr txBox="1"/>
                            <wps:spPr>
                              <a:xfrm>
                                <a:off x="0" y="0"/>
                                <a:ext cx="4724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19710" cy="175260"/>
                      <wp:effectExtent l="0" t="0" r="0" b="0"/>
                      <wp:wrapNone/>
                      <wp:docPr id="245" name="Frame2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342900" cy="175260"/>
                      <wp:effectExtent l="0" t="0" r="0" b="0"/>
                      <wp:wrapNone/>
                      <wp:docPr id="246" name="Frame246"/>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562610" cy="175260"/>
                      <wp:effectExtent l="0" t="0" r="0" b="0"/>
                      <wp:wrapNone/>
                      <wp:docPr id="247" name="Frame24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21285" cy="175260"/>
                      <wp:effectExtent l="0" t="0" r="0" b="0"/>
                      <wp:wrapNone/>
                      <wp:docPr id="248" name="Frame248"/>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8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2763"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December 31, 2025</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86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337" w:type="dxa"/>
            <w:gridSpan w:val="3"/>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Designated</w:t>
            </w:r>
          </w:p>
        </w:tc>
        <w:tc>
          <w:tcPr>
            <w:tcW w:w="142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Not Designated</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86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337" w:type="dxa"/>
            <w:gridSpan w:val="3"/>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as Hedging</w:t>
            </w:r>
          </w:p>
        </w:tc>
        <w:tc>
          <w:tcPr>
            <w:tcW w:w="142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as Hedging</w:t>
            </w:r>
          </w:p>
        </w:tc>
        <w:tc>
          <w:tcPr>
            <w:tcW w:w="191" w:type="dxa"/>
            <w:tcBorders/>
            <w:vAlign w:val="center"/>
          </w:tcPr>
          <w:p>
            <w:pPr>
              <w:pStyle w:val="TableContents"/>
              <w:bidi w:val="0"/>
              <w:spacing w:lineRule="auto" w:line="285" w:before="0" w:after="0"/>
              <w:ind w:left="0" w:right="0" w:hanging="0"/>
              <w:jc w:val="center"/>
              <w:rPr/>
            </w:pPr>
            <w:r>
              <w:rPr/>
              <w:t>​</w:t>
            </w:r>
          </w:p>
        </w:tc>
      </w:tr>
      <w:tr>
        <w:trPr/>
        <w:tc>
          <w:tcPr>
            <w:tcW w:w="286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Designation:</w:t>
            </w:r>
          </w:p>
        </w:tc>
        <w:tc>
          <w:tcPr>
            <w:tcW w:w="346" w:type="dxa"/>
            <w:tcBorders/>
            <w:vAlign w:val="center"/>
          </w:tcPr>
          <w:p>
            <w:pPr>
              <w:pStyle w:val="TableContents"/>
              <w:bidi w:val="0"/>
              <w:spacing w:lineRule="auto" w:line="285" w:before="0" w:after="0"/>
              <w:ind w:left="0" w:right="0" w:hanging="0"/>
              <w:jc w:val="center"/>
              <w:rPr/>
            </w:pPr>
            <w:r>
              <w:rPr/>
              <w:t>​</w:t>
            </w:r>
          </w:p>
        </w:tc>
        <w:tc>
          <w:tcPr>
            <w:tcW w:w="1337" w:type="dxa"/>
            <w:gridSpan w:val="3"/>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Instruments</w:t>
            </w:r>
          </w:p>
        </w:tc>
        <w:tc>
          <w:tcPr>
            <w:tcW w:w="142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Instruments</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86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991"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Foreign</w:t>
            </w:r>
          </w:p>
        </w:tc>
        <w:tc>
          <w:tcPr>
            <w:tcW w:w="346" w:type="dxa"/>
            <w:tcBorders/>
            <w:vAlign w:val="center"/>
          </w:tcPr>
          <w:p>
            <w:pPr>
              <w:pStyle w:val="TableContents"/>
              <w:bidi w:val="0"/>
              <w:spacing w:lineRule="auto" w:line="285" w:before="0" w:after="0"/>
              <w:ind w:left="0" w:right="0" w:hanging="0"/>
              <w:jc w:val="center"/>
              <w:rPr/>
            </w:pPr>
            <w:r>
              <w:rPr/>
              <w:t>  ​ ​ ​</w:t>
            </w:r>
          </w:p>
        </w:tc>
        <w:tc>
          <w:tcPr>
            <w:tcW w:w="142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Foreign</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86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Derivative contract type:</w:t>
            </w:r>
          </w:p>
        </w:tc>
        <w:tc>
          <w:tcPr>
            <w:tcW w:w="346" w:type="dxa"/>
            <w:tcBorders/>
            <w:vAlign w:val="center"/>
          </w:tcPr>
          <w:p>
            <w:pPr>
              <w:pStyle w:val="TableContents"/>
              <w:bidi w:val="0"/>
              <w:spacing w:lineRule="auto" w:line="285" w:before="0" w:after="0"/>
              <w:ind w:left="0" w:right="0" w:hanging="0"/>
              <w:jc w:val="center"/>
              <w:rPr/>
            </w:pPr>
            <w:r>
              <w:rPr/>
              <w:t>​</w:t>
            </w:r>
          </w:p>
        </w:tc>
        <w:tc>
          <w:tcPr>
            <w:tcW w:w="99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Exchange</w:t>
            </w:r>
          </w:p>
        </w:tc>
        <w:tc>
          <w:tcPr>
            <w:tcW w:w="346" w:type="dxa"/>
            <w:tcBorders/>
            <w:vAlign w:val="center"/>
          </w:tcPr>
          <w:p>
            <w:pPr>
              <w:pStyle w:val="TableContents"/>
              <w:bidi w:val="0"/>
              <w:spacing w:lineRule="auto" w:line="285" w:before="0" w:after="0"/>
              <w:ind w:left="0" w:right="0" w:hanging="0"/>
              <w:jc w:val="center"/>
              <w:rPr/>
            </w:pPr>
            <w:r>
              <w:rPr/>
              <w:t>​</w:t>
            </w:r>
          </w:p>
        </w:tc>
        <w:tc>
          <w:tcPr>
            <w:tcW w:w="142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Exchange</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86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Derivative classification:</w:t>
            </w:r>
          </w:p>
        </w:tc>
        <w:tc>
          <w:tcPr>
            <w:tcW w:w="346" w:type="dxa"/>
            <w:tcBorders/>
            <w:vAlign w:val="center"/>
          </w:tcPr>
          <w:p>
            <w:pPr>
              <w:pStyle w:val="TableContents"/>
              <w:bidi w:val="0"/>
              <w:spacing w:lineRule="auto" w:line="285" w:before="0" w:after="0"/>
              <w:ind w:left="0" w:right="0" w:hanging="0"/>
              <w:jc w:val="center"/>
              <w:rPr/>
            </w:pPr>
            <w:r>
              <w:rPr/>
              <w:t>​</w:t>
            </w:r>
          </w:p>
        </w:tc>
        <w:tc>
          <w:tcPr>
            <w:tcW w:w="99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Cash Flow</w:t>
            </w:r>
          </w:p>
        </w:tc>
        <w:tc>
          <w:tcPr>
            <w:tcW w:w="346" w:type="dxa"/>
            <w:tcBorders/>
            <w:vAlign w:val="center"/>
          </w:tcPr>
          <w:p>
            <w:pPr>
              <w:pStyle w:val="TableContents"/>
              <w:bidi w:val="0"/>
              <w:spacing w:lineRule="auto" w:line="285" w:before="0" w:after="0"/>
              <w:ind w:left="0" w:right="0" w:hanging="0"/>
              <w:jc w:val="center"/>
              <w:rPr/>
            </w:pPr>
            <w:r>
              <w:rPr/>
              <w:t>​</w:t>
            </w:r>
          </w:p>
        </w:tc>
        <w:tc>
          <w:tcPr>
            <w:tcW w:w="142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Fair Value</w:t>
            </w:r>
          </w:p>
        </w:tc>
        <w:tc>
          <w:tcPr>
            <w:tcW w:w="191" w:type="dxa"/>
            <w:tcBorders/>
            <w:vAlign w:val="center"/>
          </w:tcPr>
          <w:p>
            <w:pPr>
              <w:pStyle w:val="TableContents"/>
              <w:bidi w:val="0"/>
              <w:spacing w:lineRule="auto" w:line="285" w:before="0" w:after="0"/>
              <w:ind w:left="0" w:right="0" w:hanging="0"/>
              <w:jc w:val="center"/>
              <w:rPr/>
            </w:pPr>
            <w:r>
              <w:rPr/>
              <w:t>​</w:t>
            </w:r>
          </w:p>
        </w:tc>
      </w:tr>
      <w:tr>
        <w:trPr/>
        <w:tc>
          <w:tcPr>
            <w:tcW w:w="28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7" w:type="dxa"/>
            <w:tcBorders/>
            <w:vAlign w:val="center"/>
          </w:tcPr>
          <w:p>
            <w:pPr>
              <w:pStyle w:val="TableContents"/>
              <w:bidi w:val="0"/>
              <w:spacing w:lineRule="auto" w:line="285" w:before="0" w:after="0"/>
              <w:ind w:left="0" w:right="0" w:hanging="0"/>
              <w:jc w:val="right"/>
              <w:rPr/>
            </w:pPr>
            <w:r>
              <w:rPr/>
              <w:t>​</w:t>
            </w:r>
          </w:p>
        </w:tc>
        <w:tc>
          <w:tcPr>
            <w:tcW w:w="74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40" w:type="dxa"/>
            <w:tcBorders/>
            <w:vAlign w:val="center"/>
          </w:tcPr>
          <w:p>
            <w:pPr>
              <w:pStyle w:val="TableContents"/>
              <w:bidi w:val="0"/>
              <w:spacing w:lineRule="auto" w:line="285" w:before="0" w:after="0"/>
              <w:ind w:left="0" w:right="0" w:hanging="0"/>
              <w:jc w:val="right"/>
              <w:rPr/>
            </w:pPr>
            <w:r>
              <w:rPr/>
              <w:t>​</w:t>
            </w:r>
          </w:p>
        </w:tc>
        <w:tc>
          <w:tcPr>
            <w:tcW w:w="886"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286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Prepaids and other current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7"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4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1,632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40"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8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54</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286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Other long-term assets</w:t>
            </w:r>
          </w:p>
        </w:tc>
        <w:tc>
          <w:tcPr>
            <w:tcW w:w="346" w:type="dxa"/>
            <w:tcBorders/>
            <w:vAlign w:val="center"/>
          </w:tcPr>
          <w:p>
            <w:pPr>
              <w:pStyle w:val="TableContents"/>
              <w:bidi w:val="0"/>
              <w:spacing w:lineRule="auto" w:line="285" w:before="0" w:after="0"/>
              <w:ind w:left="0" w:right="0" w:hanging="0"/>
              <w:jc w:val="left"/>
              <w:rPr/>
            </w:pPr>
            <w:r>
              <w:rPr/>
              <w:t>​</w:t>
            </w:r>
          </w:p>
        </w:tc>
        <w:tc>
          <w:tcPr>
            <w:tcW w:w="247" w:type="dxa"/>
            <w:tcBorders/>
            <w:vAlign w:val="center"/>
          </w:tcPr>
          <w:p>
            <w:pPr>
              <w:pStyle w:val="TableContents"/>
              <w:bidi w:val="0"/>
              <w:spacing w:lineRule="auto" w:line="285" w:before="0" w:after="0"/>
              <w:ind w:left="0" w:right="0" w:hanging="0"/>
              <w:jc w:val="right"/>
              <w:rPr/>
            </w:pPr>
            <w:r>
              <w:rPr/>
              <w:t> </w:t>
            </w:r>
          </w:p>
        </w:tc>
        <w:tc>
          <w:tcPr>
            <w:tcW w:w="74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40" w:type="dxa"/>
            <w:tcBorders/>
            <w:vAlign w:val="center"/>
          </w:tcPr>
          <w:p>
            <w:pPr>
              <w:pStyle w:val="TableContents"/>
              <w:bidi w:val="0"/>
              <w:spacing w:lineRule="auto" w:line="285" w:before="0" w:after="0"/>
              <w:ind w:left="0" w:right="0" w:hanging="0"/>
              <w:jc w:val="right"/>
              <w:rPr/>
            </w:pPr>
            <w:r>
              <w:rPr/>
              <w:t> </w:t>
            </w:r>
          </w:p>
        </w:tc>
        <w:tc>
          <w:tcPr>
            <w:tcW w:w="886"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286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Other current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7" w:type="dxa"/>
            <w:tcBorders/>
            <w:shd w:fill="CCEEFF" w:val="clear"/>
            <w:vAlign w:val="center"/>
          </w:tcPr>
          <w:p>
            <w:pPr>
              <w:pStyle w:val="TableContents"/>
              <w:bidi w:val="0"/>
              <w:spacing w:lineRule="auto" w:line="285" w:before="0" w:after="0"/>
              <w:ind w:left="0" w:right="0" w:hanging="0"/>
              <w:jc w:val="right"/>
              <w:rPr/>
            </w:pPr>
            <w:r>
              <w:rPr/>
              <w:t> </w:t>
            </w:r>
          </w:p>
        </w:tc>
        <w:tc>
          <w:tcPr>
            <w:tcW w:w="74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(1,260)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40" w:type="dxa"/>
            <w:tcBorders/>
            <w:shd w:fill="CCEEFF" w:val="clear"/>
            <w:vAlign w:val="center"/>
          </w:tcPr>
          <w:p>
            <w:pPr>
              <w:pStyle w:val="TableContents"/>
              <w:bidi w:val="0"/>
              <w:spacing w:lineRule="auto" w:line="285" w:before="0" w:after="0"/>
              <w:ind w:left="0" w:right="0" w:hanging="0"/>
              <w:jc w:val="right"/>
              <w:rPr/>
            </w:pPr>
            <w:r>
              <w:rPr/>
              <w:t> </w:t>
            </w:r>
          </w:p>
        </w:tc>
        <w:tc>
          <w:tcPr>
            <w:tcW w:w="886"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286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Other long-term liabilities</w:t>
            </w:r>
          </w:p>
        </w:tc>
        <w:tc>
          <w:tcPr>
            <w:tcW w:w="346" w:type="dxa"/>
            <w:tcBorders/>
            <w:vAlign w:val="center"/>
          </w:tcPr>
          <w:p>
            <w:pPr>
              <w:pStyle w:val="TableContents"/>
              <w:bidi w:val="0"/>
              <w:spacing w:lineRule="auto" w:line="285" w:before="0" w:after="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74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(31)</w:t>
            </w:r>
          </w:p>
        </w:tc>
        <w:tc>
          <w:tcPr>
            <w:tcW w:w="346" w:type="dxa"/>
            <w:tcBorders/>
            <w:vAlign w:val="center"/>
          </w:tcPr>
          <w:p>
            <w:pPr>
              <w:pStyle w:val="TableContents"/>
              <w:bidi w:val="0"/>
              <w:spacing w:lineRule="auto" w:line="285" w:before="0" w:after="0"/>
              <w:ind w:left="0" w:right="0" w:hanging="0"/>
              <w:jc w:val="left"/>
              <w:rPr/>
            </w:pPr>
            <w:r>
              <w:rPr/>
              <w:t>​</w:t>
            </w:r>
          </w:p>
        </w:tc>
        <w:tc>
          <w:tcPr>
            <w:tcW w:w="54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88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286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Total fair value of derivatives,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4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341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4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8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54</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Cash Flow Hedges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 xml:space="preserve">Changes in fair value of derivative instruments designated as cash flow hedges are recorded in Accumulated other comprehensive income (loss), a component of Stockholders’ Equity, to the extent they are deemed effective. Ineffectiveness is measured based on the change in fair value of the forward contracts and the fair value of the hypothetical derivatives with terms that match the critical terms of the risk being hedged. Based on the criteria established by current accounting standards, the Company’s cash flow hedge contracts are deemed to be highly effective. Any realized gains or losses resulting from the foreign currency cash flow hedges are recognized together with the hedged transaction within Revenue. </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13</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TTEC HOLDINGS, INC. AND SUBSIDIARIES</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Notes to Consolidated Financial Statements</w:t>
      </w:r>
    </w:p>
    <w:p>
      <w:pPr>
        <w:pStyle w:val="TextBody"/>
        <w:bidi w:val="0"/>
        <w:spacing w:lineRule="auto" w:line="285" w:before="0" w:after="24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lineRule="auto" w:line="285" w:before="0" w:after="0"/>
        <w:ind w:left="0" w:right="0" w:hanging="0"/>
        <w:jc w:val="both"/>
        <w:rPr>
          <w:rFonts w:ascii="Arial;Helvetica;sans-serif" w:hAnsi="Arial;Helvetica;sans-serif"/>
          <w:sz w:val="20"/>
        </w:rPr>
      </w:pPr>
      <w:bookmarkStart w:id="1286" w:name="Tc_G-KytESudUKQwwocMaq3cA_11_11"/>
      <w:bookmarkStart w:id="1287" w:name="Tc_ZEtjGqXAUUWq4hjq7b9DGA_11_8"/>
      <w:bookmarkStart w:id="1288" w:name="Tc_s8jxbLlR10u56uiwOR6-IQ_11_5"/>
      <w:bookmarkStart w:id="1289" w:name="Tc_orFwJqPXSESrVqLTa-GdrA_11_2"/>
      <w:bookmarkStart w:id="1290" w:name="Tc_wa_mT-FEakGwTzGxE9tkXg_11_0"/>
      <w:bookmarkStart w:id="1291" w:name="Tc_PHPSI2hJ4UyueDOxdaX_ew_10_0"/>
      <w:bookmarkStart w:id="1292" w:name="Tc_TZeymxXgtkWCfI50NqIlxQ_9_11"/>
      <w:bookmarkStart w:id="1293" w:name="Tc_CcBchVHTVE2eXyBW_DE6cw_9_8"/>
      <w:bookmarkStart w:id="1294" w:name="Tc_j0C-U5S6x0e1u6YeTwGkhw_9_5"/>
      <w:bookmarkStart w:id="1295" w:name="Tc_HPut6hJ28kaHdJ67zxb1OQ_9_2"/>
      <w:bookmarkStart w:id="1296" w:name="Tc_fmBiN3BEskScm-eY8vjK_w_9_0"/>
      <w:bookmarkStart w:id="1297" w:name="Tc_uFFe74UT8k2x6mXSrvzqEw_8_0"/>
      <w:bookmarkStart w:id="1298" w:name="Tc_ns9w_Flfrk-iTbVLhuNQPQ_6_11"/>
      <w:bookmarkStart w:id="1299" w:name="Tc_HKiuiK8qGkamzmeO8fA9nw_6_8"/>
      <w:bookmarkStart w:id="1300" w:name="Tc_R0iBexm1lE6Y235WC9DsYg_6_5"/>
      <w:bookmarkStart w:id="1301" w:name="Tc_DiDU6LxuvESup1ZJ7l9waA_6_2"/>
      <w:bookmarkStart w:id="1302" w:name="Tc_14rDWyd2e06KhcYMGq42IA_6_0"/>
      <w:bookmarkStart w:id="1303" w:name="Tc_0ALUwvDZrk26K9f5zWJTQg_4_0"/>
      <w:bookmarkStart w:id="1304" w:name="Tc_j_iBppU4WEOHakc9cCTgMQ_3_11"/>
      <w:bookmarkStart w:id="1305" w:name="Tc_rj6eSGffy02B6n1svTREIg_3_8"/>
      <w:bookmarkStart w:id="1306" w:name="Tc_h6-ne1FBf0ybucxWcfpT1g_3_5"/>
      <w:bookmarkStart w:id="1307" w:name="Tc_TohtVZc8zkmhmka-k5D8eQ_3_2"/>
      <w:bookmarkStart w:id="1308" w:name="Tc_B2ZPYjWtyk-OwXfR7vlZkw_2_8"/>
      <w:bookmarkStart w:id="1309" w:name="Tc_3mH0YCl9pUy9VFmWd3TqQA_2_2"/>
      <w:bookmarkStart w:id="1310" w:name="Tc_ydvafsJK6ka37VBL5QQIlg_1_8"/>
      <w:bookmarkStart w:id="1311" w:name="Tc_WIxO1rqMJE-RHg2LbO1MJw_1_2"/>
      <w:bookmarkStart w:id="1312" w:name="_9e6e0079_fd2c_4370_8ba4_5c67fc2f3d57"/>
      <w:bookmarkStart w:id="1313" w:name="Tc_OrwuiQ-ALUWXYHRtwSvgdw_8_4"/>
      <w:bookmarkStart w:id="1314" w:name="Tc_UnThuHMTpEeGrRKXe6e_Ug_7_9"/>
      <w:bookmarkStart w:id="1315" w:name="Tc_DCT_u6LvI0CO29yWBb2LSg_7_0"/>
      <w:bookmarkStart w:id="1316" w:name="Tc_xJG6PFLp8UaESmbNXaxFNw_6_9"/>
      <w:bookmarkStart w:id="1317" w:name="Tc_844PwPKxBEi5qSCO07EssQ_6_0"/>
      <w:bookmarkStart w:id="1318" w:name="Tc_5o05tkkwFEm44KPNNt_s-Q_5_9"/>
      <w:bookmarkStart w:id="1319" w:name="Tc_ChFY6Yy3cUukDGr3s2257A_5_6"/>
      <w:bookmarkStart w:id="1320" w:name="Tc_LblZCDSpT0yy7-kMbfmTMA_5_4"/>
      <w:bookmarkStart w:id="1321" w:name="Tc_V1oQQ2Uwj0GyW6tYqMiaqA_5_0"/>
      <w:bookmarkStart w:id="1322" w:name="Tc_JVehc_sv-EWZ_wnRDEdAKA_4_11"/>
      <w:bookmarkStart w:id="1323" w:name="Tc_2_FwItgLo0CHDneJyfkbrw_4_8"/>
      <w:bookmarkStart w:id="1324" w:name="Tc_X-DoVfiRpkKM9npecodpCw_4_4"/>
      <w:bookmarkStart w:id="1325" w:name="Tc_cTPuh88bZEmar8Yw-zdJuw_4_2"/>
      <w:bookmarkStart w:id="1326" w:name="Tc_ljxvXHPuIE6LtelN0RtHLQ_4_0"/>
      <w:bookmarkStart w:id="1327" w:name="Tc_dVjbCAuwnEWeKBsBTVjVZQ_3_11"/>
      <w:bookmarkStart w:id="1328" w:name="Tc_RXNAugDMDUOThjdkl7JtWw_3_8"/>
      <w:bookmarkStart w:id="1329" w:name="Tc_QZ4E1R40b0-UfXcoeWPtNQ_3_4"/>
      <w:bookmarkStart w:id="1330" w:name="Tc_af6dYZmP9UeadNqQ6oGuSA_3_2"/>
      <w:bookmarkStart w:id="1331" w:name="Tc_BAZmTueCmEG1aJGiuvSyPA_2_11"/>
      <w:bookmarkStart w:id="1332" w:name="Tc_g-lUiHnB2EaA5AkrAzFxSw_2_8"/>
      <w:bookmarkStart w:id="1333" w:name="Tc_eLuQkoaKwUKUrxLnwAdJhQ_2_4"/>
      <w:bookmarkStart w:id="1334" w:name="Tc_o3JC_gNmjUiI8n9ehe0ohQ_2_2"/>
      <w:bookmarkStart w:id="1335" w:name="Tc_qrTNqVxUaUaUiOF7pPHDfw_1_2"/>
      <w:bookmarkStart w:id="1336" w:name="_410542fe_16b0_4b0f_84bf_c38b272bd8f5"/>
      <w:bookmarkStart w:id="1337" w:name="Tc_6PtTONcQD0-LMdqpNq19Cg_8_4"/>
      <w:bookmarkStart w:id="1338" w:name="Tc_Jdd6H-HSIUu9xhivt-ms9A_7_9"/>
      <w:bookmarkStart w:id="1339" w:name="Tc_egQFD2U64Em5z5nQfAlj8Q_7_0"/>
      <w:bookmarkStart w:id="1340" w:name="Tc_wrFl46SJvke4DyCXgxrKug_6_9"/>
      <w:bookmarkStart w:id="1341" w:name="Tc_pmC5kD2s1Eqr_MqijRdgdg_6_0"/>
      <w:bookmarkStart w:id="1342" w:name="Tc_7M0r6qj62kOltQsLNyI6wA_5_9"/>
      <w:bookmarkStart w:id="1343" w:name="Tc_P7nSjn0n20uUAtALrERUug_5_6"/>
      <w:bookmarkStart w:id="1344" w:name="Tc_UNwKrWNTRUOeB7eIdL4xEw_5_4"/>
      <w:bookmarkStart w:id="1345" w:name="Tc__29c0IXM9U-TZuvu6TiGEA_5_0"/>
      <w:bookmarkStart w:id="1346" w:name="Tc_xiEHlt6bWUeaGg1hI_h0ig_4_11"/>
      <w:bookmarkStart w:id="1347" w:name="Tc_3tkGUixxbEOPZYlvPjkuQQ_4_8"/>
      <w:bookmarkStart w:id="1348" w:name="Tc_MEaSNVdHMUmHIiOc5w-5fA_4_4"/>
      <w:bookmarkStart w:id="1349" w:name="Tc_vt26eOEjPEeOCTcGqFibNA_4_2"/>
      <w:bookmarkStart w:id="1350" w:name="Tc_cGZX3fYqFUaz46ejvSWeDQ_4_0"/>
      <w:bookmarkStart w:id="1351" w:name="Tc_90NDLEzxuEm3j2BiebQYCA_3_11"/>
      <w:bookmarkStart w:id="1352" w:name="Tc_jdSsuIjwqEmszcIgv_W8jA_3_8"/>
      <w:bookmarkStart w:id="1353" w:name="Tc_Uje-v3CYOU-VCKPn5yRZGA_3_4"/>
      <w:bookmarkStart w:id="1354" w:name="Tc_gh_u6HVF-kKPZRvwfP3uDw_3_2"/>
      <w:bookmarkStart w:id="1355" w:name="Tc_UJjuCIJlAUiQiKm0v7auaQ_2_11"/>
      <w:bookmarkStart w:id="1356" w:name="Tc_Zl3pM1C2NEyrciqhvjTjNA_2_8"/>
      <w:bookmarkStart w:id="1357" w:name="Tc_NCL8nOhU_Uu4YaCYcOc8Jg_2_4"/>
      <w:bookmarkStart w:id="1358" w:name="Tc_u0cXk8ZNo0OL1var4af9xg_2_2"/>
      <w:bookmarkStart w:id="1359" w:name="Tc_TxvwOR2QYU-_QczPLlgQaQ_1_2"/>
      <w:bookmarkStart w:id="1360" w:name="_2f9a0cb9_0e3d_4cfc_82e8_4be8e703010b"/>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r>
        <w:rPr>
          <w:rFonts w:ascii="Arial;Helvetica;sans-serif" w:hAnsi="Arial;Helvetica;sans-serif"/>
          <w:sz w:val="20"/>
        </w:rPr>
        <w:t>The Company’s foreign exchange cash flow hedging instruments as of June 30, 2026 and December 31, 2025 are summarized as follows (amounts in thousands). All hedging instruments are forward contracts.</w:t>
      </w:r>
    </w:p>
    <w:p>
      <w:pPr>
        <w:pStyle w:val="TextBody"/>
        <w:bidi w:val="0"/>
        <w:spacing w:lineRule="auto" w:line="285" w:before="0" w:after="0"/>
        <w:ind w:left="0" w:right="0" w:hanging="0"/>
        <w:jc w:val="left"/>
        <w:rPr/>
      </w:pPr>
      <w:r>
        <w:rPr/>
        <w:t>​</w:t>
      </w:r>
    </w:p>
    <w:tbl>
      <w:tblPr>
        <w:tblW w:w="7918" w:type="dxa"/>
        <w:jc w:val="left"/>
        <w:tblInd w:w="0" w:type="dxa"/>
        <w:tblLayout w:type="fixed"/>
        <w:tblCellMar>
          <w:top w:w="0" w:type="dxa"/>
          <w:left w:w="0" w:type="dxa"/>
          <w:bottom w:w="0" w:type="dxa"/>
          <w:right w:w="0" w:type="dxa"/>
        </w:tblCellMar>
      </w:tblPr>
      <w:tblGrid>
        <w:gridCol w:w="1801"/>
        <w:gridCol w:w="346"/>
        <w:gridCol w:w="931"/>
        <w:gridCol w:w="346"/>
        <w:gridCol w:w="239"/>
        <w:gridCol w:w="767"/>
        <w:gridCol w:w="346"/>
        <w:gridCol w:w="109"/>
        <w:gridCol w:w="1066"/>
        <w:gridCol w:w="361"/>
        <w:gridCol w:w="109"/>
        <w:gridCol w:w="1306"/>
        <w:gridCol w:w="191"/>
      </w:tblGrid>
      <w:tr>
        <w:trPr/>
        <w:tc>
          <w:tcPr>
            <w:tcW w:w="180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left"/>
              <w:rPr/>
            </w:pPr>
            <w:r>
              <w:rPr/>
              <w:t>​</w:t>
            </w:r>
          </w:p>
        </w:tc>
        <w:tc>
          <w:tcPr>
            <w:tcW w:w="767"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66" w:type="dxa"/>
            <w:tcBorders/>
            <w:vAlign w:val="center"/>
          </w:tcPr>
          <w:p>
            <w:pPr>
              <w:pStyle w:val="TableContents"/>
              <w:bidi w:val="0"/>
              <w:spacing w:lineRule="auto" w:line="285" w:before="0" w:after="0"/>
              <w:ind w:left="0" w:right="0" w:hanging="0"/>
              <w:jc w:val="left"/>
              <w:rPr/>
            </w:pPr>
            <w:r>
              <w:rPr/>
              <w:t>​</w:t>
            </w:r>
          </w:p>
        </w:tc>
        <w:tc>
          <w:tcPr>
            <w:tcW w:w="36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306" w:type="dxa"/>
            <w:tcBorders/>
            <w:vAlign w:val="center"/>
          </w:tcPr>
          <w:p>
            <w:pPr>
              <w:pStyle w:val="TableContents"/>
              <w:bidi w:val="0"/>
              <w:spacing w:lineRule="auto" w:line="285" w:before="0" w:after="0"/>
              <w:ind w:left="0" w:right="0" w:hanging="0"/>
              <w:jc w:val="lef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180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931"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Local</w:t>
            </w:r>
          </w:p>
        </w:tc>
        <w:tc>
          <w:tcPr>
            <w:tcW w:w="346" w:type="dxa"/>
            <w:tcBorders/>
            <w:vAlign w:val="center"/>
          </w:tcPr>
          <w:p>
            <w:pPr>
              <w:pStyle w:val="TableContents"/>
              <w:bidi w:val="0"/>
              <w:spacing w:lineRule="auto" w:line="285" w:before="0" w:after="0"/>
              <w:ind w:left="0" w:right="0" w:hanging="0"/>
              <w:jc w:val="center"/>
              <w:rPr/>
            </w:pPr>
            <w:r>
              <w:rPr/>
              <w:t>  ​ ​ ​</w:t>
            </w:r>
          </w:p>
        </w:tc>
        <w:tc>
          <w:tcPr>
            <w:tcW w:w="239" w:type="dxa"/>
            <w:tcBorders/>
            <w:vAlign w:val="center"/>
          </w:tcPr>
          <w:p>
            <w:pPr>
              <w:pStyle w:val="TableContents"/>
              <w:bidi w:val="0"/>
              <w:spacing w:lineRule="auto" w:line="285" w:before="0" w:after="0"/>
              <w:ind w:left="0" w:right="0" w:hanging="0"/>
              <w:jc w:val="center"/>
              <w:rPr/>
            </w:pPr>
            <w:r>
              <w:rPr/>
              <w:t>​</w:t>
            </w:r>
          </w:p>
        </w:tc>
        <w:tc>
          <w:tcPr>
            <w:tcW w:w="767"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09" w:type="dxa"/>
            <w:tcBorders/>
            <w:vAlign w:val="center"/>
          </w:tcPr>
          <w:p>
            <w:pPr>
              <w:pStyle w:val="TableContents"/>
              <w:bidi w:val="0"/>
              <w:spacing w:lineRule="auto" w:line="285" w:before="0" w:after="0"/>
              <w:ind w:left="0" w:right="0" w:hanging="0"/>
              <w:jc w:val="center"/>
              <w:rPr/>
            </w:pPr>
            <w:r>
              <w:rPr/>
              <w:t>​</w:t>
            </w:r>
          </w:p>
        </w:tc>
        <w:tc>
          <w:tcPr>
            <w:tcW w:w="1066" w:type="dxa"/>
            <w:tcBorders/>
            <w:vAlign w:val="center"/>
          </w:tcPr>
          <w:p>
            <w:pPr>
              <w:pStyle w:val="TableContents"/>
              <w:bidi w:val="0"/>
              <w:spacing w:lineRule="auto" w:line="285" w:before="0" w:after="0"/>
              <w:ind w:left="0" w:right="0" w:hanging="0"/>
              <w:jc w:val="center"/>
              <w:rPr/>
            </w:pPr>
            <w:r>
              <w:rPr/>
              <w:t>​</w:t>
            </w:r>
          </w:p>
        </w:tc>
        <w:tc>
          <w:tcPr>
            <w:tcW w:w="361" w:type="dxa"/>
            <w:tcBorders/>
            <w:vAlign w:val="center"/>
          </w:tcPr>
          <w:p>
            <w:pPr>
              <w:pStyle w:val="TableContents"/>
              <w:bidi w:val="0"/>
              <w:spacing w:lineRule="auto" w:line="285" w:before="0" w:after="0"/>
              <w:ind w:left="0" w:right="0" w:hanging="0"/>
              <w:jc w:val="center"/>
              <w:rPr/>
            </w:pPr>
            <w:r>
              <w:rPr/>
              <w:t>  ​ ​ ​</w:t>
            </w:r>
          </w:p>
        </w:tc>
        <w:tc>
          <w:tcPr>
            <w:tcW w:w="109" w:type="dxa"/>
            <w:tcBorders/>
            <w:vAlign w:val="center"/>
          </w:tcPr>
          <w:p>
            <w:pPr>
              <w:pStyle w:val="TableContents"/>
              <w:bidi w:val="0"/>
              <w:spacing w:lineRule="auto" w:line="285" w:before="0" w:after="0"/>
              <w:ind w:left="0" w:right="0" w:hanging="0"/>
              <w:jc w:val="center"/>
              <w:rPr/>
            </w:pPr>
            <w:r>
              <w:rPr/>
              <w:t>​</w:t>
            </w:r>
          </w:p>
        </w:tc>
        <w:tc>
          <w:tcPr>
            <w:tcW w:w="1306"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180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931"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Currency</w:t>
            </w:r>
          </w:p>
        </w:tc>
        <w:tc>
          <w:tcPr>
            <w:tcW w:w="346" w:type="dxa"/>
            <w:tcBorders/>
            <w:vAlign w:val="center"/>
          </w:tcPr>
          <w:p>
            <w:pPr>
              <w:pStyle w:val="TableContents"/>
              <w:bidi w:val="0"/>
              <w:spacing w:lineRule="auto" w:line="285" w:before="0" w:after="0"/>
              <w:ind w:left="0" w:right="0" w:hanging="0"/>
              <w:jc w:val="center"/>
              <w:rPr/>
            </w:pPr>
            <w:r>
              <w:rPr/>
              <w:t>​</w:t>
            </w:r>
          </w:p>
        </w:tc>
        <w:tc>
          <w:tcPr>
            <w:tcW w:w="100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U.S. Dollar</w:t>
            </w:r>
          </w:p>
        </w:tc>
        <w:tc>
          <w:tcPr>
            <w:tcW w:w="346"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66"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Maturing</w:t>
            </w:r>
          </w:p>
        </w:tc>
        <w:tc>
          <w:tcPr>
            <w:tcW w:w="36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306"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Contracts</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180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931"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Notional</w:t>
            </w:r>
          </w:p>
        </w:tc>
        <w:tc>
          <w:tcPr>
            <w:tcW w:w="346" w:type="dxa"/>
            <w:tcBorders/>
            <w:vAlign w:val="center"/>
          </w:tcPr>
          <w:p>
            <w:pPr>
              <w:pStyle w:val="TableContents"/>
              <w:bidi w:val="0"/>
              <w:spacing w:lineRule="auto" w:line="285" w:before="0" w:after="0"/>
              <w:ind w:left="0" w:right="0" w:hanging="0"/>
              <w:jc w:val="center"/>
              <w:rPr/>
            </w:pPr>
            <w:r>
              <w:rPr/>
              <w:t>​</w:t>
            </w:r>
          </w:p>
        </w:tc>
        <w:tc>
          <w:tcPr>
            <w:tcW w:w="100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Notional</w:t>
            </w:r>
          </w:p>
        </w:tc>
        <w:tc>
          <w:tcPr>
            <w:tcW w:w="346"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66"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in the next</w:t>
            </w:r>
          </w:p>
        </w:tc>
        <w:tc>
          <w:tcPr>
            <w:tcW w:w="36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306"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Maturing</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180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As of June 30, 2026</w:t>
            </w:r>
          </w:p>
        </w:tc>
        <w:tc>
          <w:tcPr>
            <w:tcW w:w="346" w:type="dxa"/>
            <w:tcBorders/>
            <w:vAlign w:val="center"/>
          </w:tcPr>
          <w:p>
            <w:pPr>
              <w:pStyle w:val="TableContents"/>
              <w:bidi w:val="0"/>
              <w:spacing w:lineRule="auto" w:line="285"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Amount</w:t>
            </w:r>
          </w:p>
        </w:tc>
        <w:tc>
          <w:tcPr>
            <w:tcW w:w="346" w:type="dxa"/>
            <w:tcBorders/>
            <w:vAlign w:val="center"/>
          </w:tcPr>
          <w:p>
            <w:pPr>
              <w:pStyle w:val="TableContents"/>
              <w:bidi w:val="0"/>
              <w:spacing w:lineRule="auto" w:line="285" w:before="0" w:after="0"/>
              <w:ind w:left="0" w:right="0" w:hanging="0"/>
              <w:jc w:val="center"/>
              <w:rPr/>
            </w:pPr>
            <w:r>
              <w:rPr/>
              <w:t>​</w:t>
            </w:r>
          </w:p>
        </w:tc>
        <w:tc>
          <w:tcPr>
            <w:tcW w:w="100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Amount</w:t>
            </w:r>
          </w:p>
        </w:tc>
        <w:tc>
          <w:tcPr>
            <w:tcW w:w="346"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6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12 months</w:t>
            </w:r>
          </w:p>
        </w:tc>
        <w:tc>
          <w:tcPr>
            <w:tcW w:w="36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30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Through</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180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Philippine Peso</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93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2,546,000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67"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43,123</w:t>
            </w:r>
          </w:p>
        </w:tc>
        <w:tc>
          <w:tcPr>
            <w:tcW w:w="346" w:type="dxa"/>
            <w:tcBorders/>
            <w:shd w:fill="CCEEFF" w:val="clear"/>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4"/>
              </w:rPr>
              <w:t>(1)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6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100.0</w:t>
            </w:r>
          </w:p>
        </w:tc>
        <w:tc>
          <w:tcPr>
            <w:tcW w:w="36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  </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306" w:type="dxa"/>
            <w:tcBorders/>
            <w:shd w:fill="CCEEFF" w:val="clear"/>
            <w:vAlign w:val="center"/>
          </w:tcPr>
          <w:p>
            <w:pPr>
              <w:pStyle w:val="TableContents"/>
              <w:bidi w:val="0"/>
              <w:spacing w:lineRule="auto" w:line="285" w:before="0" w:after="0"/>
              <w:ind w:left="0" w:right="0" w:hanging="0"/>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March 2027</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180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Mexican Peso</w:t>
            </w:r>
          </w:p>
        </w:tc>
        <w:tc>
          <w:tcPr>
            <w:tcW w:w="346" w:type="dxa"/>
            <w:tcBorders/>
            <w:vAlign w:val="center"/>
          </w:tcPr>
          <w:p>
            <w:pPr>
              <w:pStyle w:val="TableContents"/>
              <w:bidi w:val="0"/>
              <w:spacing w:lineRule="auto" w:line="285" w:before="0" w:after="0"/>
              <w:ind w:left="0" w:right="0" w:hanging="0"/>
              <w:jc w:val="left"/>
              <w:rPr/>
            </w:pPr>
            <w:r>
              <w:rPr/>
              <w:t> </w:t>
            </w:r>
          </w:p>
        </w:tc>
        <w:tc>
          <w:tcPr>
            <w:tcW w:w="93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221,000</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right"/>
              <w:rPr/>
            </w:pPr>
            <w:r>
              <w:rPr/>
              <w:t> </w:t>
            </w:r>
          </w:p>
        </w:tc>
        <w:tc>
          <w:tcPr>
            <w:tcW w:w="767"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11,412</w:t>
            </w:r>
          </w:p>
        </w:tc>
        <w:tc>
          <w:tcPr>
            <w:tcW w:w="3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66"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100.0</w:t>
            </w:r>
          </w:p>
        </w:tc>
        <w:tc>
          <w:tcPr>
            <w:tcW w:w="36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  </w:t>
            </w:r>
          </w:p>
        </w:tc>
        <w:tc>
          <w:tcPr>
            <w:tcW w:w="109" w:type="dxa"/>
            <w:tcBorders/>
            <w:vAlign w:val="center"/>
          </w:tcPr>
          <w:p>
            <w:pPr>
              <w:pStyle w:val="TableContents"/>
              <w:bidi w:val="0"/>
              <w:spacing w:lineRule="auto" w:line="285" w:before="0" w:after="0"/>
              <w:ind w:left="0" w:right="0" w:hanging="0"/>
              <w:jc w:val="left"/>
              <w:rPr/>
            </w:pPr>
            <w:r>
              <w:rPr/>
              <w:t>​</w:t>
            </w:r>
          </w:p>
        </w:tc>
        <w:tc>
          <w:tcPr>
            <w:tcW w:w="1306" w:type="dxa"/>
            <w:tcBorders/>
            <w:vAlign w:val="center"/>
          </w:tcPr>
          <w:p>
            <w:pPr>
              <w:pStyle w:val="TableContents"/>
              <w:bidi w:val="0"/>
              <w:spacing w:lineRule="auto" w:line="285" w:before="0" w:after="0"/>
              <w:ind w:left="0" w:right="0" w:hanging="0"/>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February 2027</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180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Colombian Peso</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93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2,000,000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76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477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6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100.0</w:t>
            </w:r>
          </w:p>
        </w:tc>
        <w:tc>
          <w:tcPr>
            <w:tcW w:w="36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  </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306" w:type="dxa"/>
            <w:tcBorders/>
            <w:shd w:fill="CCEEFF" w:val="clear"/>
            <w:vAlign w:val="center"/>
          </w:tcPr>
          <w:p>
            <w:pPr>
              <w:pStyle w:val="TableContents"/>
              <w:bidi w:val="0"/>
              <w:spacing w:lineRule="auto" w:line="285" w:before="0" w:after="0"/>
              <w:ind w:left="0" w:right="0" w:hanging="0"/>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August 2026</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180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67"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55,012</w:t>
            </w:r>
          </w:p>
        </w:tc>
        <w:tc>
          <w:tcPr>
            <w:tcW w:w="3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66" w:type="dxa"/>
            <w:tcBorders/>
            <w:vAlign w:val="center"/>
          </w:tcPr>
          <w:p>
            <w:pPr>
              <w:pStyle w:val="TableContents"/>
              <w:bidi w:val="0"/>
              <w:spacing w:lineRule="auto" w:line="285" w:before="0" w:after="0"/>
              <w:ind w:left="0" w:right="0" w:hanging="0"/>
              <w:jc w:val="right"/>
              <w:rPr/>
            </w:pPr>
            <w:r>
              <w:rPr/>
              <w:t>​</w:t>
            </w:r>
          </w:p>
        </w:tc>
        <w:tc>
          <w:tcPr>
            <w:tcW w:w="36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306"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tbl>
      <w:tblPr>
        <w:tblW w:w="8481" w:type="dxa"/>
        <w:jc w:val="left"/>
        <w:tblInd w:w="0" w:type="dxa"/>
        <w:tblLayout w:type="fixed"/>
        <w:tblCellMar>
          <w:top w:w="0" w:type="dxa"/>
          <w:left w:w="0" w:type="dxa"/>
          <w:bottom w:w="0" w:type="dxa"/>
          <w:right w:w="0" w:type="dxa"/>
        </w:tblCellMar>
      </w:tblPr>
      <w:tblGrid>
        <w:gridCol w:w="2281"/>
        <w:gridCol w:w="346"/>
        <w:gridCol w:w="931"/>
        <w:gridCol w:w="346"/>
        <w:gridCol w:w="239"/>
        <w:gridCol w:w="767"/>
        <w:gridCol w:w="346"/>
        <w:gridCol w:w="109"/>
        <w:gridCol w:w="1066"/>
        <w:gridCol w:w="361"/>
        <w:gridCol w:w="109"/>
        <w:gridCol w:w="1426"/>
        <w:gridCol w:w="154"/>
      </w:tblGrid>
      <w:tr>
        <w:trPr/>
        <w:tc>
          <w:tcPr>
            <w:tcW w:w="2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448435" cy="175260"/>
                      <wp:effectExtent l="0" t="0" r="0" b="0"/>
                      <wp:wrapNone/>
                      <wp:docPr id="249" name="Frame249"/>
                      <a:graphic xmlns:a="http://schemas.openxmlformats.org/drawingml/2006/main">
                        <a:graphicData uri="http://schemas.microsoft.com/office/word/2010/wordprocessingShape">
                          <wps:wsp>
                            <wps:cNvSpPr txBox="1"/>
                            <wps:spPr>
                              <a:xfrm>
                                <a:off x="0" y="0"/>
                                <a:ext cx="1448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9710" cy="175260"/>
                      <wp:effectExtent l="0" t="0" r="0" b="0"/>
                      <wp:wrapNone/>
                      <wp:docPr id="250" name="Frame2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591185" cy="175260"/>
                      <wp:effectExtent l="0" t="0" r="0" b="0"/>
                      <wp:wrapNone/>
                      <wp:docPr id="251" name="Frame25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19710" cy="175260"/>
                      <wp:effectExtent l="0" t="0" r="0" b="0"/>
                      <wp:wrapNone/>
                      <wp:docPr id="252" name="Frame2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51765" cy="175260"/>
                      <wp:effectExtent l="0" t="0" r="0" b="0"/>
                      <wp:wrapNone/>
                      <wp:docPr id="253" name="Frame253"/>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487045" cy="175260"/>
                      <wp:effectExtent l="0" t="0" r="0" b="0"/>
                      <wp:wrapNone/>
                      <wp:docPr id="254" name="Frame254"/>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19710" cy="175260"/>
                      <wp:effectExtent l="0" t="0" r="0" b="0"/>
                      <wp:wrapNone/>
                      <wp:docPr id="255" name="Frame2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9215" cy="175260"/>
                      <wp:effectExtent l="0" t="0" r="0" b="0"/>
                      <wp:wrapNone/>
                      <wp:docPr id="256" name="Frame2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76910" cy="175260"/>
                      <wp:effectExtent l="0" t="0" r="0" b="0"/>
                      <wp:wrapNone/>
                      <wp:docPr id="257" name="Frame257"/>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29235" cy="175260"/>
                      <wp:effectExtent l="0" t="0" r="0" b="0"/>
                      <wp:wrapNone/>
                      <wp:docPr id="258" name="Frame25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9215" cy="175260"/>
                      <wp:effectExtent l="0" t="0" r="0" b="0"/>
                      <wp:wrapNone/>
                      <wp:docPr id="259" name="Frame2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905510" cy="175260"/>
                      <wp:effectExtent l="0" t="0" r="0" b="0"/>
                      <wp:wrapNone/>
                      <wp:docPr id="260" name="Frame260"/>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97790" cy="175260"/>
                      <wp:effectExtent l="0" t="0" r="0" b="0"/>
                      <wp:wrapNone/>
                      <wp:docPr id="261" name="Frame26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2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931"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Local</w:t>
            </w:r>
          </w:p>
        </w:tc>
        <w:tc>
          <w:tcPr>
            <w:tcW w:w="346" w:type="dxa"/>
            <w:tcBorders/>
            <w:vAlign w:val="center"/>
          </w:tcPr>
          <w:p>
            <w:pPr>
              <w:pStyle w:val="TableContents"/>
              <w:bidi w:val="0"/>
              <w:spacing w:lineRule="auto" w:line="285" w:before="0" w:after="0"/>
              <w:ind w:left="0" w:right="0" w:hanging="0"/>
              <w:jc w:val="center"/>
              <w:rPr/>
            </w:pPr>
            <w:r>
              <w:rPr/>
              <w:t>  ​ ​ ​</w:t>
            </w:r>
          </w:p>
        </w:tc>
        <w:tc>
          <w:tcPr>
            <w:tcW w:w="239" w:type="dxa"/>
            <w:tcBorders/>
            <w:vAlign w:val="center"/>
          </w:tcPr>
          <w:p>
            <w:pPr>
              <w:pStyle w:val="TableContents"/>
              <w:bidi w:val="0"/>
              <w:spacing w:lineRule="auto" w:line="285" w:before="0" w:after="0"/>
              <w:ind w:left="0" w:right="0" w:hanging="0"/>
              <w:jc w:val="center"/>
              <w:rPr/>
            </w:pPr>
            <w:r>
              <w:rPr/>
              <w:t>​</w:t>
            </w:r>
          </w:p>
        </w:tc>
        <w:tc>
          <w:tcPr>
            <w:tcW w:w="767"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09" w:type="dxa"/>
            <w:tcBorders/>
            <w:vAlign w:val="center"/>
          </w:tcPr>
          <w:p>
            <w:pPr>
              <w:pStyle w:val="TableContents"/>
              <w:bidi w:val="0"/>
              <w:spacing w:lineRule="auto" w:line="285" w:before="0" w:after="0"/>
              <w:ind w:left="0" w:right="0" w:hanging="0"/>
              <w:jc w:val="center"/>
              <w:rPr/>
            </w:pPr>
            <w:r>
              <w:rPr/>
              <w:t>​</w:t>
            </w:r>
          </w:p>
        </w:tc>
        <w:tc>
          <w:tcPr>
            <w:tcW w:w="1066" w:type="dxa"/>
            <w:tcBorders/>
            <w:vAlign w:val="center"/>
          </w:tcPr>
          <w:p>
            <w:pPr>
              <w:pStyle w:val="TableContents"/>
              <w:bidi w:val="0"/>
              <w:spacing w:lineRule="auto" w:line="285" w:before="0" w:after="0"/>
              <w:ind w:left="0" w:right="0" w:hanging="0"/>
              <w:jc w:val="center"/>
              <w:rPr/>
            </w:pPr>
            <w:r>
              <w:rPr/>
              <w:t>​</w:t>
            </w:r>
          </w:p>
        </w:tc>
        <w:tc>
          <w:tcPr>
            <w:tcW w:w="361" w:type="dxa"/>
            <w:tcBorders/>
            <w:vAlign w:val="center"/>
          </w:tcPr>
          <w:p>
            <w:pPr>
              <w:pStyle w:val="TableContents"/>
              <w:bidi w:val="0"/>
              <w:spacing w:lineRule="auto" w:line="285" w:before="0" w:after="0"/>
              <w:ind w:left="0" w:right="0" w:hanging="0"/>
              <w:jc w:val="center"/>
              <w:rPr/>
            </w:pPr>
            <w:r>
              <w:rPr/>
              <w:t>  ​ ​ ​</w:t>
            </w:r>
          </w:p>
        </w:tc>
        <w:tc>
          <w:tcPr>
            <w:tcW w:w="109" w:type="dxa"/>
            <w:tcBorders/>
            <w:vAlign w:val="center"/>
          </w:tcPr>
          <w:p>
            <w:pPr>
              <w:pStyle w:val="TableContents"/>
              <w:bidi w:val="0"/>
              <w:spacing w:lineRule="auto" w:line="285" w:before="0" w:after="0"/>
              <w:ind w:left="0" w:right="0" w:hanging="0"/>
              <w:jc w:val="center"/>
              <w:rPr/>
            </w:pPr>
            <w:r>
              <w:rPr/>
              <w:t>​</w:t>
            </w:r>
          </w:p>
        </w:tc>
        <w:tc>
          <w:tcPr>
            <w:tcW w:w="1426" w:type="dxa"/>
            <w:tcBorders/>
            <w:vAlign w:val="center"/>
          </w:tcPr>
          <w:p>
            <w:pPr>
              <w:pStyle w:val="TableContents"/>
              <w:bidi w:val="0"/>
              <w:spacing w:lineRule="auto" w:line="285" w:before="0" w:after="0"/>
              <w:ind w:left="0" w:right="0" w:hanging="0"/>
              <w:jc w:val="center"/>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2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931"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Currency</w:t>
            </w:r>
          </w:p>
        </w:tc>
        <w:tc>
          <w:tcPr>
            <w:tcW w:w="346" w:type="dxa"/>
            <w:tcBorders/>
            <w:vAlign w:val="center"/>
          </w:tcPr>
          <w:p>
            <w:pPr>
              <w:pStyle w:val="TableContents"/>
              <w:bidi w:val="0"/>
              <w:spacing w:lineRule="auto" w:line="285" w:before="0" w:after="0"/>
              <w:ind w:left="0" w:right="0" w:hanging="0"/>
              <w:jc w:val="center"/>
              <w:rPr/>
            </w:pPr>
            <w:r>
              <w:rPr/>
              <w:t>​</w:t>
            </w:r>
          </w:p>
        </w:tc>
        <w:tc>
          <w:tcPr>
            <w:tcW w:w="100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U.S. Dollar</w:t>
            </w:r>
          </w:p>
        </w:tc>
        <w:tc>
          <w:tcPr>
            <w:tcW w:w="346"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66"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Maturing</w:t>
            </w:r>
          </w:p>
        </w:tc>
        <w:tc>
          <w:tcPr>
            <w:tcW w:w="36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426"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Contracts</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2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931"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Notional</w:t>
            </w:r>
          </w:p>
        </w:tc>
        <w:tc>
          <w:tcPr>
            <w:tcW w:w="346" w:type="dxa"/>
            <w:tcBorders/>
            <w:vAlign w:val="center"/>
          </w:tcPr>
          <w:p>
            <w:pPr>
              <w:pStyle w:val="TableContents"/>
              <w:bidi w:val="0"/>
              <w:spacing w:lineRule="auto" w:line="285" w:before="0" w:after="0"/>
              <w:ind w:left="0" w:right="0" w:hanging="0"/>
              <w:jc w:val="center"/>
              <w:rPr/>
            </w:pPr>
            <w:r>
              <w:rPr/>
              <w:t>​</w:t>
            </w:r>
          </w:p>
        </w:tc>
        <w:tc>
          <w:tcPr>
            <w:tcW w:w="100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Notional</w:t>
            </w:r>
          </w:p>
        </w:tc>
        <w:tc>
          <w:tcPr>
            <w:tcW w:w="346"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66"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in the next</w:t>
            </w:r>
          </w:p>
        </w:tc>
        <w:tc>
          <w:tcPr>
            <w:tcW w:w="36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426"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Maturing</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28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As of December 31, 2025</w:t>
            </w:r>
          </w:p>
        </w:tc>
        <w:tc>
          <w:tcPr>
            <w:tcW w:w="346" w:type="dxa"/>
            <w:tcBorders/>
            <w:vAlign w:val="center"/>
          </w:tcPr>
          <w:p>
            <w:pPr>
              <w:pStyle w:val="TableContents"/>
              <w:bidi w:val="0"/>
              <w:spacing w:lineRule="auto" w:line="285"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Amount</w:t>
            </w:r>
          </w:p>
        </w:tc>
        <w:tc>
          <w:tcPr>
            <w:tcW w:w="346" w:type="dxa"/>
            <w:tcBorders/>
            <w:vAlign w:val="center"/>
          </w:tcPr>
          <w:p>
            <w:pPr>
              <w:pStyle w:val="TableContents"/>
              <w:bidi w:val="0"/>
              <w:spacing w:lineRule="auto" w:line="285" w:before="0" w:after="0"/>
              <w:ind w:left="0" w:right="0" w:hanging="0"/>
              <w:jc w:val="center"/>
              <w:rPr/>
            </w:pPr>
            <w:r>
              <w:rPr/>
              <w:t>​</w:t>
            </w:r>
          </w:p>
        </w:tc>
        <w:tc>
          <w:tcPr>
            <w:tcW w:w="100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Amount</w:t>
            </w:r>
          </w:p>
        </w:tc>
        <w:tc>
          <w:tcPr>
            <w:tcW w:w="346"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6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12 months</w:t>
            </w:r>
          </w:p>
        </w:tc>
        <w:tc>
          <w:tcPr>
            <w:tcW w:w="36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4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Through</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28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Philippine Peso</w:t>
            </w:r>
          </w:p>
        </w:tc>
        <w:tc>
          <w:tcPr>
            <w:tcW w:w="346" w:type="dxa"/>
            <w:tcBorders/>
            <w:vAlign w:val="center"/>
          </w:tcPr>
          <w:p>
            <w:pPr>
              <w:pStyle w:val="TableContents"/>
              <w:bidi w:val="0"/>
              <w:spacing w:lineRule="auto" w:line="285" w:before="0" w:after="0"/>
              <w:ind w:left="0" w:right="0" w:hanging="0"/>
              <w:jc w:val="left"/>
              <w:rPr/>
            </w:pPr>
            <w:r>
              <w:rPr/>
              <w:t> </w:t>
            </w:r>
          </w:p>
        </w:tc>
        <w:tc>
          <w:tcPr>
            <w:tcW w:w="93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4,025,000</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67"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69,458</w:t>
            </w:r>
          </w:p>
        </w:tc>
        <w:tc>
          <w:tcPr>
            <w:tcW w:w="346" w:type="dxa"/>
            <w:tcBorders/>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4"/>
              </w:rPr>
              <w:t>(1)</w:t>
            </w:r>
          </w:p>
        </w:tc>
        <w:tc>
          <w:tcPr>
            <w:tcW w:w="109" w:type="dxa"/>
            <w:tcBorders/>
            <w:vAlign w:val="center"/>
          </w:tcPr>
          <w:p>
            <w:pPr>
              <w:pStyle w:val="TableContents"/>
              <w:bidi w:val="0"/>
              <w:spacing w:lineRule="auto" w:line="285" w:before="0" w:after="0"/>
              <w:ind w:left="0" w:right="0" w:hanging="0"/>
              <w:jc w:val="left"/>
              <w:rPr/>
            </w:pPr>
            <w:r>
              <w:rPr/>
              <w:t>​</w:t>
            </w:r>
          </w:p>
        </w:tc>
        <w:tc>
          <w:tcPr>
            <w:tcW w:w="1066"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97.0</w:t>
            </w:r>
          </w:p>
        </w:tc>
        <w:tc>
          <w:tcPr>
            <w:tcW w:w="36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  </w:t>
            </w:r>
          </w:p>
        </w:tc>
        <w:tc>
          <w:tcPr>
            <w:tcW w:w="109" w:type="dxa"/>
            <w:tcBorders/>
            <w:vAlign w:val="center"/>
          </w:tcPr>
          <w:p>
            <w:pPr>
              <w:pStyle w:val="TableContents"/>
              <w:bidi w:val="0"/>
              <w:spacing w:lineRule="auto" w:line="285" w:before="0" w:after="0"/>
              <w:ind w:left="0" w:right="0" w:hanging="0"/>
              <w:jc w:val="left"/>
              <w:rPr/>
            </w:pPr>
            <w:r>
              <w:rPr/>
              <w:t>​</w:t>
            </w:r>
          </w:p>
        </w:tc>
        <w:tc>
          <w:tcPr>
            <w:tcW w:w="1426" w:type="dxa"/>
            <w:tcBorders/>
            <w:vAlign w:val="center"/>
          </w:tcPr>
          <w:p>
            <w:pPr>
              <w:pStyle w:val="TableContents"/>
              <w:bidi w:val="0"/>
              <w:spacing w:lineRule="auto" w:line="285" w:before="0" w:after="0"/>
              <w:ind w:left="0" w:right="0" w:hanging="0"/>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March 2027</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28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Mexican Peso</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93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314,000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0"/>
              <w:ind w:left="0" w:right="0" w:hanging="0"/>
              <w:jc w:val="left"/>
              <w:rPr/>
            </w:pPr>
            <w:r>
              <w:rPr/>
              <w:t>​</w:t>
            </w:r>
          </w:p>
        </w:tc>
        <w:tc>
          <w:tcPr>
            <w:tcW w:w="767"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15,618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6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100.0</w:t>
            </w:r>
          </w:p>
        </w:tc>
        <w:tc>
          <w:tcPr>
            <w:tcW w:w="36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  </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426" w:type="dxa"/>
            <w:tcBorders/>
            <w:shd w:fill="CCEEFF" w:val="clear"/>
            <w:vAlign w:val="center"/>
          </w:tcPr>
          <w:p>
            <w:pPr>
              <w:pStyle w:val="TableContents"/>
              <w:bidi w:val="0"/>
              <w:spacing w:lineRule="auto" w:line="285" w:before="0" w:after="0"/>
              <w:ind w:left="0" w:right="0" w:hanging="0"/>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December 2026</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r>
        <w:trPr/>
        <w:tc>
          <w:tcPr>
            <w:tcW w:w="228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Colombian Peso</w:t>
            </w:r>
          </w:p>
        </w:tc>
        <w:tc>
          <w:tcPr>
            <w:tcW w:w="346" w:type="dxa"/>
            <w:tcBorders/>
            <w:vAlign w:val="center"/>
          </w:tcPr>
          <w:p>
            <w:pPr>
              <w:pStyle w:val="TableContents"/>
              <w:bidi w:val="0"/>
              <w:spacing w:lineRule="auto" w:line="285" w:before="0" w:after="0"/>
              <w:ind w:left="0" w:right="0" w:hanging="0"/>
              <w:jc w:val="left"/>
              <w:rPr/>
            </w:pPr>
            <w:r>
              <w:rPr/>
              <w:t> </w:t>
            </w:r>
          </w:p>
        </w:tc>
        <w:tc>
          <w:tcPr>
            <w:tcW w:w="93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8,000,000</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right"/>
              <w:rPr/>
            </w:pPr>
            <w:r>
              <w:rPr/>
              <w:t> </w:t>
            </w:r>
          </w:p>
        </w:tc>
        <w:tc>
          <w:tcPr>
            <w:tcW w:w="76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1,931</w:t>
            </w:r>
          </w:p>
        </w:tc>
        <w:tc>
          <w:tcPr>
            <w:tcW w:w="3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66"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100.0</w:t>
            </w:r>
          </w:p>
        </w:tc>
        <w:tc>
          <w:tcPr>
            <w:tcW w:w="36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  </w:t>
            </w:r>
          </w:p>
        </w:tc>
        <w:tc>
          <w:tcPr>
            <w:tcW w:w="109" w:type="dxa"/>
            <w:tcBorders/>
            <w:vAlign w:val="center"/>
          </w:tcPr>
          <w:p>
            <w:pPr>
              <w:pStyle w:val="TableContents"/>
              <w:bidi w:val="0"/>
              <w:spacing w:lineRule="auto" w:line="285" w:before="0" w:after="0"/>
              <w:ind w:left="0" w:right="0" w:hanging="0"/>
              <w:jc w:val="left"/>
              <w:rPr/>
            </w:pPr>
            <w:r>
              <w:rPr/>
              <w:t>​</w:t>
            </w:r>
          </w:p>
        </w:tc>
        <w:tc>
          <w:tcPr>
            <w:tcW w:w="1426" w:type="dxa"/>
            <w:tcBorders/>
            <w:vAlign w:val="center"/>
          </w:tcPr>
          <w:p>
            <w:pPr>
              <w:pStyle w:val="TableContents"/>
              <w:bidi w:val="0"/>
              <w:spacing w:lineRule="auto" w:line="285" w:before="0" w:after="0"/>
              <w:ind w:left="0" w:right="0" w:hanging="0"/>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August 2026</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28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6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87,007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66" w:type="dxa"/>
            <w:tcBorders/>
            <w:shd w:fill="CCEEFF" w:val="clear"/>
            <w:vAlign w:val="center"/>
          </w:tcPr>
          <w:p>
            <w:pPr>
              <w:pStyle w:val="TableContents"/>
              <w:bidi w:val="0"/>
              <w:spacing w:lineRule="auto" w:line="285" w:before="0" w:after="0"/>
              <w:ind w:left="0" w:right="0" w:hanging="0"/>
              <w:jc w:val="left"/>
              <w:rPr/>
            </w:pPr>
            <w:r>
              <w:rPr/>
              <w:t>​</w:t>
            </w:r>
          </w:p>
        </w:tc>
        <w:tc>
          <w:tcPr>
            <w:tcW w:w="361"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426" w:type="dxa"/>
            <w:tcBorders/>
            <w:shd w:fill="CCEEFF" w:val="clear"/>
            <w:vAlign w:val="center"/>
          </w:tcPr>
          <w:p>
            <w:pPr>
              <w:pStyle w:val="TableContents"/>
              <w:bidi w:val="0"/>
              <w:spacing w:lineRule="auto" w:line="285" w:before="0" w:after="0"/>
              <w:ind w:left="0" w:right="0" w:hanging="0"/>
              <w:jc w:val="left"/>
              <w:rPr/>
            </w:pPr>
            <w:r>
              <w:rPr/>
              <w:t>​</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r>
        <w:trPr/>
        <w:tc>
          <w:tcPr>
            <w:tcW w:w="22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left"/>
              <w:rPr/>
            </w:pPr>
            <w:r>
              <w:rPr/>
              <w:t>​</w:t>
            </w:r>
          </w:p>
        </w:tc>
        <w:tc>
          <w:tcPr>
            <w:tcW w:w="767"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66" w:type="dxa"/>
            <w:tcBorders/>
            <w:vAlign w:val="center"/>
          </w:tcPr>
          <w:p>
            <w:pPr>
              <w:pStyle w:val="TableContents"/>
              <w:bidi w:val="0"/>
              <w:spacing w:lineRule="auto" w:line="285" w:before="0" w:after="0"/>
              <w:ind w:left="0" w:right="0" w:hanging="0"/>
              <w:jc w:val="left"/>
              <w:rPr/>
            </w:pPr>
            <w:r>
              <w:rPr/>
              <w:t>​</w:t>
            </w:r>
          </w:p>
        </w:tc>
        <w:tc>
          <w:tcPr>
            <w:tcW w:w="36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4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(1)</w:t>
            </w:r>
          </w:p>
        </w:tc>
        <w:tc>
          <w:tcPr>
            <w:tcW w:w="99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Includes contracts to purchase Philippine pesos in exchange for New Zealand dollars and Australian dollars, which are translated into equivalent U.S. dollars on June 30, 2026 and December 31, 2025.</w:t>
            </w:r>
          </w:p>
        </w:tc>
      </w:tr>
    </w:tbl>
    <w:p>
      <w:pPr>
        <w:pStyle w:val="TextBody"/>
        <w:bidi w:val="0"/>
        <w:spacing w:lineRule="auto" w:line="285" w:before="0" w:after="0"/>
        <w:ind w:left="0" w:right="0" w:hanging="0"/>
        <w:jc w:val="left"/>
        <w:rPr/>
      </w:pPr>
      <w:r>
        <w:rPr/>
        <w:t>​</w:t>
      </w:r>
    </w:p>
    <w:p>
      <w:pPr>
        <w:pStyle w:val="TextBody"/>
        <w:bidi w:val="0"/>
        <w:spacing w:lineRule="auto" w:line="285" w:before="0" w:after="120"/>
        <w:ind w:left="0" w:right="0" w:hanging="0"/>
        <w:jc w:val="left"/>
        <w:rPr>
          <w:rFonts w:ascii="Arial;Helvetica;sans-serif" w:hAnsi="Arial;Helvetica;sans-serif"/>
          <w:sz w:val="20"/>
        </w:rPr>
      </w:pPr>
      <w:r>
        <w:rPr>
          <w:rFonts w:ascii="Arial;Helvetica;sans-serif" w:hAnsi="Arial;Helvetica;sans-serif"/>
          <w:sz w:val="20"/>
        </w:rPr>
        <w:t>The amounts and location of gains and losses on Cash Flow Hedges within the Consolidated Statements of Comprehensive Income (Loss) for the six months ended June 30, 2026 and 2025 were as follows (in thousands):</w:t>
      </w:r>
    </w:p>
    <w:tbl>
      <w:tblPr>
        <w:tblW w:w="9839" w:type="dxa"/>
        <w:jc w:val="left"/>
        <w:tblInd w:w="0" w:type="dxa"/>
        <w:tblLayout w:type="fixed"/>
        <w:tblCellMar>
          <w:top w:w="0" w:type="dxa"/>
          <w:left w:w="0" w:type="dxa"/>
          <w:bottom w:w="0" w:type="dxa"/>
          <w:right w:w="0" w:type="dxa"/>
        </w:tblCellMar>
      </w:tblPr>
      <w:tblGrid>
        <w:gridCol w:w="5551"/>
        <w:gridCol w:w="109"/>
        <w:gridCol w:w="202"/>
        <w:gridCol w:w="511"/>
        <w:gridCol w:w="357"/>
        <w:gridCol w:w="202"/>
        <w:gridCol w:w="527"/>
        <w:gridCol w:w="346"/>
        <w:gridCol w:w="196"/>
        <w:gridCol w:w="631"/>
        <w:gridCol w:w="346"/>
        <w:gridCol w:w="196"/>
        <w:gridCol w:w="511"/>
        <w:gridCol w:w="154"/>
      </w:tblGrid>
      <w:tr>
        <w:trPr/>
        <w:tc>
          <w:tcPr>
            <w:tcW w:w="5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3524885" cy="175260"/>
                      <wp:effectExtent l="0" t="0" r="0" b="0"/>
                      <wp:wrapNone/>
                      <wp:docPr id="262" name="Frame262"/>
                      <a:graphic xmlns:a="http://schemas.openxmlformats.org/drawingml/2006/main">
                        <a:graphicData uri="http://schemas.microsoft.com/office/word/2010/wordprocessingShape">
                          <wps:wsp>
                            <wps:cNvSpPr txBox="1"/>
                            <wps:spPr>
                              <a:xfrm>
                                <a:off x="0" y="0"/>
                                <a:ext cx="35248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9215" cy="175260"/>
                      <wp:effectExtent l="0" t="0" r="0" b="0"/>
                      <wp:wrapNone/>
                      <wp:docPr id="263" name="Frame2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28270" cy="175260"/>
                      <wp:effectExtent l="0" t="0" r="0" b="0"/>
                      <wp:wrapNone/>
                      <wp:docPr id="264" name="Frame264"/>
                      <a:graphic xmlns:a="http://schemas.openxmlformats.org/drawingml/2006/main">
                        <a:graphicData uri="http://schemas.microsoft.com/office/word/2010/wordprocessingShape">
                          <wps:wsp>
                            <wps:cNvSpPr txBox="1"/>
                            <wps:spPr>
                              <a:xfrm>
                                <a:off x="0" y="0"/>
                                <a:ext cx="1282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324485" cy="175260"/>
                      <wp:effectExtent l="0" t="0" r="0" b="0"/>
                      <wp:wrapNone/>
                      <wp:docPr id="265" name="Frame265"/>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26695" cy="175260"/>
                      <wp:effectExtent l="0" t="0" r="0" b="0"/>
                      <wp:wrapNone/>
                      <wp:docPr id="266" name="Frame266"/>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28270" cy="175260"/>
                      <wp:effectExtent l="0" t="0" r="0" b="0"/>
                      <wp:wrapNone/>
                      <wp:docPr id="267" name="Frame267"/>
                      <a:graphic xmlns:a="http://schemas.openxmlformats.org/drawingml/2006/main">
                        <a:graphicData uri="http://schemas.microsoft.com/office/word/2010/wordprocessingShape">
                          <wps:wsp>
                            <wps:cNvSpPr txBox="1"/>
                            <wps:spPr>
                              <a:xfrm>
                                <a:off x="0" y="0"/>
                                <a:ext cx="1282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334645" cy="175260"/>
                      <wp:effectExtent l="0" t="0" r="0" b="0"/>
                      <wp:wrapNone/>
                      <wp:docPr id="268" name="Frame268"/>
                      <a:graphic xmlns:a="http://schemas.openxmlformats.org/drawingml/2006/main">
                        <a:graphicData uri="http://schemas.microsoft.com/office/word/2010/wordprocessingShape">
                          <wps:wsp>
                            <wps:cNvSpPr txBox="1"/>
                            <wps:spPr>
                              <a:xfrm>
                                <a:off x="0" y="0"/>
                                <a:ext cx="3346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19710" cy="175260"/>
                      <wp:effectExtent l="0" t="0" r="0" b="0"/>
                      <wp:wrapNone/>
                      <wp:docPr id="269" name="Frame2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24460" cy="175260"/>
                      <wp:effectExtent l="0" t="0" r="0" b="0"/>
                      <wp:wrapNone/>
                      <wp:docPr id="270" name="Frame27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400685" cy="175260"/>
                      <wp:effectExtent l="0" t="0" r="0" b="0"/>
                      <wp:wrapNone/>
                      <wp:docPr id="271" name="Frame271"/>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19710" cy="175260"/>
                      <wp:effectExtent l="0" t="0" r="0" b="0"/>
                      <wp:wrapNone/>
                      <wp:docPr id="272" name="Frame2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24460" cy="175260"/>
                      <wp:effectExtent l="0" t="0" r="0" b="0"/>
                      <wp:wrapNone/>
                      <wp:docPr id="273" name="Frame27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324485" cy="175260"/>
                      <wp:effectExtent l="0" t="0" r="0" b="0"/>
                      <wp:wrapNone/>
                      <wp:docPr id="274" name="Frame274"/>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97790" cy="175260"/>
                      <wp:effectExtent l="0" t="0" r="0" b="0"/>
                      <wp:wrapNone/>
                      <wp:docPr id="275" name="Frame27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555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799" w:type="dxa"/>
            <w:gridSpan w:val="5"/>
            <w:tcBorders/>
            <w:vAlign w:val="center"/>
          </w:tcPr>
          <w:p>
            <w:pPr>
              <w:pStyle w:val="TableContents"/>
              <w:bidi w:val="0"/>
              <w:spacing w:lineRule="auto" w:line="285" w:before="0" w:after="0"/>
              <w:ind w:left="0" w:right="0" w:hanging="0"/>
              <w:jc w:val="center"/>
              <w:rPr>
                <w:rFonts w:ascii="Arial;Helvetica;sans-serif" w:hAnsi="Arial;Helvetica;sans-serif"/>
                <w:b/>
                <w:sz w:val="17"/>
              </w:rPr>
            </w:pPr>
            <w:r>
              <w:rPr>
                <w:rFonts w:ascii="Arial;Helvetica;sans-serif" w:hAnsi="Arial;Helvetica;sans-serif"/>
                <w:b/>
                <w:sz w:val="17"/>
              </w:rPr>
              <w:t>Three Months Ended </w:t>
            </w:r>
          </w:p>
        </w:tc>
        <w:tc>
          <w:tcPr>
            <w:tcW w:w="346" w:type="dxa"/>
            <w:tcBorders/>
            <w:vAlign w:val="center"/>
          </w:tcPr>
          <w:p>
            <w:pPr>
              <w:pStyle w:val="TableContents"/>
              <w:bidi w:val="0"/>
              <w:spacing w:lineRule="auto" w:line="285" w:before="0" w:after="0"/>
              <w:ind w:left="0" w:right="0" w:hanging="0"/>
              <w:jc w:val="left"/>
              <w:rPr/>
            </w:pPr>
            <w:r>
              <w:rPr/>
              <w:t>​</w:t>
            </w:r>
          </w:p>
        </w:tc>
        <w:tc>
          <w:tcPr>
            <w:tcW w:w="1880" w:type="dxa"/>
            <w:gridSpan w:val="5"/>
            <w:tcBorders/>
            <w:vAlign w:val="center"/>
          </w:tcPr>
          <w:p>
            <w:pPr>
              <w:pStyle w:val="TableContents"/>
              <w:bidi w:val="0"/>
              <w:spacing w:lineRule="auto" w:line="285" w:before="0" w:after="0"/>
              <w:ind w:left="0" w:right="0" w:hanging="0"/>
              <w:jc w:val="center"/>
              <w:rPr>
                <w:rFonts w:ascii="Arial;Helvetica;sans-serif" w:hAnsi="Arial;Helvetica;sans-serif"/>
                <w:b/>
                <w:sz w:val="17"/>
              </w:rPr>
            </w:pPr>
            <w:r>
              <w:rPr>
                <w:rFonts w:ascii="Arial;Helvetica;sans-serif" w:hAnsi="Arial;Helvetica;sans-serif"/>
                <w:b/>
                <w:sz w:val="17"/>
              </w:rPr>
              <w:t>Six Months Ended </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555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799"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7"/>
              </w:rPr>
            </w:pPr>
            <w:r>
              <w:rPr>
                <w:rFonts w:ascii="Arial;Helvetica;sans-serif" w:hAnsi="Arial;Helvetica;sans-serif"/>
                <w:b/>
                <w:sz w:val="17"/>
              </w:rPr>
              <w:t xml:space="preserve">June 30, </w:t>
            </w:r>
          </w:p>
        </w:tc>
        <w:tc>
          <w:tcPr>
            <w:tcW w:w="346" w:type="dxa"/>
            <w:tcBorders/>
            <w:vAlign w:val="center"/>
          </w:tcPr>
          <w:p>
            <w:pPr>
              <w:pStyle w:val="TableContents"/>
              <w:bidi w:val="0"/>
              <w:spacing w:lineRule="auto" w:line="285" w:before="0" w:after="0"/>
              <w:ind w:left="0" w:right="0" w:hanging="0"/>
              <w:jc w:val="left"/>
              <w:rPr/>
            </w:pPr>
            <w:r>
              <w:rPr/>
              <w:t>​</w:t>
            </w:r>
          </w:p>
        </w:tc>
        <w:tc>
          <w:tcPr>
            <w:tcW w:w="188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7"/>
              </w:rPr>
            </w:pPr>
            <w:r>
              <w:rPr>
                <w:rFonts w:ascii="Arial;Helvetica;sans-serif" w:hAnsi="Arial;Helvetica;sans-serif"/>
                <w:b/>
                <w:sz w:val="17"/>
              </w:rPr>
              <w:t xml:space="preserve">June 30, </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555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71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7"/>
              </w:rPr>
            </w:pPr>
            <w:r>
              <w:rPr>
                <w:rFonts w:ascii="Arial;Helvetica;sans-serif" w:hAnsi="Arial;Helvetica;sans-serif"/>
                <w:b/>
                <w:sz w:val="17"/>
              </w:rPr>
              <w:t>2026</w:t>
            </w:r>
          </w:p>
        </w:tc>
        <w:tc>
          <w:tcPr>
            <w:tcW w:w="357" w:type="dxa"/>
            <w:tcBorders/>
            <w:vAlign w:val="center"/>
          </w:tcPr>
          <w:p>
            <w:pPr>
              <w:pStyle w:val="TableContents"/>
              <w:bidi w:val="0"/>
              <w:spacing w:lineRule="auto" w:line="285" w:before="0" w:after="0"/>
              <w:ind w:left="0" w:right="0" w:hanging="0"/>
              <w:jc w:val="center"/>
              <w:rPr/>
            </w:pPr>
            <w:r>
              <w:rPr/>
              <w:t>  ​ ​ ​</w:t>
            </w:r>
          </w:p>
        </w:tc>
        <w:tc>
          <w:tcPr>
            <w:tcW w:w="72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7"/>
              </w:rPr>
            </w:pPr>
            <w:r>
              <w:rPr>
                <w:rFonts w:ascii="Arial;Helvetica;sans-serif" w:hAnsi="Arial;Helvetica;sans-serif"/>
                <w:b/>
                <w:sz w:val="17"/>
              </w:rPr>
              <w:t>2025</w:t>
            </w:r>
          </w:p>
        </w:tc>
        <w:tc>
          <w:tcPr>
            <w:tcW w:w="346" w:type="dxa"/>
            <w:tcBorders/>
            <w:vAlign w:val="center"/>
          </w:tcPr>
          <w:p>
            <w:pPr>
              <w:pStyle w:val="TableContents"/>
              <w:bidi w:val="0"/>
              <w:spacing w:lineRule="auto" w:line="285" w:before="0" w:after="0"/>
              <w:ind w:left="0" w:right="0" w:hanging="0"/>
              <w:jc w:val="center"/>
              <w:rPr/>
            </w:pPr>
            <w:r>
              <w:rPr/>
              <w:t>  ​ ​ ​</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7"/>
              </w:rPr>
            </w:pPr>
            <w:r>
              <w:rPr>
                <w:rFonts w:ascii="Arial;Helvetica;sans-serif" w:hAnsi="Arial;Helvetica;sans-serif"/>
                <w:b/>
                <w:sz w:val="17"/>
              </w:rPr>
              <w:t>2026</w:t>
            </w:r>
          </w:p>
        </w:tc>
        <w:tc>
          <w:tcPr>
            <w:tcW w:w="346" w:type="dxa"/>
            <w:tcBorders/>
            <w:vAlign w:val="center"/>
          </w:tcPr>
          <w:p>
            <w:pPr>
              <w:pStyle w:val="TableContents"/>
              <w:bidi w:val="0"/>
              <w:spacing w:lineRule="auto" w:line="285" w:before="0" w:after="0"/>
              <w:ind w:left="0" w:right="0" w:hanging="0"/>
              <w:jc w:val="center"/>
              <w:rPr/>
            </w:pPr>
            <w:r>
              <w:rPr/>
              <w:t>  ​ ​ ​</w:t>
            </w:r>
          </w:p>
        </w:tc>
        <w:tc>
          <w:tcPr>
            <w:tcW w:w="70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7"/>
              </w:rPr>
            </w:pPr>
            <w:r>
              <w:rPr>
                <w:rFonts w:ascii="Arial;Helvetica;sans-serif" w:hAnsi="Arial;Helvetica;sans-serif"/>
                <w:b/>
                <w:sz w:val="17"/>
              </w:rPr>
              <w:t>2025</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555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7"/>
              </w:rPr>
            </w:pPr>
            <w:r>
              <w:rPr>
                <w:rFonts w:ascii="Arial;Helvetica;sans-serif" w:hAnsi="Arial;Helvetica;sans-serif"/>
                <w:b/>
                <w:sz w:val="17"/>
              </w:rPr>
              <w:t>Foreign Exchange Cash Flow Hedges, effective: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02" w:type="dxa"/>
            <w:tcBorders/>
            <w:shd w:fill="CCEEFF" w:val="clear"/>
            <w:vAlign w:val="center"/>
          </w:tcPr>
          <w:p>
            <w:pPr>
              <w:pStyle w:val="TableContents"/>
              <w:bidi w:val="0"/>
              <w:spacing w:lineRule="auto" w:line="285" w:before="0" w:after="0"/>
              <w:ind w:left="0" w:right="0" w:hanging="0"/>
              <w:jc w:val="left"/>
              <w:rPr/>
            </w:pPr>
            <w:r>
              <w:rPr/>
              <w:t>​</w:t>
            </w:r>
          </w:p>
        </w:tc>
        <w:tc>
          <w:tcPr>
            <w:tcW w:w="511" w:type="dxa"/>
            <w:tcBorders/>
            <w:shd w:fill="CCEEFF" w:val="clear"/>
            <w:vAlign w:val="center"/>
          </w:tcPr>
          <w:p>
            <w:pPr>
              <w:pStyle w:val="TableContents"/>
              <w:bidi w:val="0"/>
              <w:spacing w:lineRule="auto" w:line="285" w:before="0" w:after="0"/>
              <w:ind w:left="0" w:right="0" w:hanging="0"/>
              <w:jc w:val="right"/>
              <w:rPr/>
            </w:pPr>
            <w:r>
              <w:rPr/>
              <w:t>​</w:t>
            </w:r>
          </w:p>
        </w:tc>
        <w:tc>
          <w:tcPr>
            <w:tcW w:w="357" w:type="dxa"/>
            <w:tcBorders/>
            <w:shd w:fill="CCEEFF" w:val="clear"/>
            <w:vAlign w:val="center"/>
          </w:tcPr>
          <w:p>
            <w:pPr>
              <w:pStyle w:val="TableContents"/>
              <w:bidi w:val="0"/>
              <w:spacing w:lineRule="auto" w:line="285" w:before="0" w:after="0"/>
              <w:ind w:left="0" w:right="0" w:hanging="0"/>
              <w:jc w:val="left"/>
              <w:rPr/>
            </w:pPr>
            <w:r>
              <w:rPr/>
              <w:t>​</w:t>
            </w:r>
          </w:p>
        </w:tc>
        <w:tc>
          <w:tcPr>
            <w:tcW w:w="202" w:type="dxa"/>
            <w:tcBorders/>
            <w:shd w:fill="CCEEFF" w:val="clear"/>
            <w:vAlign w:val="center"/>
          </w:tcPr>
          <w:p>
            <w:pPr>
              <w:pStyle w:val="TableContents"/>
              <w:bidi w:val="0"/>
              <w:spacing w:lineRule="auto" w:line="285" w:before="0" w:after="0"/>
              <w:ind w:left="0" w:right="0" w:hanging="0"/>
              <w:jc w:val="left"/>
              <w:rPr/>
            </w:pPr>
            <w:r>
              <w:rPr/>
              <w:t>​</w:t>
            </w:r>
          </w:p>
        </w:tc>
        <w:tc>
          <w:tcPr>
            <w:tcW w:w="527"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511" w:type="dxa"/>
            <w:tcBorders/>
            <w:shd w:fill="CCEEFF" w:val="clear"/>
            <w:vAlign w:val="center"/>
          </w:tcPr>
          <w:p>
            <w:pPr>
              <w:pStyle w:val="TableContents"/>
              <w:bidi w:val="0"/>
              <w:spacing w:lineRule="auto" w:line="285" w:before="0" w:after="0"/>
              <w:ind w:left="0" w:right="0" w:hanging="0"/>
              <w:jc w:val="right"/>
              <w:rPr/>
            </w:pPr>
            <w:r>
              <w:rPr/>
              <w:t>​</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r>
        <w:trPr/>
        <w:tc>
          <w:tcPr>
            <w:tcW w:w="555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02"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right"/>
              <w:rPr/>
            </w:pPr>
            <w:r>
              <w:rPr/>
              <w:t>​</w:t>
            </w:r>
          </w:p>
        </w:tc>
        <w:tc>
          <w:tcPr>
            <w:tcW w:w="357" w:type="dxa"/>
            <w:tcBorders/>
            <w:vAlign w:val="center"/>
          </w:tcPr>
          <w:p>
            <w:pPr>
              <w:pStyle w:val="TableContents"/>
              <w:bidi w:val="0"/>
              <w:spacing w:lineRule="auto" w:line="285" w:before="0" w:after="0"/>
              <w:ind w:left="0" w:right="0" w:hanging="0"/>
              <w:jc w:val="left"/>
              <w:rPr/>
            </w:pPr>
            <w:r>
              <w:rPr/>
              <w:t>​</w:t>
            </w:r>
          </w:p>
        </w:tc>
        <w:tc>
          <w:tcPr>
            <w:tcW w:w="202" w:type="dxa"/>
            <w:tcBorders/>
            <w:vAlign w:val="center"/>
          </w:tcPr>
          <w:p>
            <w:pPr>
              <w:pStyle w:val="TableContents"/>
              <w:bidi w:val="0"/>
              <w:spacing w:lineRule="auto" w:line="285" w:before="0" w:after="0"/>
              <w:ind w:left="0" w:right="0" w:hanging="0"/>
              <w:jc w:val="left"/>
              <w:rPr/>
            </w:pPr>
            <w:r>
              <w:rPr/>
              <w:t>​</w:t>
            </w:r>
          </w:p>
        </w:tc>
        <w:tc>
          <w:tcPr>
            <w:tcW w:w="527"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righ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5551" w:type="dxa"/>
            <w:tcBorders/>
            <w:shd w:fill="CCEEFF" w:val="clear"/>
            <w:vAlign w:val="center"/>
          </w:tcPr>
          <w:p>
            <w:pPr>
              <w:pStyle w:val="TableContents"/>
              <w:bidi w:val="0"/>
              <w:spacing w:lineRule="auto" w:line="240" w:before="0" w:after="0"/>
              <w:ind w:left="0" w:right="0" w:hanging="0"/>
              <w:jc w:val="left"/>
              <w:rPr>
                <w:rFonts w:ascii="Arial;Helvetica;sans-serif" w:hAnsi="Arial;Helvetica;sans-serif"/>
                <w:sz w:val="16"/>
              </w:rPr>
            </w:pPr>
            <w:r>
              <w:rPr>
                <w:rFonts w:ascii="Arial;Helvetica;sans-serif" w:hAnsi="Arial;Helvetica;sans-serif"/>
                <w:sz w:val="17"/>
              </w:rPr>
              <w:t xml:space="preserve">Amount of gain (loss) recognized in Other comprehensive income (loss) </w:t>
            </w:r>
            <w:r>
              <w:rPr>
                <w:rFonts w:ascii="Arial;Helvetica;sans-serif" w:hAnsi="Arial;Helvetica;sans-serif"/>
                <w:sz w:val="13"/>
              </w:rPr>
              <w:t>(1)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02"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w:t>
            </w:r>
          </w:p>
        </w:tc>
        <w:tc>
          <w:tcPr>
            <w:tcW w:w="51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323</w:t>
            </w:r>
          </w:p>
        </w:tc>
        <w:tc>
          <w:tcPr>
            <w:tcW w:w="357" w:type="dxa"/>
            <w:tcBorders/>
            <w:shd w:fill="CCEEFF" w:val="clear"/>
            <w:vAlign w:val="center"/>
          </w:tcPr>
          <w:p>
            <w:pPr>
              <w:pStyle w:val="TableContents"/>
              <w:bidi w:val="0"/>
              <w:spacing w:lineRule="auto" w:line="285" w:before="0" w:after="0"/>
              <w:ind w:left="0" w:right="0" w:hanging="0"/>
              <w:jc w:val="left"/>
              <w:rPr/>
            </w:pPr>
            <w:r>
              <w:rPr/>
              <w:t>​</w:t>
            </w:r>
          </w:p>
        </w:tc>
        <w:tc>
          <w:tcPr>
            <w:tcW w:w="202"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w:t>
            </w:r>
          </w:p>
        </w:tc>
        <w:tc>
          <w:tcPr>
            <w:tcW w:w="527"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3,240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w:t>
            </w:r>
          </w:p>
        </w:tc>
        <w:tc>
          <w:tcPr>
            <w:tcW w:w="63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(1,352)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w:t>
            </w:r>
          </w:p>
        </w:tc>
        <w:tc>
          <w:tcPr>
            <w:tcW w:w="51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5,580</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r>
        <w:trPr/>
        <w:tc>
          <w:tcPr>
            <w:tcW w:w="555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02"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right"/>
              <w:rPr/>
            </w:pPr>
            <w:r>
              <w:rPr/>
              <w:t>​</w:t>
            </w:r>
          </w:p>
        </w:tc>
        <w:tc>
          <w:tcPr>
            <w:tcW w:w="357" w:type="dxa"/>
            <w:tcBorders/>
            <w:vAlign w:val="center"/>
          </w:tcPr>
          <w:p>
            <w:pPr>
              <w:pStyle w:val="TableContents"/>
              <w:bidi w:val="0"/>
              <w:spacing w:lineRule="auto" w:line="285" w:before="0" w:after="0"/>
              <w:ind w:left="0" w:right="0" w:hanging="0"/>
              <w:jc w:val="left"/>
              <w:rPr/>
            </w:pPr>
            <w:r>
              <w:rPr/>
              <w:t>​</w:t>
            </w:r>
          </w:p>
        </w:tc>
        <w:tc>
          <w:tcPr>
            <w:tcW w:w="202" w:type="dxa"/>
            <w:tcBorders/>
            <w:vAlign w:val="center"/>
          </w:tcPr>
          <w:p>
            <w:pPr>
              <w:pStyle w:val="TableContents"/>
              <w:bidi w:val="0"/>
              <w:spacing w:lineRule="auto" w:line="285" w:before="0" w:after="0"/>
              <w:ind w:left="0" w:right="0" w:hanging="0"/>
              <w:jc w:val="left"/>
              <w:rPr/>
            </w:pPr>
            <w:r>
              <w:rPr/>
              <w:t>​</w:t>
            </w:r>
          </w:p>
        </w:tc>
        <w:tc>
          <w:tcPr>
            <w:tcW w:w="527"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righ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555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Amount and location of gain (loss) reclassified from Accumulated OCI to:</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02" w:type="dxa"/>
            <w:tcBorders/>
            <w:shd w:fill="CCEEFF" w:val="clear"/>
            <w:vAlign w:val="center"/>
          </w:tcPr>
          <w:p>
            <w:pPr>
              <w:pStyle w:val="TableContents"/>
              <w:bidi w:val="0"/>
              <w:spacing w:lineRule="auto" w:line="285" w:before="0" w:after="0"/>
              <w:ind w:left="0" w:right="0" w:hanging="0"/>
              <w:jc w:val="left"/>
              <w:rPr/>
            </w:pPr>
            <w:r>
              <w:rPr/>
              <w:t>​</w:t>
            </w:r>
          </w:p>
        </w:tc>
        <w:tc>
          <w:tcPr>
            <w:tcW w:w="511" w:type="dxa"/>
            <w:tcBorders/>
            <w:shd w:fill="CCEEFF" w:val="clear"/>
            <w:vAlign w:val="center"/>
          </w:tcPr>
          <w:p>
            <w:pPr>
              <w:pStyle w:val="TableContents"/>
              <w:bidi w:val="0"/>
              <w:spacing w:lineRule="auto" w:line="285" w:before="0" w:after="0"/>
              <w:ind w:left="0" w:right="0" w:hanging="0"/>
              <w:jc w:val="right"/>
              <w:rPr/>
            </w:pPr>
            <w:r>
              <w:rPr/>
              <w:t>​</w:t>
            </w:r>
          </w:p>
        </w:tc>
        <w:tc>
          <w:tcPr>
            <w:tcW w:w="357" w:type="dxa"/>
            <w:tcBorders/>
            <w:shd w:fill="CCEEFF" w:val="clear"/>
            <w:vAlign w:val="center"/>
          </w:tcPr>
          <w:p>
            <w:pPr>
              <w:pStyle w:val="TableContents"/>
              <w:bidi w:val="0"/>
              <w:spacing w:lineRule="auto" w:line="285" w:before="0" w:after="0"/>
              <w:ind w:left="0" w:right="0" w:hanging="0"/>
              <w:jc w:val="left"/>
              <w:rPr/>
            </w:pPr>
            <w:r>
              <w:rPr/>
              <w:t>​</w:t>
            </w:r>
          </w:p>
        </w:tc>
        <w:tc>
          <w:tcPr>
            <w:tcW w:w="202" w:type="dxa"/>
            <w:tcBorders/>
            <w:shd w:fill="CCEEFF" w:val="clear"/>
            <w:vAlign w:val="center"/>
          </w:tcPr>
          <w:p>
            <w:pPr>
              <w:pStyle w:val="TableContents"/>
              <w:bidi w:val="0"/>
              <w:spacing w:lineRule="auto" w:line="285" w:before="0" w:after="0"/>
              <w:ind w:left="0" w:right="0" w:hanging="0"/>
              <w:jc w:val="left"/>
              <w:rPr/>
            </w:pPr>
            <w:r>
              <w:rPr/>
              <w:t>​</w:t>
            </w:r>
          </w:p>
        </w:tc>
        <w:tc>
          <w:tcPr>
            <w:tcW w:w="527"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511" w:type="dxa"/>
            <w:tcBorders/>
            <w:shd w:fill="CCEEFF" w:val="clear"/>
            <w:vAlign w:val="center"/>
          </w:tcPr>
          <w:p>
            <w:pPr>
              <w:pStyle w:val="TableContents"/>
              <w:bidi w:val="0"/>
              <w:spacing w:lineRule="auto" w:line="285" w:before="0" w:after="0"/>
              <w:ind w:left="0" w:right="0" w:hanging="0"/>
              <w:jc w:val="right"/>
              <w:rPr/>
            </w:pPr>
            <w:r>
              <w:rPr/>
              <w:t>​</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r>
        <w:trPr/>
        <w:tc>
          <w:tcPr>
            <w:tcW w:w="5551" w:type="dxa"/>
            <w:tcBorders/>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Revenue</w:t>
            </w:r>
          </w:p>
        </w:tc>
        <w:tc>
          <w:tcPr>
            <w:tcW w:w="109" w:type="dxa"/>
            <w:tcBorders/>
            <w:vAlign w:val="center"/>
          </w:tcPr>
          <w:p>
            <w:pPr>
              <w:pStyle w:val="TableContents"/>
              <w:bidi w:val="0"/>
              <w:spacing w:lineRule="auto" w:line="285" w:before="0" w:after="0"/>
              <w:ind w:left="0" w:right="0" w:hanging="0"/>
              <w:jc w:val="left"/>
              <w:rPr/>
            </w:pPr>
            <w:r>
              <w:rPr/>
              <w:t>​</w:t>
            </w:r>
          </w:p>
        </w:tc>
        <w:tc>
          <w:tcPr>
            <w:tcW w:w="202" w:type="dxa"/>
            <w:tcBorders/>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w:t>
            </w:r>
          </w:p>
        </w:tc>
        <w:tc>
          <w:tcPr>
            <w:tcW w:w="511"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(785)</w:t>
            </w:r>
          </w:p>
        </w:tc>
        <w:tc>
          <w:tcPr>
            <w:tcW w:w="357" w:type="dxa"/>
            <w:tcBorders/>
            <w:vAlign w:val="center"/>
          </w:tcPr>
          <w:p>
            <w:pPr>
              <w:pStyle w:val="TableContents"/>
              <w:bidi w:val="0"/>
              <w:spacing w:lineRule="auto" w:line="285" w:before="0" w:after="0"/>
              <w:ind w:left="0" w:right="0" w:hanging="0"/>
              <w:jc w:val="left"/>
              <w:rPr/>
            </w:pPr>
            <w:r>
              <w:rPr/>
              <w:t>​</w:t>
            </w:r>
          </w:p>
        </w:tc>
        <w:tc>
          <w:tcPr>
            <w:tcW w:w="202" w:type="dxa"/>
            <w:tcBorders/>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w:t>
            </w:r>
          </w:p>
        </w:tc>
        <w:tc>
          <w:tcPr>
            <w:tcW w:w="527"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659</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w:t>
            </w:r>
          </w:p>
        </w:tc>
        <w:tc>
          <w:tcPr>
            <w:tcW w:w="631"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(676)</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w:t>
            </w:r>
          </w:p>
        </w:tc>
        <w:tc>
          <w:tcPr>
            <w:tcW w:w="511"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485</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555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Provision for income taxes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0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204</w:t>
            </w:r>
          </w:p>
        </w:tc>
        <w:tc>
          <w:tcPr>
            <w:tcW w:w="357" w:type="dxa"/>
            <w:tcBorders/>
            <w:shd w:fill="CCEEFF" w:val="clear"/>
            <w:vAlign w:val="center"/>
          </w:tcPr>
          <w:p>
            <w:pPr>
              <w:pStyle w:val="TableContents"/>
              <w:bidi w:val="0"/>
              <w:spacing w:lineRule="auto" w:line="285" w:before="0" w:after="0"/>
              <w:ind w:left="0" w:right="0" w:hanging="0"/>
              <w:jc w:val="left"/>
              <w:rPr/>
            </w:pPr>
            <w:r>
              <w:rPr/>
              <w:t>​</w:t>
            </w:r>
          </w:p>
        </w:tc>
        <w:tc>
          <w:tcPr>
            <w:tcW w:w="20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2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(171)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176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(126)</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r>
        <w:trPr/>
        <w:tc>
          <w:tcPr>
            <w:tcW w:w="5551" w:type="dxa"/>
            <w:tcBorders/>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Net income (loss)</w:t>
            </w:r>
          </w:p>
        </w:tc>
        <w:tc>
          <w:tcPr>
            <w:tcW w:w="109" w:type="dxa"/>
            <w:tcBorders/>
            <w:vAlign w:val="center"/>
          </w:tcPr>
          <w:p>
            <w:pPr>
              <w:pStyle w:val="TableContents"/>
              <w:bidi w:val="0"/>
              <w:spacing w:lineRule="auto" w:line="285" w:before="0" w:after="0"/>
              <w:ind w:left="0" w:right="0" w:hanging="0"/>
              <w:jc w:val="left"/>
              <w:rPr/>
            </w:pPr>
            <w:r>
              <w:rPr/>
              <w:t>​</w:t>
            </w:r>
          </w:p>
        </w:tc>
        <w:tc>
          <w:tcPr>
            <w:tcW w:w="20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w:t>
            </w:r>
          </w:p>
        </w:tc>
        <w:tc>
          <w:tcPr>
            <w:tcW w:w="51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(581)</w:t>
            </w:r>
          </w:p>
        </w:tc>
        <w:tc>
          <w:tcPr>
            <w:tcW w:w="357" w:type="dxa"/>
            <w:tcBorders/>
            <w:vAlign w:val="center"/>
          </w:tcPr>
          <w:p>
            <w:pPr>
              <w:pStyle w:val="TableContents"/>
              <w:bidi w:val="0"/>
              <w:spacing w:lineRule="auto" w:line="285" w:before="0" w:after="0"/>
              <w:ind w:left="0" w:right="0" w:hanging="0"/>
              <w:jc w:val="left"/>
              <w:rPr/>
            </w:pPr>
            <w:r>
              <w:rPr/>
              <w:t>​</w:t>
            </w:r>
          </w:p>
        </w:tc>
        <w:tc>
          <w:tcPr>
            <w:tcW w:w="20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w:t>
            </w:r>
          </w:p>
        </w:tc>
        <w:tc>
          <w:tcPr>
            <w:tcW w:w="527"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488</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w:t>
            </w:r>
          </w:p>
        </w:tc>
        <w:tc>
          <w:tcPr>
            <w:tcW w:w="6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(500)</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w:t>
            </w:r>
          </w:p>
        </w:tc>
        <w:tc>
          <w:tcPr>
            <w:tcW w:w="51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359</w:t>
            </w:r>
          </w:p>
        </w:tc>
        <w:tc>
          <w:tcPr>
            <w:tcW w:w="154" w:type="dxa"/>
            <w:tcBorders/>
            <w:vAlign w:val="center"/>
          </w:tcPr>
          <w:p>
            <w:pPr>
              <w:pStyle w:val="TableContents"/>
              <w:bidi w:val="0"/>
              <w:spacing w:lineRule="auto" w:line="285" w:before="0" w:after="0"/>
              <w:ind w:left="0" w:right="0" w:hanging="0"/>
              <w:jc w:val="left"/>
              <w:rPr/>
            </w:pPr>
            <w:r>
              <w:rPr/>
              <w:t>​</w:t>
            </w:r>
          </w:p>
        </w:tc>
      </w:tr>
    </w:tbl>
    <w:p>
      <w:pPr>
        <w:pStyle w:val="TextBody"/>
        <w:pBdr/>
        <w:bidi w:val="0"/>
        <w:spacing w:lineRule="auto" w:line="240" w:before="0" w:after="120"/>
        <w:ind w:left="0" w:right="0" w:hanging="360"/>
        <w:jc w:val="both"/>
        <w:rPr>
          <w:rFonts w:ascii="Arial;Helvetica;sans-serif" w:hAnsi="Arial;Helvetica;sans-serif"/>
          <w:sz w:val="16"/>
        </w:rPr>
      </w:pPr>
      <w:r>
        <w:rPr>
          <w:rFonts w:ascii="Arial;Helvetica;sans-serif" w:hAnsi="Arial;Helvetica;sans-serif"/>
          <w:sz w:val="12"/>
        </w:rPr>
        <w:t>(1)</w:t>
      </w:r>
      <w:r>
        <w:rPr>
          <w:rFonts w:ascii="Arial;Helvetica;sans-serif" w:hAnsi="Arial;Helvetica;sans-serif"/>
          <w:sz w:val="16"/>
        </w:rPr>
        <w:t xml:space="preserve"> As a result of the valuation allowance recorded in Q2 2024 against the Company’s U.S. Deferred Tax Assets, there is no tax impact recognized in Other comprehensive income (loss) for unrealized foreign exchange cash flow hedge gains or losses.</w:t>
      </w:r>
    </w:p>
    <w:p>
      <w:pPr>
        <w:pStyle w:val="TextBody"/>
        <w:bidi w:val="0"/>
        <w:spacing w:lineRule="auto" w:line="285" w:before="0" w:after="120"/>
        <w:ind w:left="0" w:right="0" w:hanging="0"/>
        <w:jc w:val="left"/>
        <w:rPr>
          <w:rFonts w:ascii="Arial;Helvetica;sans-serif" w:hAnsi="Arial;Helvetica;sans-serif"/>
          <w:sz w:val="20"/>
        </w:rPr>
      </w:pPr>
      <w:r>
        <w:rPr>
          <w:rFonts w:ascii="Arial;Helvetica;sans-serif" w:hAnsi="Arial;Helvetica;sans-serif"/>
          <w:sz w:val="20"/>
        </w:rPr>
        <w:t>The activity related to the change in net unrealized gains and losses on the cash flow hedges included in “Accumulated other comprehensive income (loss)” in the Company’s unaudited consolidated statements of stockholders’ equity is presented in Note 11.</w:t>
      </w:r>
    </w:p>
    <w:p>
      <w:pPr>
        <w:pStyle w:val="TextBody"/>
        <w:bidi w:val="0"/>
        <w:spacing w:lineRule="auto" w:line="285" w:before="0" w:after="120"/>
        <w:ind w:left="0" w:right="0" w:hanging="0"/>
        <w:jc w:val="left"/>
        <w:rPr>
          <w:rFonts w:ascii="Arial;Helvetica;sans-serif" w:hAnsi="Arial;Helvetica;sans-serif"/>
          <w:b/>
          <w:sz w:val="20"/>
        </w:rPr>
      </w:pPr>
      <w:r>
        <w:rPr>
          <w:rFonts w:ascii="Arial;Helvetica;sans-serif" w:hAnsi="Arial;Helvetica;sans-serif"/>
          <w:b/>
          <w:sz w:val="20"/>
        </w:rPr>
        <w:t>Undesignated Derivatives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Changes in the fair value of derivative instruments not designated as hedges are recognized in earnings in Other income (expense), net on a before tax basis and are offset by gains and losses on the related hedged items.</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14</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TTEC HOLDINGS, INC. AND SUBSIDIARIES</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Notes to Consolidated Financial Statements</w:t>
      </w:r>
    </w:p>
    <w:p>
      <w:pPr>
        <w:pStyle w:val="TextBody"/>
        <w:bidi w:val="0"/>
        <w:spacing w:lineRule="auto" w:line="285" w:before="0" w:after="24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lineRule="auto" w:line="285" w:before="0" w:after="120"/>
        <w:ind w:left="0" w:right="0" w:hanging="0"/>
        <w:jc w:val="both"/>
        <w:rPr>
          <w:rFonts w:ascii="Arial;Helvetica;sans-serif" w:hAnsi="Arial;Helvetica;sans-serif"/>
          <w:sz w:val="20"/>
        </w:rPr>
      </w:pPr>
      <w:bookmarkStart w:id="1361" w:name="Tc_2vpcB3VYkk2zpAT543Zlyw_8_5"/>
      <w:bookmarkStart w:id="1362" w:name="Tc_WudwO7DVe0mLMlBMvhY0qA_8_2"/>
      <w:bookmarkStart w:id="1363" w:name="Tc_COy5gGpfRECzSwoj-bRMvA_8_0"/>
      <w:bookmarkStart w:id="1364" w:name="Tc_1VqhJ2NNpEiQKf-5N0ZKKg_7_0"/>
      <w:bookmarkStart w:id="1365" w:name="Tc_c-tJEBg8e0-54_1bfj_cjA_5_2"/>
      <w:bookmarkStart w:id="1366" w:name="Tc_nTlDoqJYqUy5UMVw9onaww_5_0"/>
      <w:bookmarkStart w:id="1367" w:name="Tc_X96Usm5mN0mVYf2SgytzKA_4_2"/>
      <w:bookmarkStart w:id="1368" w:name="Tc_H-Diu72ByUuq0ZHLPmzymw_4_0"/>
      <w:bookmarkStart w:id="1369" w:name="Tc_1P7RRyt-Gkulw9mopAw9Cg_3_2"/>
      <w:bookmarkStart w:id="1370" w:name="Tc_kEtet71PhEmwUW7NgE3VHQ_3_0"/>
      <w:bookmarkStart w:id="1371" w:name="Tc_bftOY23vdEC8uLugZofUDg_2_5"/>
      <w:bookmarkStart w:id="1372" w:name="Tc_QUDRfPAYRkmuFWZxxYPRhg_2_2"/>
      <w:bookmarkStart w:id="1373" w:name="Tc_7I8Lg9nfIUyfFcz2K_Vcyw_1_2"/>
      <w:bookmarkStart w:id="1374" w:name="_399f925b_7f30_40d8_9768_224084bdecfe"/>
      <w:bookmarkStart w:id="1375" w:name="Tc_lV2c-QrPnUKXimN-Yuw5Ig_11_4"/>
      <w:bookmarkStart w:id="1376" w:name="Tc_g6Fo8IlHoUi5LM3PndJa4g_10_0"/>
      <w:bookmarkStart w:id="1377" w:name="Tc_nz60TcyQJ0iKddFLoxETRg_9_0"/>
      <w:bookmarkStart w:id="1378" w:name="Tc_fPnFmPVv5EG3Y-0VKL494g_8_0"/>
      <w:bookmarkStart w:id="1379" w:name="Tc_xOUzR188zkGegpuMNeY3Vw_7_0"/>
      <w:bookmarkStart w:id="1380" w:name="Tc_DnDFvrirAkKkb2NF34cihQ_6_0"/>
      <w:bookmarkStart w:id="1381" w:name="Tc_Jo18hbcQsEaXsfirTEYxng_5_4"/>
      <w:bookmarkStart w:id="1382" w:name="Tc_qzAAkN3tXk-BDo4MzRYT-Q_5_0"/>
      <w:bookmarkStart w:id="1383" w:name="Tc_hprIkatDSEyvQLIR8bnSDg_4_4"/>
      <w:bookmarkStart w:id="1384" w:name="Tc_K2QrI8i7q0SftHIgDEph_g_4_2"/>
      <w:bookmarkStart w:id="1385" w:name="Tc_6gaF-CzT1UC-yyetwsHdoQ_4_0"/>
      <w:bookmarkStart w:id="1386" w:name="Tc_8ZOVGiL9AE2B1RE2e_RlDA_3_4"/>
      <w:bookmarkStart w:id="1387" w:name="Tc_jv_rZxp9ZkC475AC7vSgyA_3_2"/>
      <w:bookmarkStart w:id="1388" w:name="Tc_s5g04NWP_k2jjRKVRAhhnQ_2_4"/>
      <w:bookmarkStart w:id="1389" w:name="Tc_nRbqkMhgVUeGxu2Dl5pc7A_2_2"/>
      <w:bookmarkStart w:id="1390" w:name="Tc_6Dq8HOIyoUCl3ewGOL4FfA_1_2"/>
      <w:bookmarkStart w:id="1391" w:name="_490a17a2_cbab_4992_a3d1_739e1c91457f"/>
      <w:bookmarkStart w:id="1392" w:name="Tc_RJzUT1udEEu4Qnpiq2SMbw_11_4"/>
      <w:bookmarkStart w:id="1393" w:name="Tc_Q08ObGuer0ylyoYjLUhmuw_10_0"/>
      <w:bookmarkStart w:id="1394" w:name="Tc_nIwr7SWYtEiz7kkZmZzWbQ_9_0"/>
      <w:bookmarkStart w:id="1395" w:name="Tc_Dzu2XQs6vkedfaajhhylvA_8_0"/>
      <w:bookmarkStart w:id="1396" w:name="Tc_jgbtwxt1skaUidmERmRKxA_7_0"/>
      <w:bookmarkStart w:id="1397" w:name="Tc_EDM4QIwEvUaYvvXAOSEtnA_6_0"/>
      <w:bookmarkStart w:id="1398" w:name="Tc_Y5mkCaa4WEm676D926NtsQ_5_4"/>
      <w:bookmarkStart w:id="1399" w:name="Tc_9ysKekbL_06Is29EZKYPOw_5_0"/>
      <w:bookmarkStart w:id="1400" w:name="Tc_G0-dBZJLr0KMLszQ02jegA_4_4"/>
      <w:bookmarkStart w:id="1401" w:name="Tc_1OeUdSoIuESxTYD7bct-Zg_4_2"/>
      <w:bookmarkStart w:id="1402" w:name="Tc_nL7XVJ3T5USE5SjUrXXEvw_4_0"/>
      <w:bookmarkStart w:id="1403" w:name="Tc_27iYWcv6ekWg6vAVsMHWYQ_3_4"/>
      <w:bookmarkStart w:id="1404" w:name="Tc_CBR0r_SB3kicq81WFKjsag_3_2"/>
      <w:bookmarkStart w:id="1405" w:name="Tc_GajuEzdSB0qIyqeHY4nIaA_2_4"/>
      <w:bookmarkStart w:id="1406" w:name="Tc_Krnz14BHJEqiH99s2J7OsQ_2_2"/>
      <w:bookmarkStart w:id="1407" w:name="Tc_CqBCgDbWDUeZAOf2L_As0w_1_2"/>
      <w:bookmarkStart w:id="1408" w:name="_b74ed188_cf80_4b9e_9698_e83e0e8553f6"/>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r>
        <w:rPr>
          <w:rFonts w:ascii="Arial;Helvetica;sans-serif" w:hAnsi="Arial;Helvetica;sans-serif"/>
          <w:sz w:val="20"/>
        </w:rPr>
        <w:t>The Company’s volume of foreign exchange fair value derivative contracts as of June 30, 2026 and December 31, 2025 are summarized as follows (in thousands):</w:t>
      </w:r>
    </w:p>
    <w:tbl>
      <w:tblPr>
        <w:tblW w:w="5944" w:type="dxa"/>
        <w:jc w:val="left"/>
        <w:tblInd w:w="0" w:type="dxa"/>
        <w:tblLayout w:type="fixed"/>
        <w:tblCellMar>
          <w:top w:w="0" w:type="dxa"/>
          <w:left w:w="0" w:type="dxa"/>
          <w:bottom w:w="0" w:type="dxa"/>
          <w:right w:w="0" w:type="dxa"/>
        </w:tblCellMar>
      </w:tblPr>
      <w:tblGrid>
        <w:gridCol w:w="2011"/>
        <w:gridCol w:w="346"/>
        <w:gridCol w:w="916"/>
        <w:gridCol w:w="346"/>
        <w:gridCol w:w="239"/>
        <w:gridCol w:w="767"/>
        <w:gridCol w:w="346"/>
        <w:gridCol w:w="109"/>
        <w:gridCol w:w="109"/>
        <w:gridCol w:w="346"/>
        <w:gridCol w:w="109"/>
        <w:gridCol w:w="109"/>
        <w:gridCol w:w="191"/>
      </w:tblGrid>
      <w:tr>
        <w:trPr/>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276985" cy="175260"/>
                      <wp:effectExtent l="0" t="0" r="0" b="0"/>
                      <wp:wrapNone/>
                      <wp:docPr id="276" name="Frame276"/>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19710" cy="175260"/>
                      <wp:effectExtent l="0" t="0" r="0" b="0"/>
                      <wp:wrapNone/>
                      <wp:docPr id="277" name="Frame2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581660" cy="175260"/>
                      <wp:effectExtent l="0" t="0" r="0" b="0"/>
                      <wp:wrapNone/>
                      <wp:docPr id="278" name="Frame278"/>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19710" cy="175260"/>
                      <wp:effectExtent l="0" t="0" r="0" b="0"/>
                      <wp:wrapNone/>
                      <wp:docPr id="279" name="Frame2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51765" cy="175260"/>
                      <wp:effectExtent l="0" t="0" r="0" b="0"/>
                      <wp:wrapNone/>
                      <wp:docPr id="280" name="Frame280"/>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487045" cy="175260"/>
                      <wp:effectExtent l="0" t="0" r="0" b="0"/>
                      <wp:wrapNone/>
                      <wp:docPr id="281" name="Frame281"/>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19710" cy="175260"/>
                      <wp:effectExtent l="0" t="0" r="0" b="0"/>
                      <wp:wrapNone/>
                      <wp:docPr id="282" name="Frame2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9215" cy="175260"/>
                      <wp:effectExtent l="0" t="0" r="0" b="0"/>
                      <wp:wrapNone/>
                      <wp:docPr id="283" name="Frame2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9215" cy="175260"/>
                      <wp:effectExtent l="0" t="0" r="0" b="0"/>
                      <wp:wrapNone/>
                      <wp:docPr id="284" name="Frame2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19710" cy="175260"/>
                      <wp:effectExtent l="0" t="0" r="0" b="0"/>
                      <wp:wrapNone/>
                      <wp:docPr id="285" name="Frame2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9215" cy="175260"/>
                      <wp:effectExtent l="0" t="0" r="0" b="0"/>
                      <wp:wrapNone/>
                      <wp:docPr id="286" name="Frame2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9215" cy="175260"/>
                      <wp:effectExtent l="0" t="0" r="0" b="0"/>
                      <wp:wrapNone/>
                      <wp:docPr id="287" name="Frame2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21285" cy="175260"/>
                      <wp:effectExtent l="0" t="0" r="0" b="0"/>
                      <wp:wrapNone/>
                      <wp:docPr id="288" name="Frame288"/>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01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916"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Local</w:t>
            </w:r>
          </w:p>
        </w:tc>
        <w:tc>
          <w:tcPr>
            <w:tcW w:w="346" w:type="dxa"/>
            <w:tcBorders/>
            <w:vAlign w:val="center"/>
          </w:tcPr>
          <w:p>
            <w:pPr>
              <w:pStyle w:val="TableContents"/>
              <w:bidi w:val="0"/>
              <w:spacing w:lineRule="auto" w:line="285" w:before="0" w:after="0"/>
              <w:ind w:left="0" w:right="0" w:hanging="0"/>
              <w:jc w:val="center"/>
              <w:rPr/>
            </w:pPr>
            <w:r>
              <w:rPr/>
              <w:t>  ​ ​ ​</w:t>
            </w:r>
          </w:p>
        </w:tc>
        <w:tc>
          <w:tcPr>
            <w:tcW w:w="239" w:type="dxa"/>
            <w:tcBorders/>
            <w:vAlign w:val="center"/>
          </w:tcPr>
          <w:p>
            <w:pPr>
              <w:pStyle w:val="TableContents"/>
              <w:bidi w:val="0"/>
              <w:spacing w:lineRule="auto" w:line="285" w:before="0" w:after="0"/>
              <w:ind w:left="0" w:right="0" w:hanging="0"/>
              <w:jc w:val="center"/>
              <w:rPr/>
            </w:pPr>
            <w:r>
              <w:rPr/>
              <w:t>​</w:t>
            </w:r>
          </w:p>
        </w:tc>
        <w:tc>
          <w:tcPr>
            <w:tcW w:w="767"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01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916"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Currency</w:t>
            </w:r>
          </w:p>
        </w:tc>
        <w:tc>
          <w:tcPr>
            <w:tcW w:w="346" w:type="dxa"/>
            <w:tcBorders/>
            <w:vAlign w:val="center"/>
          </w:tcPr>
          <w:p>
            <w:pPr>
              <w:pStyle w:val="TableContents"/>
              <w:bidi w:val="0"/>
              <w:spacing w:lineRule="auto" w:line="285" w:before="0" w:after="0"/>
              <w:ind w:left="0" w:right="0" w:hanging="0"/>
              <w:jc w:val="center"/>
              <w:rPr/>
            </w:pPr>
            <w:r>
              <w:rPr/>
              <w:t>​</w:t>
            </w:r>
          </w:p>
        </w:tc>
        <w:tc>
          <w:tcPr>
            <w:tcW w:w="100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U.S. Dollar</w:t>
            </w:r>
          </w:p>
        </w:tc>
        <w:tc>
          <w:tcPr>
            <w:tcW w:w="346"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01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916"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Notional</w:t>
            </w:r>
          </w:p>
        </w:tc>
        <w:tc>
          <w:tcPr>
            <w:tcW w:w="346" w:type="dxa"/>
            <w:tcBorders/>
            <w:vAlign w:val="center"/>
          </w:tcPr>
          <w:p>
            <w:pPr>
              <w:pStyle w:val="TableContents"/>
              <w:bidi w:val="0"/>
              <w:spacing w:lineRule="auto" w:line="285" w:before="0" w:after="0"/>
              <w:ind w:left="0" w:right="0" w:hanging="0"/>
              <w:jc w:val="center"/>
              <w:rPr/>
            </w:pPr>
            <w:r>
              <w:rPr/>
              <w:t>​</w:t>
            </w:r>
          </w:p>
        </w:tc>
        <w:tc>
          <w:tcPr>
            <w:tcW w:w="100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Notional</w:t>
            </w:r>
          </w:p>
        </w:tc>
        <w:tc>
          <w:tcPr>
            <w:tcW w:w="346"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01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Arial;Helvetica;sans-serif" w:hAnsi="Arial;Helvetica;sans-serif"/>
                <w:sz w:val="18"/>
              </w:rPr>
            </w:pPr>
            <w:r>
              <w:rPr>
                <w:rFonts w:ascii="Arial;Helvetica;sans-serif" w:hAnsi="Arial;Helvetica;sans-serif"/>
                <w:b/>
                <w:sz w:val="18"/>
              </w:rPr>
              <w:t xml:space="preserve">As of June 30, 2026 </w:t>
            </w:r>
            <w:r>
              <w:rPr>
                <w:rFonts w:ascii="Arial;Helvetica;sans-serif" w:hAnsi="Arial;Helvetica;sans-serif"/>
                <w:b/>
                <w:sz w:val="14"/>
              </w:rPr>
              <w:t>(2)</w:t>
            </w:r>
          </w:p>
        </w:tc>
        <w:tc>
          <w:tcPr>
            <w:tcW w:w="346" w:type="dxa"/>
            <w:tcBorders/>
            <w:vAlign w:val="center"/>
          </w:tcPr>
          <w:p>
            <w:pPr>
              <w:pStyle w:val="TableContents"/>
              <w:bidi w:val="0"/>
              <w:spacing w:lineRule="auto" w:line="285" w:before="0" w:after="0"/>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Amount</w:t>
            </w:r>
          </w:p>
        </w:tc>
        <w:tc>
          <w:tcPr>
            <w:tcW w:w="346" w:type="dxa"/>
            <w:tcBorders/>
            <w:vAlign w:val="center"/>
          </w:tcPr>
          <w:p>
            <w:pPr>
              <w:pStyle w:val="TableContents"/>
              <w:bidi w:val="0"/>
              <w:spacing w:lineRule="auto" w:line="285" w:before="0" w:after="0"/>
              <w:ind w:left="0" w:right="0" w:hanging="0"/>
              <w:jc w:val="center"/>
              <w:rPr/>
            </w:pPr>
            <w:r>
              <w:rPr/>
              <w:t>​</w:t>
            </w:r>
          </w:p>
        </w:tc>
        <w:tc>
          <w:tcPr>
            <w:tcW w:w="100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Amount</w:t>
            </w:r>
          </w:p>
        </w:tc>
        <w:tc>
          <w:tcPr>
            <w:tcW w:w="346"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01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Australian Dollar</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91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2,700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67"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1,862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center"/>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201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Euro</w:t>
            </w:r>
          </w:p>
        </w:tc>
        <w:tc>
          <w:tcPr>
            <w:tcW w:w="346" w:type="dxa"/>
            <w:tcBorders/>
            <w:vAlign w:val="center"/>
          </w:tcPr>
          <w:p>
            <w:pPr>
              <w:pStyle w:val="TableContents"/>
              <w:bidi w:val="0"/>
              <w:spacing w:lineRule="auto" w:line="285" w:before="0" w:after="0"/>
              <w:ind w:left="0" w:right="0" w:hanging="0"/>
              <w:jc w:val="left"/>
              <w:rPr/>
            </w:pPr>
            <w:r>
              <w:rPr/>
              <w:t> </w:t>
            </w:r>
          </w:p>
        </w:tc>
        <w:tc>
          <w:tcPr>
            <w:tcW w:w="916"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11,850</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right"/>
              <w:rPr/>
            </w:pPr>
            <w:r>
              <w:rPr/>
              <w:t>​</w:t>
            </w:r>
          </w:p>
        </w:tc>
        <w:tc>
          <w:tcPr>
            <w:tcW w:w="767"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13,550</w:t>
            </w:r>
          </w:p>
        </w:tc>
        <w:tc>
          <w:tcPr>
            <w:tcW w:w="3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201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Canadian Dollar</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5,850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0"/>
              <w:ind w:left="0" w:right="0" w:hanging="0"/>
              <w:jc w:val="right"/>
              <w:rPr/>
            </w:pPr>
            <w:r>
              <w:rPr/>
              <w:t>​</w:t>
            </w:r>
          </w:p>
        </w:tc>
        <w:tc>
          <w:tcPr>
            <w:tcW w:w="767"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4,123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center"/>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201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British Pound</w:t>
            </w:r>
          </w:p>
        </w:tc>
        <w:tc>
          <w:tcPr>
            <w:tcW w:w="34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2,900</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right"/>
              <w:rPr/>
            </w:pPr>
            <w:r>
              <w:rPr/>
              <w:t>​</w:t>
            </w:r>
          </w:p>
        </w:tc>
        <w:tc>
          <w:tcPr>
            <w:tcW w:w="767"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3,837</w:t>
            </w:r>
          </w:p>
        </w:tc>
        <w:tc>
          <w:tcPr>
            <w:tcW w:w="3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201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Mexican Peso</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91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167,000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0"/>
              <w:ind w:left="0" w:right="0" w:hanging="0"/>
              <w:jc w:val="right"/>
              <w:rPr/>
            </w:pPr>
            <w:r>
              <w:rPr/>
              <w:t>​</w:t>
            </w:r>
          </w:p>
        </w:tc>
        <w:tc>
          <w:tcPr>
            <w:tcW w:w="767"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9,570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center"/>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201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Polish Zloty</w:t>
            </w:r>
          </w:p>
        </w:tc>
        <w:tc>
          <w:tcPr>
            <w:tcW w:w="34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2,000</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76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533</w:t>
            </w:r>
          </w:p>
        </w:tc>
        <w:tc>
          <w:tcPr>
            <w:tcW w:w="3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201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67"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33,475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center"/>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both"/>
        <w:rPr/>
      </w:pPr>
      <w:r>
        <w:rPr/>
        <w:t>​</w:t>
      </w:r>
    </w:p>
    <w:p>
      <w:pPr>
        <w:pStyle w:val="TextBody"/>
        <w:bidi w:val="0"/>
        <w:spacing w:lineRule="auto" w:line="240" w:before="0" w:after="120"/>
        <w:ind w:left="0" w:right="0" w:hanging="0"/>
        <w:jc w:val="both"/>
        <w:rPr>
          <w:rFonts w:ascii="Arial;Helvetica;sans-serif" w:hAnsi="Arial;Helvetica;sans-serif"/>
          <w:sz w:val="20"/>
        </w:rPr>
      </w:pPr>
      <w:r>
        <w:rPr>
          <w:rFonts w:ascii="Arial;Helvetica;sans-serif" w:hAnsi="Arial;Helvetica;sans-serif"/>
          <w:sz w:val="12"/>
        </w:rPr>
        <w:t xml:space="preserve">(2) </w:t>
      </w:r>
      <w:r>
        <w:rPr>
          <w:rFonts w:ascii="Arial;Helvetica;sans-serif" w:hAnsi="Arial;Helvetica;sans-serif"/>
          <w:sz w:val="16"/>
        </w:rPr>
        <w:t xml:space="preserve">All undesignated derivatives are short-term and matured in </w:t>
      </w:r>
      <w:r>
        <w:rPr>
          <w:rFonts w:ascii="Arial;Helvetica;sans-serif" w:hAnsi="Arial;Helvetica;sans-serif"/>
          <w:b w:val="false"/>
          <w:i w:val="false"/>
          <w:caps w:val="false"/>
          <w:smallCaps w:val="false"/>
          <w:sz w:val="16"/>
        </w:rPr>
        <w:t>July 2026</w:t>
      </w:r>
      <w:r>
        <w:rPr>
          <w:rFonts w:ascii="Arial;Helvetica;sans-serif" w:hAnsi="Arial;Helvetica;sans-serif"/>
          <w:sz w:val="16"/>
        </w:rPr>
        <w:t>.</w:t>
      </w:r>
    </w:p>
    <w:tbl>
      <w:tblPr>
        <w:tblW w:w="6150" w:type="dxa"/>
        <w:jc w:val="left"/>
        <w:tblInd w:w="0" w:type="dxa"/>
        <w:tblLayout w:type="fixed"/>
        <w:tblCellMar>
          <w:top w:w="0" w:type="dxa"/>
          <w:left w:w="0" w:type="dxa"/>
          <w:bottom w:w="0" w:type="dxa"/>
          <w:right w:w="0" w:type="dxa"/>
        </w:tblCellMar>
      </w:tblPr>
      <w:tblGrid>
        <w:gridCol w:w="2491"/>
        <w:gridCol w:w="346"/>
        <w:gridCol w:w="916"/>
        <w:gridCol w:w="346"/>
        <w:gridCol w:w="239"/>
        <w:gridCol w:w="767"/>
        <w:gridCol w:w="346"/>
        <w:gridCol w:w="109"/>
        <w:gridCol w:w="109"/>
        <w:gridCol w:w="109"/>
        <w:gridCol w:w="109"/>
        <w:gridCol w:w="109"/>
        <w:gridCol w:w="154"/>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581785" cy="175260"/>
                      <wp:effectExtent l="0" t="0" r="0" b="0"/>
                      <wp:wrapNone/>
                      <wp:docPr id="289" name="Frame289"/>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19710" cy="175260"/>
                      <wp:effectExtent l="0" t="0" r="0" b="0"/>
                      <wp:wrapNone/>
                      <wp:docPr id="290" name="Frame2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581660" cy="175260"/>
                      <wp:effectExtent l="0" t="0" r="0" b="0"/>
                      <wp:wrapNone/>
                      <wp:docPr id="291" name="Frame291"/>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19710" cy="175260"/>
                      <wp:effectExtent l="0" t="0" r="0" b="0"/>
                      <wp:wrapNone/>
                      <wp:docPr id="292" name="Frame2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51765" cy="175260"/>
                      <wp:effectExtent l="0" t="0" r="0" b="0"/>
                      <wp:wrapNone/>
                      <wp:docPr id="293" name="Frame293"/>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487045" cy="175260"/>
                      <wp:effectExtent l="0" t="0" r="0" b="0"/>
                      <wp:wrapNone/>
                      <wp:docPr id="294" name="Frame294"/>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19710" cy="175260"/>
                      <wp:effectExtent l="0" t="0" r="0" b="0"/>
                      <wp:wrapNone/>
                      <wp:docPr id="295" name="Frame2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9215" cy="175260"/>
                      <wp:effectExtent l="0" t="0" r="0" b="0"/>
                      <wp:wrapNone/>
                      <wp:docPr id="296" name="Frame2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9215" cy="175260"/>
                      <wp:effectExtent l="0" t="0" r="0" b="0"/>
                      <wp:wrapNone/>
                      <wp:docPr id="297" name="Frame2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9215" cy="175260"/>
                      <wp:effectExtent l="0" t="0" r="0" b="0"/>
                      <wp:wrapNone/>
                      <wp:docPr id="298" name="Frame2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9215" cy="175260"/>
                      <wp:effectExtent l="0" t="0" r="0" b="0"/>
                      <wp:wrapNone/>
                      <wp:docPr id="299" name="Frame2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9215" cy="175260"/>
                      <wp:effectExtent l="0" t="0" r="0" b="0"/>
                      <wp:wrapNone/>
                      <wp:docPr id="300" name="Frame3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97790" cy="175260"/>
                      <wp:effectExtent l="0" t="0" r="0" b="0"/>
                      <wp:wrapNone/>
                      <wp:docPr id="301" name="Frame30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49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916"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Local</w:t>
            </w:r>
          </w:p>
        </w:tc>
        <w:tc>
          <w:tcPr>
            <w:tcW w:w="346" w:type="dxa"/>
            <w:tcBorders/>
            <w:vAlign w:val="center"/>
          </w:tcPr>
          <w:p>
            <w:pPr>
              <w:pStyle w:val="TableContents"/>
              <w:bidi w:val="0"/>
              <w:spacing w:lineRule="auto" w:line="285" w:before="0" w:after="0"/>
              <w:ind w:left="0" w:right="0" w:hanging="0"/>
              <w:jc w:val="center"/>
              <w:rPr/>
            </w:pPr>
            <w:r>
              <w:rPr/>
              <w:t>  ​ ​ ​</w:t>
            </w:r>
          </w:p>
        </w:tc>
        <w:tc>
          <w:tcPr>
            <w:tcW w:w="239" w:type="dxa"/>
            <w:tcBorders/>
            <w:vAlign w:val="center"/>
          </w:tcPr>
          <w:p>
            <w:pPr>
              <w:pStyle w:val="TableContents"/>
              <w:bidi w:val="0"/>
              <w:spacing w:lineRule="auto" w:line="285" w:before="0" w:after="0"/>
              <w:ind w:left="0" w:right="0" w:hanging="0"/>
              <w:jc w:val="center"/>
              <w:rPr/>
            </w:pPr>
            <w:r>
              <w:rPr/>
              <w:t>​</w:t>
            </w:r>
          </w:p>
        </w:tc>
        <w:tc>
          <w:tcPr>
            <w:tcW w:w="767"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49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916"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Currency</w:t>
            </w:r>
          </w:p>
        </w:tc>
        <w:tc>
          <w:tcPr>
            <w:tcW w:w="346" w:type="dxa"/>
            <w:tcBorders/>
            <w:vAlign w:val="center"/>
          </w:tcPr>
          <w:p>
            <w:pPr>
              <w:pStyle w:val="TableContents"/>
              <w:bidi w:val="0"/>
              <w:spacing w:lineRule="auto" w:line="285" w:before="0" w:after="0"/>
              <w:ind w:left="0" w:right="0" w:hanging="0"/>
              <w:jc w:val="center"/>
              <w:rPr/>
            </w:pPr>
            <w:r>
              <w:rPr/>
              <w:t>​</w:t>
            </w:r>
          </w:p>
        </w:tc>
        <w:tc>
          <w:tcPr>
            <w:tcW w:w="100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U.S. Dollar</w:t>
            </w:r>
          </w:p>
        </w:tc>
        <w:tc>
          <w:tcPr>
            <w:tcW w:w="346"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49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916"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Notional</w:t>
            </w:r>
          </w:p>
        </w:tc>
        <w:tc>
          <w:tcPr>
            <w:tcW w:w="346" w:type="dxa"/>
            <w:tcBorders/>
            <w:vAlign w:val="center"/>
          </w:tcPr>
          <w:p>
            <w:pPr>
              <w:pStyle w:val="TableContents"/>
              <w:bidi w:val="0"/>
              <w:spacing w:lineRule="auto" w:line="285" w:before="0" w:after="0"/>
              <w:ind w:left="0" w:right="0" w:hanging="0"/>
              <w:jc w:val="center"/>
              <w:rPr/>
            </w:pPr>
            <w:r>
              <w:rPr/>
              <w:t>​</w:t>
            </w:r>
          </w:p>
        </w:tc>
        <w:tc>
          <w:tcPr>
            <w:tcW w:w="100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Notional</w:t>
            </w:r>
          </w:p>
        </w:tc>
        <w:tc>
          <w:tcPr>
            <w:tcW w:w="346" w:type="dxa"/>
            <w:tcBorders/>
            <w:vAlign w:val="center"/>
          </w:tcPr>
          <w:p>
            <w:pPr>
              <w:pStyle w:val="TableContents"/>
              <w:bidi w:val="0"/>
              <w:spacing w:lineRule="auto" w:line="285" w:before="0" w:after="0"/>
              <w:ind w:left="0" w:right="0" w:hanging="0"/>
              <w:jc w:val="center"/>
              <w:rPr/>
            </w:pPr>
            <w:r>
              <w:rPr/>
              <w:t> </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49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Arial;Helvetica;sans-serif" w:hAnsi="Arial;Helvetica;sans-serif"/>
                <w:sz w:val="18"/>
              </w:rPr>
            </w:pPr>
            <w:r>
              <w:rPr>
                <w:rFonts w:ascii="Arial;Helvetica;sans-serif" w:hAnsi="Arial;Helvetica;sans-serif"/>
                <w:b/>
                <w:sz w:val="18"/>
              </w:rPr>
              <w:t xml:space="preserve">As of December 31, 2025 </w:t>
            </w:r>
            <w:r>
              <w:rPr>
                <w:rFonts w:ascii="Arial;Helvetica;sans-serif" w:hAnsi="Arial;Helvetica;sans-serif"/>
                <w:b/>
                <w:sz w:val="14"/>
              </w:rPr>
              <w:t>(3)</w:t>
            </w:r>
          </w:p>
        </w:tc>
        <w:tc>
          <w:tcPr>
            <w:tcW w:w="346" w:type="dxa"/>
            <w:tcBorders/>
            <w:vAlign w:val="center"/>
          </w:tcPr>
          <w:p>
            <w:pPr>
              <w:pStyle w:val="TableContents"/>
              <w:bidi w:val="0"/>
              <w:spacing w:lineRule="auto" w:line="285" w:before="0" w:after="0"/>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Amount</w:t>
            </w:r>
          </w:p>
        </w:tc>
        <w:tc>
          <w:tcPr>
            <w:tcW w:w="346" w:type="dxa"/>
            <w:tcBorders/>
            <w:vAlign w:val="center"/>
          </w:tcPr>
          <w:p>
            <w:pPr>
              <w:pStyle w:val="TableContents"/>
              <w:bidi w:val="0"/>
              <w:spacing w:lineRule="auto" w:line="285" w:before="0" w:after="0"/>
              <w:ind w:left="0" w:right="0" w:hanging="0"/>
              <w:jc w:val="center"/>
              <w:rPr/>
            </w:pPr>
            <w:r>
              <w:rPr/>
              <w:t>​</w:t>
            </w:r>
          </w:p>
        </w:tc>
        <w:tc>
          <w:tcPr>
            <w:tcW w:w="100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Amount</w:t>
            </w:r>
          </w:p>
        </w:tc>
        <w:tc>
          <w:tcPr>
            <w:tcW w:w="346" w:type="dxa"/>
            <w:tcBorders/>
            <w:vAlign w:val="center"/>
          </w:tcPr>
          <w:p>
            <w:pPr>
              <w:pStyle w:val="TableContents"/>
              <w:bidi w:val="0"/>
              <w:spacing w:lineRule="auto" w:line="285" w:before="0" w:after="0"/>
              <w:ind w:left="0" w:right="0" w:hanging="0"/>
              <w:jc w:val="center"/>
              <w:rPr/>
            </w:pPr>
            <w:r>
              <w:rPr/>
              <w:t> </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49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Australian Dollar</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91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3,300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67"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2,210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r>
        <w:trPr/>
        <w:tc>
          <w:tcPr>
            <w:tcW w:w="249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Euro</w:t>
            </w:r>
          </w:p>
        </w:tc>
        <w:tc>
          <w:tcPr>
            <w:tcW w:w="34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5,350</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left"/>
              <w:rPr/>
            </w:pPr>
            <w:r>
              <w:rPr/>
              <w:t>​</w:t>
            </w:r>
          </w:p>
        </w:tc>
        <w:tc>
          <w:tcPr>
            <w:tcW w:w="767"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6,298</w:t>
            </w:r>
          </w:p>
        </w:tc>
        <w:tc>
          <w:tcPr>
            <w:tcW w:w="3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49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British Pound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5,950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0"/>
              <w:ind w:left="0" w:right="0" w:hanging="0"/>
              <w:jc w:val="left"/>
              <w:rPr/>
            </w:pPr>
            <w:r>
              <w:rPr/>
              <w:t>​</w:t>
            </w:r>
          </w:p>
        </w:tc>
        <w:tc>
          <w:tcPr>
            <w:tcW w:w="767"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8,021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center"/>
              <w:rPr/>
            </w:pPr>
            <w:r>
              <w:rPr/>
              <w:t>​</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r>
        <w:trPr/>
        <w:tc>
          <w:tcPr>
            <w:tcW w:w="249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Mexican Peso</w:t>
            </w:r>
          </w:p>
        </w:tc>
        <w:tc>
          <w:tcPr>
            <w:tcW w:w="346" w:type="dxa"/>
            <w:tcBorders/>
            <w:vAlign w:val="center"/>
          </w:tcPr>
          <w:p>
            <w:pPr>
              <w:pStyle w:val="TableContents"/>
              <w:bidi w:val="0"/>
              <w:spacing w:lineRule="auto" w:line="285" w:before="0" w:after="0"/>
              <w:ind w:left="0" w:right="0" w:hanging="0"/>
              <w:jc w:val="left"/>
              <w:rPr/>
            </w:pPr>
            <w:r>
              <w:rPr/>
              <w:t> </w:t>
            </w:r>
          </w:p>
        </w:tc>
        <w:tc>
          <w:tcPr>
            <w:tcW w:w="916"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70,000</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left"/>
              <w:rPr/>
            </w:pPr>
            <w:r>
              <w:rPr/>
              <w:t>​</w:t>
            </w:r>
          </w:p>
        </w:tc>
        <w:tc>
          <w:tcPr>
            <w:tcW w:w="767"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3,891</w:t>
            </w:r>
          </w:p>
        </w:tc>
        <w:tc>
          <w:tcPr>
            <w:tcW w:w="3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49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New Zealand Dollar</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91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1,100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0"/>
              <w:ind w:left="0" w:right="0" w:hanging="0"/>
              <w:jc w:val="right"/>
              <w:rPr/>
            </w:pPr>
            <w:r>
              <w:rPr/>
              <w:t> </w:t>
            </w:r>
          </w:p>
        </w:tc>
        <w:tc>
          <w:tcPr>
            <w:tcW w:w="767"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639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center"/>
              <w:rPr/>
            </w:pPr>
            <w:r>
              <w:rPr/>
              <w:t>​</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r>
        <w:trPr/>
        <w:tc>
          <w:tcPr>
            <w:tcW w:w="249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Polish Zloty</w:t>
            </w:r>
          </w:p>
        </w:tc>
        <w:tc>
          <w:tcPr>
            <w:tcW w:w="346" w:type="dxa"/>
            <w:tcBorders/>
            <w:vAlign w:val="center"/>
          </w:tcPr>
          <w:p>
            <w:pPr>
              <w:pStyle w:val="TableContents"/>
              <w:bidi w:val="0"/>
              <w:spacing w:lineRule="auto" w:line="285" w:before="0" w:after="0"/>
              <w:ind w:left="0" w:right="0" w:hanging="0"/>
              <w:jc w:val="left"/>
              <w:rPr/>
            </w:pPr>
            <w:r>
              <w:rPr/>
              <w:t> </w:t>
            </w:r>
          </w:p>
        </w:tc>
        <w:tc>
          <w:tcPr>
            <w:tcW w:w="916"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11,000</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76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3,072</w:t>
            </w:r>
          </w:p>
        </w:tc>
        <w:tc>
          <w:tcPr>
            <w:tcW w:w="3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49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6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24,131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both"/>
        <w:rPr/>
      </w:pPr>
      <w:r>
        <w:rPr/>
        <w:t>​</w:t>
      </w:r>
    </w:p>
    <w:p>
      <w:pPr>
        <w:pStyle w:val="TextBody"/>
        <w:bidi w:val="0"/>
        <w:spacing w:lineRule="auto" w:line="240" w:before="0" w:after="120"/>
        <w:ind w:left="0" w:right="0" w:hanging="0"/>
        <w:jc w:val="both"/>
        <w:rPr>
          <w:rFonts w:ascii="Arial;Helvetica;sans-serif" w:hAnsi="Arial;Helvetica;sans-serif"/>
          <w:sz w:val="20"/>
        </w:rPr>
      </w:pPr>
      <w:r>
        <w:rPr>
          <w:rFonts w:ascii="Arial;Helvetica;sans-serif" w:hAnsi="Arial;Helvetica;sans-serif"/>
          <w:sz w:val="12"/>
        </w:rPr>
        <w:t>(3)</w:t>
      </w:r>
      <w:r>
        <w:rPr>
          <w:rFonts w:ascii="Arial;Helvetica;sans-serif" w:hAnsi="Arial;Helvetica;sans-serif"/>
          <w:sz w:val="20"/>
        </w:rPr>
        <w:t xml:space="preserve"> </w:t>
      </w:r>
      <w:r>
        <w:rPr>
          <w:rFonts w:ascii="Arial;Helvetica;sans-serif" w:hAnsi="Arial;Helvetica;sans-serif"/>
          <w:sz w:val="16"/>
        </w:rPr>
        <w:t xml:space="preserve">All undesignated derivatives are short-term and matured in </w:t>
      </w:r>
      <w:r>
        <w:rPr>
          <w:rFonts w:ascii="Arial;Helvetica;sans-serif" w:hAnsi="Arial;Helvetica;sans-serif"/>
          <w:b w:val="false"/>
          <w:i w:val="false"/>
          <w:caps w:val="false"/>
          <w:smallCaps w:val="false"/>
          <w:sz w:val="16"/>
        </w:rPr>
        <w:t>January 2026</w:t>
      </w:r>
      <w:r>
        <w:rPr>
          <w:rFonts w:ascii="Arial;Helvetica;sans-serif" w:hAnsi="Arial;Helvetica;sans-serif"/>
          <w:sz w:val="16"/>
        </w:rPr>
        <w:t>.</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amounts and location of before tax gains and losses on Undesignated Derivatives within the Consolidated Statements of Comprehensive Income (Loss) for the six months ended June 30, 2026 and 2025, respectively, were as follows (in thousands):</w:t>
      </w:r>
    </w:p>
    <w:tbl>
      <w:tblPr>
        <w:tblW w:w="10205" w:type="dxa"/>
        <w:jc w:val="left"/>
        <w:tblInd w:w="0" w:type="dxa"/>
        <w:tblLayout w:type="fixed"/>
        <w:tblCellMar>
          <w:top w:w="0" w:type="dxa"/>
          <w:left w:w="0" w:type="dxa"/>
          <w:bottom w:w="0" w:type="dxa"/>
          <w:right w:w="0" w:type="dxa"/>
        </w:tblCellMar>
      </w:tblPr>
      <w:tblGrid>
        <w:gridCol w:w="6157"/>
        <w:gridCol w:w="346"/>
        <w:gridCol w:w="567"/>
        <w:gridCol w:w="849"/>
        <w:gridCol w:w="392"/>
        <w:gridCol w:w="567"/>
        <w:gridCol w:w="1136"/>
        <w:gridCol w:w="191"/>
      </w:tblGrid>
      <w:tr>
        <w:trPr/>
        <w:tc>
          <w:tcPr>
            <w:tcW w:w="6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3909695" cy="175260"/>
                      <wp:effectExtent l="0" t="0" r="0" b="0"/>
                      <wp:wrapNone/>
                      <wp:docPr id="302" name="Frame302"/>
                      <a:graphic xmlns:a="http://schemas.openxmlformats.org/drawingml/2006/main">
                        <a:graphicData uri="http://schemas.microsoft.com/office/word/2010/wordprocessingShape">
                          <wps:wsp>
                            <wps:cNvSpPr txBox="1"/>
                            <wps:spPr>
                              <a:xfrm>
                                <a:off x="0" y="0"/>
                                <a:ext cx="39096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19710" cy="175260"/>
                      <wp:effectExtent l="0" t="0" r="0" b="0"/>
                      <wp:wrapNone/>
                      <wp:docPr id="303" name="Frame3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360045" cy="175260"/>
                      <wp:effectExtent l="0" t="0" r="0" b="0"/>
                      <wp:wrapNone/>
                      <wp:docPr id="304" name="Frame304"/>
                      <a:graphic xmlns:a="http://schemas.openxmlformats.org/drawingml/2006/main">
                        <a:graphicData uri="http://schemas.microsoft.com/office/word/2010/wordprocessingShape">
                          <wps:wsp>
                            <wps:cNvSpPr txBox="1"/>
                            <wps:spPr>
                              <a:xfrm>
                                <a:off x="0" y="0"/>
                                <a:ext cx="3600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539115" cy="175260"/>
                      <wp:effectExtent l="0" t="0" r="0" b="0"/>
                      <wp:wrapNone/>
                      <wp:docPr id="305" name="Frame305"/>
                      <a:graphic xmlns:a="http://schemas.openxmlformats.org/drawingml/2006/main">
                        <a:graphicData uri="http://schemas.microsoft.com/office/word/2010/wordprocessingShape">
                          <wps:wsp>
                            <wps:cNvSpPr txBox="1"/>
                            <wps:spPr>
                              <a:xfrm>
                                <a:off x="0" y="0"/>
                                <a:ext cx="5391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48920" cy="175260"/>
                      <wp:effectExtent l="0" t="0" r="0" b="0"/>
                      <wp:wrapNone/>
                      <wp:docPr id="306" name="Frame306"/>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360045" cy="175260"/>
                      <wp:effectExtent l="0" t="0" r="0" b="0"/>
                      <wp:wrapNone/>
                      <wp:docPr id="307" name="Frame307"/>
                      <a:graphic xmlns:a="http://schemas.openxmlformats.org/drawingml/2006/main">
                        <a:graphicData uri="http://schemas.microsoft.com/office/word/2010/wordprocessingShape">
                          <wps:wsp>
                            <wps:cNvSpPr txBox="1"/>
                            <wps:spPr>
                              <a:xfrm>
                                <a:off x="0" y="0"/>
                                <a:ext cx="3600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721360" cy="175260"/>
                      <wp:effectExtent l="0" t="0" r="0" b="0"/>
                      <wp:wrapNone/>
                      <wp:docPr id="308" name="Frame308"/>
                      <a:graphic xmlns:a="http://schemas.openxmlformats.org/drawingml/2006/main">
                        <a:graphicData uri="http://schemas.microsoft.com/office/word/2010/wordprocessingShape">
                          <wps:wsp>
                            <wps:cNvSpPr txBox="1"/>
                            <wps:spPr>
                              <a:xfrm>
                                <a:off x="0" y="0"/>
                                <a:ext cx="7213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21285" cy="175260"/>
                      <wp:effectExtent l="0" t="0" r="0" b="0"/>
                      <wp:wrapNone/>
                      <wp:docPr id="309" name="Frame309"/>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6157"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3511"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xml:space="preserve">Three Months Ended June 30, </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6157"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4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392" w:type="dxa"/>
            <w:tcBorders/>
            <w:vAlign w:val="center"/>
          </w:tcPr>
          <w:p>
            <w:pPr>
              <w:pStyle w:val="TableContents"/>
              <w:bidi w:val="0"/>
              <w:spacing w:lineRule="auto" w:line="285" w:before="0" w:after="0"/>
              <w:ind w:left="0" w:right="0" w:hanging="0"/>
              <w:jc w:val="left"/>
              <w:rPr/>
            </w:pPr>
            <w:r>
              <w:rPr/>
              <w:t>​</w:t>
            </w:r>
          </w:p>
        </w:tc>
        <w:tc>
          <w:tcPr>
            <w:tcW w:w="170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10205"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615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Designation:</w:t>
            </w:r>
          </w:p>
        </w:tc>
        <w:tc>
          <w:tcPr>
            <w:tcW w:w="346" w:type="dxa"/>
            <w:tcBorders/>
            <w:vAlign w:val="center"/>
          </w:tcPr>
          <w:p>
            <w:pPr>
              <w:pStyle w:val="TableContents"/>
              <w:bidi w:val="0"/>
              <w:spacing w:lineRule="auto" w:line="285" w:before="0" w:after="0"/>
              <w:ind w:left="0" w:right="0" w:hanging="0"/>
              <w:jc w:val="center"/>
              <w:rPr/>
            </w:pPr>
            <w:r>
              <w:rPr/>
              <w:t>  ​ ​ ​</w:t>
            </w:r>
          </w:p>
        </w:tc>
        <w:tc>
          <w:tcPr>
            <w:tcW w:w="3511"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Not Designated as Hedging Instruments</w:t>
            </w:r>
          </w:p>
        </w:tc>
        <w:tc>
          <w:tcPr>
            <w:tcW w:w="191" w:type="dxa"/>
            <w:tcBorders/>
            <w:vAlign w:val="center"/>
          </w:tcPr>
          <w:p>
            <w:pPr>
              <w:pStyle w:val="TableContents"/>
              <w:bidi w:val="0"/>
              <w:spacing w:lineRule="auto" w:line="285" w:before="0" w:after="0"/>
              <w:ind w:left="0" w:right="0" w:hanging="0"/>
              <w:jc w:val="center"/>
              <w:rPr/>
            </w:pPr>
            <w:r>
              <w:rPr/>
              <w:t>​</w:t>
            </w:r>
          </w:p>
        </w:tc>
      </w:tr>
      <w:tr>
        <w:trPr/>
        <w:tc>
          <w:tcPr>
            <w:tcW w:w="615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Derivative contract type:</w:t>
            </w:r>
          </w:p>
        </w:tc>
        <w:tc>
          <w:tcPr>
            <w:tcW w:w="346" w:type="dxa"/>
            <w:tcBorders/>
            <w:vAlign w:val="center"/>
          </w:tcPr>
          <w:p>
            <w:pPr>
              <w:pStyle w:val="TableContents"/>
              <w:bidi w:val="0"/>
              <w:spacing w:lineRule="auto" w:line="285" w:before="0" w:after="0"/>
              <w:ind w:left="0" w:right="0" w:hanging="0"/>
              <w:jc w:val="center"/>
              <w:rPr/>
            </w:pPr>
            <w:r>
              <w:rPr/>
              <w:t> </w:t>
            </w:r>
          </w:p>
        </w:tc>
        <w:tc>
          <w:tcPr>
            <w:tcW w:w="3511"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Foreign Exchange</w:t>
            </w:r>
          </w:p>
        </w:tc>
        <w:tc>
          <w:tcPr>
            <w:tcW w:w="191" w:type="dxa"/>
            <w:tcBorders/>
            <w:vAlign w:val="center"/>
          </w:tcPr>
          <w:p>
            <w:pPr>
              <w:pStyle w:val="TableContents"/>
              <w:bidi w:val="0"/>
              <w:spacing w:lineRule="auto" w:line="285" w:before="0" w:after="0"/>
              <w:ind w:left="0" w:right="0" w:hanging="0"/>
              <w:jc w:val="center"/>
              <w:rPr/>
            </w:pPr>
            <w:r>
              <w:rPr/>
              <w:t>​</w:t>
            </w:r>
          </w:p>
        </w:tc>
      </w:tr>
      <w:tr>
        <w:trPr/>
        <w:tc>
          <w:tcPr>
            <w:tcW w:w="615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Derivative classification:</w:t>
            </w:r>
          </w:p>
        </w:tc>
        <w:tc>
          <w:tcPr>
            <w:tcW w:w="346" w:type="dxa"/>
            <w:tcBorders/>
            <w:vAlign w:val="center"/>
          </w:tcPr>
          <w:p>
            <w:pPr>
              <w:pStyle w:val="TableContents"/>
              <w:bidi w:val="0"/>
              <w:spacing w:lineRule="auto" w:line="285" w:before="0" w:after="0"/>
              <w:ind w:left="0" w:right="0" w:hanging="0"/>
              <w:jc w:val="center"/>
              <w:rPr/>
            </w:pPr>
            <w:r>
              <w:rPr/>
              <w:t> </w:t>
            </w:r>
          </w:p>
        </w:tc>
        <w:tc>
          <w:tcPr>
            <w:tcW w:w="3511"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Fair Value</w:t>
            </w:r>
          </w:p>
        </w:tc>
        <w:tc>
          <w:tcPr>
            <w:tcW w:w="191" w:type="dxa"/>
            <w:tcBorders/>
            <w:vAlign w:val="center"/>
          </w:tcPr>
          <w:p>
            <w:pPr>
              <w:pStyle w:val="TableContents"/>
              <w:bidi w:val="0"/>
              <w:spacing w:lineRule="auto" w:line="285" w:before="0" w:after="0"/>
              <w:ind w:left="0" w:right="0" w:hanging="0"/>
              <w:jc w:val="center"/>
              <w:rPr/>
            </w:pPr>
            <w:r>
              <w:rPr/>
              <w:t>​</w:t>
            </w:r>
          </w:p>
        </w:tc>
      </w:tr>
      <w:tr>
        <w:trPr/>
        <w:tc>
          <w:tcPr>
            <w:tcW w:w="6157"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67" w:type="dxa"/>
            <w:tcBorders/>
            <w:vAlign w:val="center"/>
          </w:tcPr>
          <w:p>
            <w:pPr>
              <w:pStyle w:val="TableContents"/>
              <w:bidi w:val="0"/>
              <w:spacing w:lineRule="auto" w:line="285" w:before="0" w:after="0"/>
              <w:ind w:left="0" w:right="0" w:hanging="0"/>
              <w:jc w:val="right"/>
              <w:rPr/>
            </w:pPr>
            <w:r>
              <w:rPr/>
              <w:t>​</w:t>
            </w:r>
          </w:p>
        </w:tc>
        <w:tc>
          <w:tcPr>
            <w:tcW w:w="849" w:type="dxa"/>
            <w:tcBorders/>
            <w:vAlign w:val="center"/>
          </w:tcPr>
          <w:p>
            <w:pPr>
              <w:pStyle w:val="TableContents"/>
              <w:bidi w:val="0"/>
              <w:spacing w:lineRule="auto" w:line="285" w:before="0" w:after="0"/>
              <w:ind w:left="0" w:right="0" w:hanging="0"/>
              <w:jc w:val="right"/>
              <w:rPr/>
            </w:pPr>
            <w:r>
              <w:rPr/>
              <w:t>​</w:t>
            </w:r>
          </w:p>
        </w:tc>
        <w:tc>
          <w:tcPr>
            <w:tcW w:w="392" w:type="dxa"/>
            <w:tcBorders/>
            <w:vAlign w:val="center"/>
          </w:tcPr>
          <w:p>
            <w:pPr>
              <w:pStyle w:val="TableContents"/>
              <w:bidi w:val="0"/>
              <w:spacing w:lineRule="auto" w:line="285" w:before="0" w:after="0"/>
              <w:ind w:left="0" w:right="0" w:hanging="0"/>
              <w:jc w:val="left"/>
              <w:rPr/>
            </w:pPr>
            <w:r>
              <w:rPr/>
              <w:t>​</w:t>
            </w:r>
          </w:p>
        </w:tc>
        <w:tc>
          <w:tcPr>
            <w:tcW w:w="567" w:type="dxa"/>
            <w:tcBorders/>
            <w:vAlign w:val="center"/>
          </w:tcPr>
          <w:p>
            <w:pPr>
              <w:pStyle w:val="TableContents"/>
              <w:bidi w:val="0"/>
              <w:spacing w:lineRule="auto" w:line="285" w:before="0" w:after="0"/>
              <w:ind w:left="0" w:right="0" w:hanging="0"/>
              <w:jc w:val="right"/>
              <w:rPr/>
            </w:pPr>
            <w:r>
              <w:rPr/>
              <w:t>​</w:t>
            </w:r>
          </w:p>
        </w:tc>
        <w:tc>
          <w:tcPr>
            <w:tcW w:w="1136"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157"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Amount and location of net gain or (loss) recognized in the Consolidated Statement of Comprehensive Income (Loss):</w:t>
            </w:r>
          </w:p>
        </w:tc>
        <w:tc>
          <w:tcPr>
            <w:tcW w:w="346" w:type="dxa"/>
            <w:tcBorders/>
            <w:vAlign w:val="center"/>
          </w:tcPr>
          <w:p>
            <w:pPr>
              <w:pStyle w:val="TableContents"/>
              <w:bidi w:val="0"/>
              <w:spacing w:lineRule="auto" w:line="285" w:before="0" w:after="0"/>
              <w:ind w:left="0" w:right="0" w:hanging="0"/>
              <w:jc w:val="left"/>
              <w:rPr/>
            </w:pPr>
            <w:r>
              <w:rPr/>
              <w:t>​</w:t>
            </w:r>
          </w:p>
        </w:tc>
        <w:tc>
          <w:tcPr>
            <w:tcW w:w="567" w:type="dxa"/>
            <w:tcBorders/>
            <w:vAlign w:val="center"/>
          </w:tcPr>
          <w:p>
            <w:pPr>
              <w:pStyle w:val="TableContents"/>
              <w:bidi w:val="0"/>
              <w:spacing w:lineRule="auto" w:line="285" w:before="0" w:after="0"/>
              <w:ind w:left="0" w:right="0" w:hanging="0"/>
              <w:jc w:val="right"/>
              <w:rPr/>
            </w:pPr>
            <w:r>
              <w:rPr/>
              <w:t>​</w:t>
            </w:r>
          </w:p>
        </w:tc>
        <w:tc>
          <w:tcPr>
            <w:tcW w:w="849" w:type="dxa"/>
            <w:tcBorders/>
            <w:vAlign w:val="center"/>
          </w:tcPr>
          <w:p>
            <w:pPr>
              <w:pStyle w:val="TableContents"/>
              <w:bidi w:val="0"/>
              <w:spacing w:lineRule="auto" w:line="285" w:before="0" w:after="0"/>
              <w:ind w:left="0" w:right="0" w:hanging="0"/>
              <w:jc w:val="right"/>
              <w:rPr/>
            </w:pPr>
            <w:r>
              <w:rPr/>
              <w:t>​</w:t>
            </w:r>
          </w:p>
        </w:tc>
        <w:tc>
          <w:tcPr>
            <w:tcW w:w="392" w:type="dxa"/>
            <w:tcBorders/>
            <w:vAlign w:val="center"/>
          </w:tcPr>
          <w:p>
            <w:pPr>
              <w:pStyle w:val="TableContents"/>
              <w:bidi w:val="0"/>
              <w:spacing w:lineRule="auto" w:line="285" w:before="0" w:after="0"/>
              <w:ind w:left="0" w:right="0" w:hanging="0"/>
              <w:jc w:val="left"/>
              <w:rPr/>
            </w:pPr>
            <w:r>
              <w:rPr/>
              <w:t>​</w:t>
            </w:r>
          </w:p>
        </w:tc>
        <w:tc>
          <w:tcPr>
            <w:tcW w:w="567" w:type="dxa"/>
            <w:tcBorders/>
            <w:vAlign w:val="center"/>
          </w:tcPr>
          <w:p>
            <w:pPr>
              <w:pStyle w:val="TableContents"/>
              <w:bidi w:val="0"/>
              <w:spacing w:lineRule="auto" w:line="285" w:before="0" w:after="0"/>
              <w:ind w:left="0" w:right="0" w:hanging="0"/>
              <w:jc w:val="right"/>
              <w:rPr/>
            </w:pPr>
            <w:r>
              <w:rPr/>
              <w:t>​</w:t>
            </w:r>
          </w:p>
        </w:tc>
        <w:tc>
          <w:tcPr>
            <w:tcW w:w="1136"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157"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Other income (expense), net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567"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49"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62</w:t>
            </w:r>
          </w:p>
        </w:tc>
        <w:tc>
          <w:tcPr>
            <w:tcW w:w="392" w:type="dxa"/>
            <w:tcBorders/>
            <w:shd w:fill="CCEEFF" w:val="clear"/>
            <w:vAlign w:val="center"/>
          </w:tcPr>
          <w:p>
            <w:pPr>
              <w:pStyle w:val="TableContents"/>
              <w:bidi w:val="0"/>
              <w:spacing w:lineRule="auto" w:line="285" w:before="0" w:after="0"/>
              <w:ind w:left="0" w:right="0" w:hanging="0"/>
              <w:jc w:val="left"/>
              <w:rPr/>
            </w:pPr>
            <w:r>
              <w:rPr/>
              <w:t> </w:t>
            </w:r>
          </w:p>
        </w:tc>
        <w:tc>
          <w:tcPr>
            <w:tcW w:w="567"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3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233</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both"/>
        <w:rPr/>
      </w:pPr>
      <w:r>
        <w:rPr/>
        <w:t>​</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15</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TTEC HOLDINGS, INC. AND SUBSIDIARIES</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Notes to Consolidated Financial Statements</w:t>
      </w:r>
    </w:p>
    <w:p>
      <w:pPr>
        <w:pStyle w:val="TextBody"/>
        <w:bidi w:val="0"/>
        <w:spacing w:lineRule="auto" w:line="285" w:before="0" w:after="240"/>
        <w:ind w:left="0" w:right="0" w:hanging="0"/>
        <w:jc w:val="center"/>
        <w:rPr>
          <w:rFonts w:ascii="Arial;Helvetica;sans-serif" w:hAnsi="Arial;Helvetica;sans-serif"/>
          <w:b/>
          <w:sz w:val="20"/>
        </w:rPr>
      </w:pPr>
      <w:r>
        <w:rPr>
          <w:rFonts w:ascii="Arial;Helvetica;sans-serif" w:hAnsi="Arial;Helvetica;sans-serif"/>
          <w:b/>
          <w:sz w:val="20"/>
        </w:rPr>
        <w:t>(Unaudited)</w:t>
      </w:r>
    </w:p>
    <w:p>
      <w:pPr>
        <w:pStyle w:val="Normal"/>
        <w:bidi w:val="0"/>
        <w:spacing w:before="0" w:after="0"/>
        <w:jc w:val="left"/>
        <w:rPr>
          <w:sz w:val="4"/>
          <w:szCs w:val="4"/>
        </w:rPr>
      </w:pPr>
      <w:r>
        <w:rPr>
          <w:sz w:val="4"/>
          <w:szCs w:val="4"/>
        </w:rPr>
      </w:r>
      <w:bookmarkStart w:id="1409" w:name="Tc_v26f0vrO7kebooEgZF4WXQ_8_5"/>
      <w:bookmarkStart w:id="1410" w:name="Tc_H4RZuZJ_VEOQOc0bjARR4w_8_2"/>
      <w:bookmarkStart w:id="1411" w:name="Tc__4FdodPAs0GURl-nchg55A_8_0"/>
      <w:bookmarkStart w:id="1412" w:name="Tc_lcr03lPGXUi2zrJbL76c7g_7_0"/>
      <w:bookmarkStart w:id="1413" w:name="Tc_IezTzLg9-UmNVpxeTh1YXQ_5_2"/>
      <w:bookmarkStart w:id="1414" w:name="Tc_a9Gb-RAMqkeeI9p-T3s8xg_5_0"/>
      <w:bookmarkStart w:id="1415" w:name="Tc_WvHeM_EUYUquceMd5G3LNw_4_2"/>
      <w:bookmarkStart w:id="1416" w:name="Tc_C-lx01XBeUuzhvsX4o4m3w_4_0"/>
      <w:bookmarkStart w:id="1417" w:name="Tc_Tj09L_gaHkySznOk4HQLIw_3_2"/>
      <w:bookmarkStart w:id="1418" w:name="Tc_s2_kyVl7wkaLUicbfVH_-w_3_0"/>
      <w:bookmarkStart w:id="1419" w:name="Tc_LEEfEKjb3kKI2j0jsfXzcg_2_5"/>
      <w:bookmarkStart w:id="1420" w:name="Tc_rE_Y6GDx2km6lQw6uXHSXQ_2_2"/>
      <w:bookmarkStart w:id="1421" w:name="Tc_evmxS4ab0kay7kcOxBx7kg_1_2"/>
      <w:bookmarkStart w:id="1422" w:name="Tc_v26f0vrO7kebooEgZF4WXQ_8_5"/>
      <w:bookmarkStart w:id="1423" w:name="Tc_H4RZuZJ_VEOQOc0bjARR4w_8_2"/>
      <w:bookmarkStart w:id="1424" w:name="Tc__4FdodPAs0GURl-nchg55A_8_0"/>
      <w:bookmarkStart w:id="1425" w:name="Tc_lcr03lPGXUi2zrJbL76c7g_7_0"/>
      <w:bookmarkStart w:id="1426" w:name="Tc_IezTzLg9-UmNVpxeTh1YXQ_5_2"/>
      <w:bookmarkStart w:id="1427" w:name="Tc_a9Gb-RAMqkeeI9p-T3s8xg_5_0"/>
      <w:bookmarkStart w:id="1428" w:name="Tc_WvHeM_EUYUquceMd5G3LNw_4_2"/>
      <w:bookmarkStart w:id="1429" w:name="Tc_C-lx01XBeUuzhvsX4o4m3w_4_0"/>
      <w:bookmarkStart w:id="1430" w:name="Tc_Tj09L_gaHkySznOk4HQLIw_3_2"/>
      <w:bookmarkStart w:id="1431" w:name="Tc_s2_kyVl7wkaLUicbfVH_-w_3_0"/>
      <w:bookmarkStart w:id="1432" w:name="Tc_LEEfEKjb3kKI2j0jsfXzcg_2_5"/>
      <w:bookmarkStart w:id="1433" w:name="Tc_rE_Y6GDx2km6lQw6uXHSXQ_2_2"/>
      <w:bookmarkStart w:id="1434" w:name="Tc_evmxS4ab0kay7kcOxBx7kg_1_2"/>
      <w:bookmarkEnd w:id="1422"/>
      <w:bookmarkEnd w:id="1423"/>
      <w:bookmarkEnd w:id="1424"/>
      <w:bookmarkEnd w:id="1425"/>
      <w:bookmarkEnd w:id="1426"/>
      <w:bookmarkEnd w:id="1427"/>
      <w:bookmarkEnd w:id="1428"/>
      <w:bookmarkEnd w:id="1429"/>
      <w:bookmarkEnd w:id="1430"/>
      <w:bookmarkEnd w:id="1431"/>
      <w:bookmarkEnd w:id="1432"/>
      <w:bookmarkEnd w:id="1433"/>
      <w:bookmarkEnd w:id="1434"/>
    </w:p>
    <w:tbl>
      <w:tblPr>
        <w:tblW w:w="10205" w:type="dxa"/>
        <w:jc w:val="left"/>
        <w:tblInd w:w="0" w:type="dxa"/>
        <w:tblLayout w:type="fixed"/>
        <w:tblCellMar>
          <w:top w:w="0" w:type="dxa"/>
          <w:left w:w="0" w:type="dxa"/>
          <w:bottom w:w="0" w:type="dxa"/>
          <w:right w:w="0" w:type="dxa"/>
        </w:tblCellMar>
      </w:tblPr>
      <w:tblGrid>
        <w:gridCol w:w="6394"/>
        <w:gridCol w:w="146"/>
        <w:gridCol w:w="503"/>
        <w:gridCol w:w="1147"/>
        <w:gridCol w:w="347"/>
        <w:gridCol w:w="503"/>
        <w:gridCol w:w="1011"/>
        <w:gridCol w:w="154"/>
      </w:tblGrid>
      <w:tr>
        <w:trPr/>
        <w:tc>
          <w:tcPr>
            <w:tcW w:w="6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4060190" cy="175260"/>
                      <wp:effectExtent l="0" t="0" r="0" b="0"/>
                      <wp:wrapNone/>
                      <wp:docPr id="310" name="Frame310"/>
                      <a:graphic xmlns:a="http://schemas.openxmlformats.org/drawingml/2006/main">
                        <a:graphicData uri="http://schemas.microsoft.com/office/word/2010/wordprocessingShape">
                          <wps:wsp>
                            <wps:cNvSpPr txBox="1"/>
                            <wps:spPr>
                              <a:xfrm>
                                <a:off x="0" y="0"/>
                                <a:ext cx="40601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92710" cy="175260"/>
                      <wp:effectExtent l="0" t="0" r="0" b="0"/>
                      <wp:wrapNone/>
                      <wp:docPr id="311" name="Frame31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319405" cy="175260"/>
                      <wp:effectExtent l="0" t="0" r="0" b="0"/>
                      <wp:wrapNone/>
                      <wp:docPr id="312" name="Frame312"/>
                      <a:graphic xmlns:a="http://schemas.openxmlformats.org/drawingml/2006/main">
                        <a:graphicData uri="http://schemas.microsoft.com/office/word/2010/wordprocessingShape">
                          <wps:wsp>
                            <wps:cNvSpPr txBox="1"/>
                            <wps:spPr>
                              <a:xfrm>
                                <a:off x="0" y="0"/>
                                <a:ext cx="3194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728345" cy="175260"/>
                      <wp:effectExtent l="0" t="0" r="0" b="0"/>
                      <wp:wrapNone/>
                      <wp:docPr id="313" name="Frame313"/>
                      <a:graphic xmlns:a="http://schemas.openxmlformats.org/drawingml/2006/main">
                        <a:graphicData uri="http://schemas.microsoft.com/office/word/2010/wordprocessingShape">
                          <wps:wsp>
                            <wps:cNvSpPr txBox="1"/>
                            <wps:spPr>
                              <a:xfrm>
                                <a:off x="0" y="0"/>
                                <a:ext cx="7283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20345" cy="175260"/>
                      <wp:effectExtent l="0" t="0" r="0" b="0"/>
                      <wp:wrapNone/>
                      <wp:docPr id="314" name="Frame314"/>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319405" cy="175260"/>
                      <wp:effectExtent l="0" t="0" r="0" b="0"/>
                      <wp:wrapNone/>
                      <wp:docPr id="315" name="Frame315"/>
                      <a:graphic xmlns:a="http://schemas.openxmlformats.org/drawingml/2006/main">
                        <a:graphicData uri="http://schemas.microsoft.com/office/word/2010/wordprocessingShape">
                          <wps:wsp>
                            <wps:cNvSpPr txBox="1"/>
                            <wps:spPr>
                              <a:xfrm>
                                <a:off x="0" y="0"/>
                                <a:ext cx="3194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1985" cy="175260"/>
                      <wp:effectExtent l="0" t="0" r="0" b="0"/>
                      <wp:wrapNone/>
                      <wp:docPr id="316" name="Frame316"/>
                      <a:graphic xmlns:a="http://schemas.openxmlformats.org/drawingml/2006/main">
                        <a:graphicData uri="http://schemas.microsoft.com/office/word/2010/wordprocessingShape">
                          <wps:wsp>
                            <wps:cNvSpPr txBox="1"/>
                            <wps:spPr>
                              <a:xfrm>
                                <a:off x="0" y="0"/>
                                <a:ext cx="641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97790" cy="175260"/>
                      <wp:effectExtent l="0" t="0" r="0" b="0"/>
                      <wp:wrapNone/>
                      <wp:docPr id="317" name="Frame31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6394"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center"/>
              <w:rPr/>
            </w:pPr>
            <w:r>
              <w:rPr/>
              <w:t>​</w:t>
            </w:r>
          </w:p>
        </w:tc>
        <w:tc>
          <w:tcPr>
            <w:tcW w:w="3511"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xml:space="preserve">Six Months Ended June 30, </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394"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center"/>
              <w:rPr/>
            </w:pPr>
            <w:r>
              <w:rPr/>
              <w:t>​</w:t>
            </w:r>
          </w:p>
        </w:tc>
        <w:tc>
          <w:tcPr>
            <w:tcW w:w="165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347" w:type="dxa"/>
            <w:tcBorders/>
            <w:vAlign w:val="center"/>
          </w:tcPr>
          <w:p>
            <w:pPr>
              <w:pStyle w:val="TableContents"/>
              <w:bidi w:val="0"/>
              <w:spacing w:lineRule="auto" w:line="285" w:before="0" w:after="0"/>
              <w:ind w:left="0" w:right="0" w:hanging="0"/>
              <w:jc w:val="left"/>
              <w:rPr/>
            </w:pPr>
            <w:r>
              <w:rPr/>
              <w:t>​</w:t>
            </w:r>
          </w:p>
        </w:tc>
        <w:tc>
          <w:tcPr>
            <w:tcW w:w="1514"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10205"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639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Designation:</w:t>
            </w:r>
          </w:p>
        </w:tc>
        <w:tc>
          <w:tcPr>
            <w:tcW w:w="146" w:type="dxa"/>
            <w:tcBorders/>
            <w:vAlign w:val="center"/>
          </w:tcPr>
          <w:p>
            <w:pPr>
              <w:pStyle w:val="TableContents"/>
              <w:bidi w:val="0"/>
              <w:spacing w:lineRule="auto" w:line="285" w:before="0" w:after="0"/>
              <w:ind w:left="0" w:right="0" w:hanging="0"/>
              <w:jc w:val="center"/>
              <w:rPr/>
            </w:pPr>
            <w:r>
              <w:rPr/>
              <w:t> </w:t>
            </w:r>
          </w:p>
        </w:tc>
        <w:tc>
          <w:tcPr>
            <w:tcW w:w="3511"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Not Designated as Hedging Instruments</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39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Derivative contract type:</w:t>
            </w:r>
          </w:p>
        </w:tc>
        <w:tc>
          <w:tcPr>
            <w:tcW w:w="146" w:type="dxa"/>
            <w:tcBorders/>
            <w:vAlign w:val="center"/>
          </w:tcPr>
          <w:p>
            <w:pPr>
              <w:pStyle w:val="TableContents"/>
              <w:bidi w:val="0"/>
              <w:spacing w:lineRule="auto" w:line="285" w:before="0" w:after="0"/>
              <w:ind w:left="0" w:right="0" w:hanging="0"/>
              <w:jc w:val="center"/>
              <w:rPr/>
            </w:pPr>
            <w:r>
              <w:rPr/>
              <w:t> </w:t>
            </w:r>
          </w:p>
        </w:tc>
        <w:tc>
          <w:tcPr>
            <w:tcW w:w="3511"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Foreign Exchange</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39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Derivative classification:</w:t>
            </w:r>
          </w:p>
        </w:tc>
        <w:tc>
          <w:tcPr>
            <w:tcW w:w="146" w:type="dxa"/>
            <w:tcBorders/>
            <w:vAlign w:val="center"/>
          </w:tcPr>
          <w:p>
            <w:pPr>
              <w:pStyle w:val="TableContents"/>
              <w:bidi w:val="0"/>
              <w:spacing w:lineRule="auto" w:line="285" w:before="0" w:after="0"/>
              <w:ind w:left="0" w:right="0" w:hanging="0"/>
              <w:jc w:val="center"/>
              <w:rPr/>
            </w:pPr>
            <w:r>
              <w:rPr/>
              <w:t> </w:t>
            </w:r>
          </w:p>
        </w:tc>
        <w:tc>
          <w:tcPr>
            <w:tcW w:w="3511"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Fair Value</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394"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503" w:type="dxa"/>
            <w:tcBorders/>
            <w:vAlign w:val="center"/>
          </w:tcPr>
          <w:p>
            <w:pPr>
              <w:pStyle w:val="TableContents"/>
              <w:bidi w:val="0"/>
              <w:spacing w:lineRule="auto" w:line="285" w:before="0" w:after="0"/>
              <w:ind w:left="0" w:right="0" w:hanging="0"/>
              <w:jc w:val="right"/>
              <w:rPr/>
            </w:pPr>
            <w:r>
              <w:rPr/>
              <w:t>​</w:t>
            </w:r>
          </w:p>
        </w:tc>
        <w:tc>
          <w:tcPr>
            <w:tcW w:w="1147" w:type="dxa"/>
            <w:tcBorders/>
            <w:vAlign w:val="center"/>
          </w:tcPr>
          <w:p>
            <w:pPr>
              <w:pStyle w:val="TableContents"/>
              <w:bidi w:val="0"/>
              <w:spacing w:lineRule="auto" w:line="285" w:before="0" w:after="0"/>
              <w:ind w:left="0" w:right="0" w:hanging="0"/>
              <w:jc w:val="right"/>
              <w:rPr/>
            </w:pPr>
            <w:r>
              <w:rPr/>
              <w:t>​</w:t>
            </w:r>
          </w:p>
        </w:tc>
        <w:tc>
          <w:tcPr>
            <w:tcW w:w="347" w:type="dxa"/>
            <w:tcBorders/>
            <w:vAlign w:val="center"/>
          </w:tcPr>
          <w:p>
            <w:pPr>
              <w:pStyle w:val="TableContents"/>
              <w:bidi w:val="0"/>
              <w:spacing w:lineRule="auto" w:line="285" w:before="0" w:after="0"/>
              <w:ind w:left="0" w:right="0" w:hanging="0"/>
              <w:jc w:val="left"/>
              <w:rPr/>
            </w:pPr>
            <w:r>
              <w:rPr/>
              <w:t>​</w:t>
            </w:r>
          </w:p>
        </w:tc>
        <w:tc>
          <w:tcPr>
            <w:tcW w:w="503" w:type="dxa"/>
            <w:tcBorders/>
            <w:vAlign w:val="center"/>
          </w:tcPr>
          <w:p>
            <w:pPr>
              <w:pStyle w:val="TableContents"/>
              <w:bidi w:val="0"/>
              <w:spacing w:lineRule="auto" w:line="285" w:before="0" w:after="0"/>
              <w:ind w:left="0" w:right="0" w:hanging="0"/>
              <w:jc w:val="right"/>
              <w:rPr/>
            </w:pPr>
            <w:r>
              <w:rPr/>
              <w:t>​</w:t>
            </w:r>
          </w:p>
        </w:tc>
        <w:tc>
          <w:tcPr>
            <w:tcW w:w="1011" w:type="dxa"/>
            <w:tcBorders/>
            <w:vAlign w:val="center"/>
          </w:tcPr>
          <w:p>
            <w:pPr>
              <w:pStyle w:val="TableContents"/>
              <w:bidi w:val="0"/>
              <w:spacing w:lineRule="auto" w:line="285" w:before="0" w:after="0"/>
              <w:ind w:left="0" w:right="0" w:hanging="0"/>
              <w:jc w:val="righ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394"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Amount and location of net gain or (loss) recognized in the Consolidated Statement of Comprehensive Income (Loss):</w:t>
            </w:r>
          </w:p>
        </w:tc>
        <w:tc>
          <w:tcPr>
            <w:tcW w:w="146" w:type="dxa"/>
            <w:tcBorders/>
            <w:vAlign w:val="center"/>
          </w:tcPr>
          <w:p>
            <w:pPr>
              <w:pStyle w:val="TableContents"/>
              <w:bidi w:val="0"/>
              <w:spacing w:lineRule="auto" w:line="285" w:before="0" w:after="0"/>
              <w:ind w:left="0" w:right="0" w:hanging="0"/>
              <w:jc w:val="left"/>
              <w:rPr/>
            </w:pPr>
            <w:r>
              <w:rPr/>
              <w:t>​</w:t>
            </w:r>
          </w:p>
        </w:tc>
        <w:tc>
          <w:tcPr>
            <w:tcW w:w="503" w:type="dxa"/>
            <w:tcBorders/>
            <w:vAlign w:val="center"/>
          </w:tcPr>
          <w:p>
            <w:pPr>
              <w:pStyle w:val="TableContents"/>
              <w:bidi w:val="0"/>
              <w:spacing w:lineRule="auto" w:line="285" w:before="0" w:after="0"/>
              <w:ind w:left="0" w:right="0" w:hanging="0"/>
              <w:jc w:val="right"/>
              <w:rPr/>
            </w:pPr>
            <w:r>
              <w:rPr/>
              <w:t>​</w:t>
            </w:r>
          </w:p>
        </w:tc>
        <w:tc>
          <w:tcPr>
            <w:tcW w:w="1147" w:type="dxa"/>
            <w:tcBorders/>
            <w:vAlign w:val="center"/>
          </w:tcPr>
          <w:p>
            <w:pPr>
              <w:pStyle w:val="TableContents"/>
              <w:bidi w:val="0"/>
              <w:spacing w:lineRule="auto" w:line="285" w:before="0" w:after="0"/>
              <w:ind w:left="0" w:right="0" w:hanging="0"/>
              <w:jc w:val="right"/>
              <w:rPr/>
            </w:pPr>
            <w:r>
              <w:rPr/>
              <w:t>​</w:t>
            </w:r>
          </w:p>
        </w:tc>
        <w:tc>
          <w:tcPr>
            <w:tcW w:w="347" w:type="dxa"/>
            <w:tcBorders/>
            <w:vAlign w:val="center"/>
          </w:tcPr>
          <w:p>
            <w:pPr>
              <w:pStyle w:val="TableContents"/>
              <w:bidi w:val="0"/>
              <w:spacing w:lineRule="auto" w:line="285" w:before="0" w:after="0"/>
              <w:ind w:left="0" w:right="0" w:hanging="0"/>
              <w:jc w:val="left"/>
              <w:rPr/>
            </w:pPr>
            <w:r>
              <w:rPr/>
              <w:t>​</w:t>
            </w:r>
          </w:p>
        </w:tc>
        <w:tc>
          <w:tcPr>
            <w:tcW w:w="503" w:type="dxa"/>
            <w:tcBorders/>
            <w:vAlign w:val="center"/>
          </w:tcPr>
          <w:p>
            <w:pPr>
              <w:pStyle w:val="TableContents"/>
              <w:bidi w:val="0"/>
              <w:spacing w:lineRule="auto" w:line="285" w:before="0" w:after="0"/>
              <w:ind w:left="0" w:right="0" w:hanging="0"/>
              <w:jc w:val="right"/>
              <w:rPr/>
            </w:pPr>
            <w:r>
              <w:rPr/>
              <w:t>​</w:t>
            </w:r>
          </w:p>
        </w:tc>
        <w:tc>
          <w:tcPr>
            <w:tcW w:w="1011" w:type="dxa"/>
            <w:tcBorders/>
            <w:vAlign w:val="center"/>
          </w:tcPr>
          <w:p>
            <w:pPr>
              <w:pStyle w:val="TableContents"/>
              <w:bidi w:val="0"/>
              <w:spacing w:lineRule="auto" w:line="285" w:before="0" w:after="0"/>
              <w:ind w:left="0" w:right="0" w:hanging="0"/>
              <w:jc w:val="righ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394"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Other income (expense), net</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503"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47"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(103)</w:t>
            </w:r>
          </w:p>
        </w:tc>
        <w:tc>
          <w:tcPr>
            <w:tcW w:w="347" w:type="dxa"/>
            <w:tcBorders/>
            <w:shd w:fill="CCEEFF" w:val="clear"/>
            <w:vAlign w:val="center"/>
          </w:tcPr>
          <w:p>
            <w:pPr>
              <w:pStyle w:val="TableContents"/>
              <w:bidi w:val="0"/>
              <w:spacing w:lineRule="auto" w:line="285" w:before="0" w:after="0"/>
              <w:ind w:left="0" w:right="0" w:hanging="0"/>
              <w:jc w:val="left"/>
              <w:rPr/>
            </w:pPr>
            <w:r>
              <w:rPr/>
              <w:t> </w:t>
            </w:r>
          </w:p>
        </w:tc>
        <w:tc>
          <w:tcPr>
            <w:tcW w:w="503"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1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281</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 related cash flow impacts of all the derivative activities are reflected as cash flows from operating activities.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shd w:fill="00FF00" w:val="clear"/>
        </w:rPr>
      </w:pPr>
      <w:r>
        <w:rPr>
          <w:shd w:fill="00FF00" w:val="clear"/>
        </w:rPr>
        <w:t>​</w:t>
      </w:r>
    </w:p>
    <w:p>
      <w:pPr>
        <w:pStyle w:val="TextBody"/>
        <w:bidi w:val="0"/>
        <w:spacing w:lineRule="auto" w:line="285" w:before="0" w:after="120"/>
        <w:ind w:left="0" w:right="0" w:hanging="0"/>
        <w:jc w:val="left"/>
        <w:rPr>
          <w:rFonts w:ascii="Arial;Helvetica;sans-serif" w:hAnsi="Arial;Helvetica;sans-serif"/>
          <w:sz w:val="20"/>
        </w:rPr>
      </w:pPr>
      <w:bookmarkStart w:id="1435" w:name="_Hlk519691536"/>
      <w:bookmarkEnd w:id="1435"/>
      <w:r>
        <w:rPr>
          <w:rFonts w:ascii="Arial;Helvetica;sans-serif" w:hAnsi="Arial;Helvetica;sans-serif"/>
          <w:b/>
          <w:i w:val="false"/>
          <w:caps w:val="false"/>
          <w:smallCaps w:val="false"/>
          <w:sz w:val="20"/>
        </w:rPr>
        <w:t>(6)</w:t>
      </w:r>
      <w:r>
        <w:rPr>
          <w:rFonts w:ascii="Arial;Helvetica;sans-serif" w:hAnsi="Arial;Helvetica;sans-serif"/>
          <w:b/>
          <w:sz w:val="20"/>
        </w:rPr>
        <w:t>FAIR VALUE</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authoritative guidance for fair value measurements establishes a three-level fair value hierarchy that prioritizes the inputs used to measure fair value. This hierarchy requires that the Company maximize the use of observable inputs and minimize the use of unobservable inputs. The three levels of inputs used to measure fair value are as follows:</w:t>
      </w:r>
    </w:p>
    <w:p>
      <w:pPr>
        <w:pStyle w:val="TextBody"/>
        <w:bidi w:val="0"/>
        <w:spacing w:lineRule="auto" w:line="285" w:before="0" w:after="120"/>
        <w:ind w:left="0" w:right="0" w:firstLine="720"/>
        <w:jc w:val="both"/>
        <w:rPr>
          <w:rFonts w:ascii="Arial;Helvetica;sans-serif" w:hAnsi="Arial;Helvetica;sans-serif"/>
          <w:sz w:val="20"/>
        </w:rPr>
      </w:pPr>
      <w:r>
        <w:rPr>
          <w:rFonts w:ascii="Arial;Helvetica;sans-serif" w:hAnsi="Arial;Helvetica;sans-serif"/>
          <w:sz w:val="20"/>
        </w:rPr>
        <w:t>Level 1 — Quoted prices in active markets for identical assets or liabilities.</w:t>
      </w:r>
    </w:p>
    <w:p>
      <w:pPr>
        <w:pStyle w:val="TextBody"/>
        <w:pBdr/>
        <w:bidi w:val="0"/>
        <w:spacing w:lineRule="auto" w:line="285" w:before="0" w:after="120"/>
        <w:ind w:left="720" w:right="0" w:hanging="990"/>
        <w:jc w:val="both"/>
        <w:rPr>
          <w:rFonts w:ascii="Arial;Helvetica;sans-serif" w:hAnsi="Arial;Helvetica;sans-serif"/>
          <w:sz w:val="20"/>
        </w:rPr>
      </w:pPr>
      <w:r>
        <w:rPr>
          <w:rFonts w:ascii="Arial;Helvetica;sans-serif" w:hAnsi="Arial;Helvetica;sans-serif"/>
          <w:sz w:val="20"/>
        </w:rPr>
        <w:t>Level 2 — Observable inputs other than quoted prices included in Level 1, such as quoted prices for similar assets and liabilities in active markets, similar assets and liabilities in markets that are not active or can be corroborated by observable market data.</w:t>
      </w:r>
    </w:p>
    <w:p>
      <w:pPr>
        <w:pStyle w:val="TextBody"/>
        <w:pBdr/>
        <w:bidi w:val="0"/>
        <w:spacing w:lineRule="auto" w:line="285" w:before="0" w:after="120"/>
        <w:ind w:left="720" w:right="0" w:hanging="994"/>
        <w:jc w:val="both"/>
        <w:rPr>
          <w:rFonts w:ascii="Arial;Helvetica;sans-serif" w:hAnsi="Arial;Helvetica;sans-serif"/>
          <w:sz w:val="20"/>
        </w:rPr>
      </w:pPr>
      <w:r>
        <w:rPr>
          <w:rFonts w:ascii="Arial;Helvetica;sans-serif" w:hAnsi="Arial;Helvetica;sans-serif"/>
          <w:sz w:val="20"/>
        </w:rPr>
        <w:t>Level 3 — Unobservable inputs that are supported by little or no market activity and that are significant to the fair value of the assets or liabilities. This includes certain pricing models, discounted cash flow methodologies and similar techniques that use significant unobservable inputs.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following presents information as of June 30, 2026 and December 31, 2025 for the Company’s assets and liabilities required to be measured at fair value on a recurring basis, as well as the fair value hierarchy used to determine their fair value.</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i/>
          <w:sz w:val="20"/>
        </w:rPr>
        <w:t>Accounts Receivable and Payable</w:t>
      </w:r>
      <w:r>
        <w:rPr>
          <w:rFonts w:ascii="Arial;Helvetica;sans-serif" w:hAnsi="Arial;Helvetica;sans-serif"/>
          <w:sz w:val="20"/>
        </w:rPr>
        <w:t xml:space="preserve"> - The amounts recorded in the accompanying balance sheets approximate fair value because of their short-term nature.</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i/>
          <w:sz w:val="20"/>
        </w:rPr>
        <w:t xml:space="preserve">Investments – </w:t>
      </w:r>
      <w:r>
        <w:rPr>
          <w:rFonts w:ascii="Arial;Helvetica;sans-serif" w:hAnsi="Arial;Helvetica;sans-serif"/>
          <w:sz w:val="20"/>
        </w:rPr>
        <w:t xml:space="preserve">The Company measures investments, including cost and equity method investments, at fair value on a nonrecurring basis when they are deemed to be other-than-temporarily impaired. The fair values of these investments are determined based on valuation techniques using the best information available, and may include market observable inputs, and discounted cash flow projections. An impairment charge is recorded when the cost of the investment exceeds its fair value and this condition is determined to be other-than-temporary. </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i/>
          <w:sz w:val="20"/>
        </w:rPr>
        <w:t>Debt</w:t>
      </w:r>
      <w:r>
        <w:rPr>
          <w:rFonts w:ascii="Arial;Helvetica;sans-serif" w:hAnsi="Arial;Helvetica;sans-serif"/>
          <w:sz w:val="20"/>
        </w:rPr>
        <w:t xml:space="preserve"> - The Company’s debt consists primarily of the Company’s Credit Facility, which permits floating-rate borrowings based upon the current Prime Rate or SOFR plus a credit spread as determined by the Company’s leverage ratio calculation (in each case as defined in the Credit Agreement discussed in Note 9). As of June 30, 2026 and December 31, 2025, the Company had $855.0 million and $905.0 million, respectively, of borrowings outstanding under the Credit Facility. During the second quarter of 2026 outstanding borrowings accrued interest at an average rate of 6.9% per annum, excluding unused commitment fees. The amounts recorded in the accompanying Balance Sheets approximate fair value due to the variable nature of the debt based on Level 2 inputs.</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16</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TTEC HOLDINGS, INC. AND SUBSIDIARIES</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Notes to Consolidated Financial Statements</w:t>
      </w:r>
    </w:p>
    <w:p>
      <w:pPr>
        <w:pStyle w:val="TextBody"/>
        <w:bidi w:val="0"/>
        <w:spacing w:lineRule="auto" w:line="285" w:before="0" w:after="24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lineRule="auto" w:line="285" w:before="0" w:after="120"/>
        <w:ind w:left="0" w:right="0" w:hanging="0"/>
        <w:jc w:val="both"/>
        <w:rPr>
          <w:rFonts w:ascii="Arial;Helvetica;sans-serif" w:hAnsi="Arial;Helvetica;sans-serif"/>
          <w:sz w:val="20"/>
        </w:rPr>
      </w:pPr>
      <w:bookmarkStart w:id="1436" w:name="Tc_Y7daqy8d-U6ZJLmSAIYd9Q_13_8"/>
      <w:bookmarkStart w:id="1437" w:name="Tc_gcoWwPNmNUewAoWZoki4hQ_13_5"/>
      <w:bookmarkStart w:id="1438" w:name="Tc_id0SvB_-ckiwUiOIqOpbmA_13_2"/>
      <w:bookmarkStart w:id="1439" w:name="Tc_sDS8C5u7GEaVFoddAg0uKg_13_0"/>
      <w:bookmarkStart w:id="1440" w:name="Tc_LWBUGEusbEGTosEwRyKQmg_12_8"/>
      <w:bookmarkStart w:id="1441" w:name="Tc_Z2hwsPUBn0C7fgpVOLjZTA_12_5"/>
      <w:bookmarkStart w:id="1442" w:name="Tc_Sq-JLVttm0eCYI-LKOqf2Q_12_2"/>
      <w:bookmarkStart w:id="1443" w:name="Tc_xNdBgOfaCUKqeoYLEevjYw_12_0"/>
      <w:bookmarkStart w:id="1444" w:name="Tc_ETTXynrUL0q-mlyKjct95g_11_0"/>
      <w:bookmarkStart w:id="1445" w:name="Tc_YaKKk5E0ik-zSICXCsF9iA_9_8"/>
      <w:bookmarkStart w:id="1446" w:name="Tc_OYfDNvHGJka5K68cESVKJA_9_5"/>
      <w:bookmarkStart w:id="1447" w:name="Tc_os1tWFX5nkWsThWowmTM5w_9_2"/>
      <w:bookmarkStart w:id="1448" w:name="Tc_pQe3tz_CoESn8HgOlqNNpw_9_0"/>
      <w:bookmarkStart w:id="1449" w:name="Tc_szCLGvv4F06Rh2b9af_Izg_8_0"/>
      <w:bookmarkStart w:id="1450" w:name="Tc_PBqRJn4CekGw8A6yuCSV5A_7_8"/>
      <w:bookmarkStart w:id="1451" w:name="Tc_85NZJ1JuQkuG4xocleWHWQ_7_5"/>
      <w:bookmarkStart w:id="1452" w:name="Tc_CxdIKXC_w02_tI8__5FPpw_7_2"/>
      <w:bookmarkStart w:id="1453" w:name="Tc_3JCwsxYID0-qnPzMxFEGHg_7_0"/>
      <w:bookmarkStart w:id="1454" w:name="Tc_GiryV9IXw0OMYEQBtz7Bgg_6_0"/>
      <w:bookmarkStart w:id="1455" w:name="Tc_SzSo0_dip0mws2VnW459eg_5_8"/>
      <w:bookmarkStart w:id="1456" w:name="Tc_zb5LIi8aw0-BfSFn78LU5g_5_5"/>
      <w:bookmarkStart w:id="1457" w:name="Tc_LIkw34BhKkqM0qBKlBaUgA_5_2"/>
      <w:bookmarkStart w:id="1458" w:name="Tc_E_-ICb4m0USnkreJIvCePw_4_8"/>
      <w:bookmarkStart w:id="1459" w:name="Tc_SKp8ZY1REEKjUa7cZrM6Gw_4_5"/>
      <w:bookmarkStart w:id="1460" w:name="Tc_bmvkt6h_E0qc0Jqe1ij1DQ_4_2"/>
      <w:bookmarkStart w:id="1461" w:name="Tc_eKyknXAG2UWWiRkVUS6eLA_3_8"/>
      <w:bookmarkStart w:id="1462" w:name="Tc_objYBmR4UkWhm1rCGMDaIg_3_5"/>
      <w:bookmarkStart w:id="1463" w:name="Tc_vTfaO0IenE2uFg-b6gmMCw_3_2"/>
      <w:bookmarkStart w:id="1464" w:name="Tc_s4pP1NacCkuex4n9VoaQlw_2_8"/>
      <w:bookmarkStart w:id="1465" w:name="Tc_nxuduFck_UWiGcpy8QETgA_2_2"/>
      <w:bookmarkStart w:id="1466" w:name="Tc_j2CFpL05yEuHijxeY6dR3Q_1_2"/>
      <w:bookmarkStart w:id="1467" w:name="_273a054c_174e_4f7f_98a6_ba1c6c33c0c5"/>
      <w:bookmarkStart w:id="1468" w:name="Tc_ypvfF4ykXkq7VojGmju_NQ_9_11"/>
      <w:bookmarkStart w:id="1469" w:name="Tc_5c9-CzfUC0-_jSBbHsASPw_9_8"/>
      <w:bookmarkStart w:id="1470" w:name="Tc_eyk5-x3XMEu-qh7B2Ry-fA_9_5"/>
      <w:bookmarkStart w:id="1471" w:name="Tc_0ZkIxZEhRUi9iUYtazYqFA_9_2"/>
      <w:bookmarkStart w:id="1472" w:name="Tc_3CG2XJ29L02H5kRub0iUAg_9_0"/>
      <w:bookmarkStart w:id="1473" w:name="Tc_5EhnZ5BJm0eEvJRo4xK-yQ_8_0"/>
      <w:bookmarkStart w:id="1474" w:name="Tc_VOEqe-ng8EaqPJezP6f3JA_7_11"/>
      <w:bookmarkStart w:id="1475" w:name="Tc_42fZtUpxVEu5WEYQ0rhivQ_7_8"/>
      <w:bookmarkStart w:id="1476" w:name="Tc_dQ0uswnhxEy824b7xmr3Qw_7_5"/>
      <w:bookmarkStart w:id="1477" w:name="Tc_FT8cdAEUzE-INteAPDrBkw_7_2"/>
      <w:bookmarkStart w:id="1478" w:name="Tc_YenUreVq_ES316LPeBNBHA_7_0"/>
      <w:bookmarkStart w:id="1479" w:name="Tc_TlCXAzBhFUigaGvuopJvog_6_11"/>
      <w:bookmarkStart w:id="1480" w:name="Tc_V7bJgRREFEGKDpnNcnpbdw_6_8"/>
      <w:bookmarkStart w:id="1481" w:name="Tc_dTbdr2Z2Mk2HZ1YAy0YWeA_6_5"/>
      <w:bookmarkStart w:id="1482" w:name="Tc_KSpaaRw890Onrt6aTsgC0Q_6_2"/>
      <w:bookmarkStart w:id="1483" w:name="Tc_ScwykLs97U-rkcIKS_9opg_5_8"/>
      <w:bookmarkStart w:id="1484" w:name="Tc_djRgRcMcokOTzl4yOVFrfQ_5_5"/>
      <w:bookmarkStart w:id="1485" w:name="Tc_eGnvjaW-M0uLe4PfW5Gbog_5_2"/>
      <w:bookmarkStart w:id="1486" w:name="Tc_vi2irEvY6k2u0MQo5DYGfw_4_8"/>
      <w:bookmarkStart w:id="1487" w:name="Tc_ROEHp9sYMUSM06c6rkTooA_4_5"/>
      <w:bookmarkStart w:id="1488" w:name="Tc_16IiUl27Bk-2MzyNN3Vd1w_4_2"/>
      <w:bookmarkStart w:id="1489" w:name="Tc_MyiL67YR_UK67fnhmeS34A_3_8"/>
      <w:bookmarkStart w:id="1490" w:name="Tc_sAXZ6aIS6U-dW5zQwfrEtQ_3_5"/>
      <w:bookmarkStart w:id="1491" w:name="Tc_BzQmsIohAEGAzEUr58BMCw_3_2"/>
      <w:bookmarkStart w:id="1492" w:name="Tc_V9o_a8VOikSHS3l2j-q57w_2_5"/>
      <w:bookmarkStart w:id="1493" w:name="Tc_-f4M4LImjEi9dFhuxKWBdA_2_2"/>
      <w:bookmarkStart w:id="1494" w:name="Tc_6ENNTA4S4EaBQK426zDFHw_1_2"/>
      <w:bookmarkStart w:id="1495" w:name="_3a2bef3a_a162_48b4_87c1_8ab09c9ef43d"/>
      <w:bookmarkStart w:id="1496" w:name="Tc_taK6ADSeH0K2DZBgLT3CcA_9_11"/>
      <w:bookmarkStart w:id="1497" w:name="Tc_esa2LVXbuE25DPjlY18TjQ_9_8"/>
      <w:bookmarkStart w:id="1498" w:name="Tc_hVj9LEMyBkWXKsKiiNdKPg_9_5"/>
      <w:bookmarkStart w:id="1499" w:name="Tc_IcfeslldSEm5Z-57_enGew_9_2"/>
      <w:bookmarkStart w:id="1500" w:name="Tc_-vZWMMgTFEyfirvavby88Q_9_0"/>
      <w:bookmarkStart w:id="1501" w:name="Tc_-YFwl8oAkUqMtTGe3oa9Mg_8_0"/>
      <w:bookmarkStart w:id="1502" w:name="Tc_egrMlkSJ3kO5z1AQHhsvFw_7_11"/>
      <w:bookmarkStart w:id="1503" w:name="Tc_YMGkYoUmcEWwrZtBINGn3w_7_8"/>
      <w:bookmarkStart w:id="1504" w:name="Tc_LpYiS4diyUyMO3srr7Psxw_7_5"/>
      <w:bookmarkStart w:id="1505" w:name="Tc_6RxcTGtONk2eumuzZpbWZw_7_2"/>
      <w:bookmarkStart w:id="1506" w:name="Tc_2AUXS6f1TESNcf-tmtycug_7_0"/>
      <w:bookmarkStart w:id="1507" w:name="Tc_TkZDf9lisk-HsDq9gtdDFA_6_11"/>
      <w:bookmarkStart w:id="1508" w:name="Tc_Qp38O323XkqPyXgN1y083g_6_8"/>
      <w:bookmarkStart w:id="1509" w:name="Tc_b3cCN0c9j0O9fTCbX77ldA_6_5"/>
      <w:bookmarkStart w:id="1510" w:name="Tc_LxkrCNsWBEiviZXQ0QKFpw_6_2"/>
      <w:bookmarkStart w:id="1511" w:name="Tc_xvFlPawdS0efRS5xGTagmg_5_8"/>
      <w:bookmarkStart w:id="1512" w:name="Tc_DP6IOcBlxk20nLbT7S2SLg_5_5"/>
      <w:bookmarkStart w:id="1513" w:name="Tc_Hzffc-zrDkeR3sMqSUaEYg_5_2"/>
      <w:bookmarkStart w:id="1514" w:name="Tc_yvCF_LGZ20CZB5p87zC8hA_4_8"/>
      <w:bookmarkStart w:id="1515" w:name="Tc_FYS7w0RIBkKhkybBvyQ03Q_4_5"/>
      <w:bookmarkStart w:id="1516" w:name="Tc_IRZpbzXG2kqbgOJE5Zspow_4_2"/>
      <w:bookmarkStart w:id="1517" w:name="Tc_uLrtrJ86lEWf88_9H2ZoHA_3_8"/>
      <w:bookmarkStart w:id="1518" w:name="Tc_6wwkJmRbDE6re6TQpMol-g_3_5"/>
      <w:bookmarkStart w:id="1519" w:name="Tc_-7PGQV53LU66-WP6gTqZKw_3_2"/>
      <w:bookmarkStart w:id="1520" w:name="Tc_ofm1HoBtOkW_qLZGpQGN4g_2_5"/>
      <w:bookmarkStart w:id="1521" w:name="Tc_qvftcypRREi3tGoTIc1UmA_2_2"/>
      <w:bookmarkStart w:id="1522" w:name="Tc_fY-AJuk6rEOgVMpHPPJIlw_1_2"/>
      <w:bookmarkStart w:id="1523" w:name="_f99b2dcf_8b65_47b6_a292_0d668b2b3acc"/>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r>
        <w:rPr>
          <w:rFonts w:ascii="Arial;Helvetica;sans-serif" w:hAnsi="Arial;Helvetica;sans-serif"/>
          <w:i/>
          <w:sz w:val="20"/>
        </w:rPr>
        <w:t>Derivatives -</w:t>
      </w:r>
      <w:r>
        <w:rPr>
          <w:rFonts w:ascii="Arial;Helvetica;sans-serif" w:hAnsi="Arial;Helvetica;sans-serif"/>
          <w:sz w:val="20"/>
        </w:rPr>
        <w:t xml:space="preserve"> Net derivative assets (liabilities) are measured at fair value on a recurring basis. The portfolio is valued using models based on market observable inputs, including both forward and spot foreign exchange rates, interest rates, implied volatility, and counterparty credit risk, including the ability of each party to execute its obligations under the contract. As of June 30, 2026, credit risk did not materially change the fair value of the Company’s derivative contracts.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following is a summary of the Company’s fair value measurements for its net derivative assets (liabilities) as of June 30, 2026 and December 31, 2025 (in thousands):</w:t>
      </w:r>
    </w:p>
    <w:p>
      <w:pPr>
        <w:pStyle w:val="TextBody"/>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As of June 30, 2026</w:t>
      </w:r>
    </w:p>
    <w:tbl>
      <w:tblPr>
        <w:tblW w:w="9667" w:type="dxa"/>
        <w:jc w:val="left"/>
        <w:tblInd w:w="0" w:type="dxa"/>
        <w:tblLayout w:type="fixed"/>
        <w:tblCellMar>
          <w:top w:w="0" w:type="dxa"/>
          <w:left w:w="0" w:type="dxa"/>
          <w:bottom w:w="0" w:type="dxa"/>
          <w:right w:w="0" w:type="dxa"/>
        </w:tblCellMar>
      </w:tblPr>
      <w:tblGrid>
        <w:gridCol w:w="2881"/>
        <w:gridCol w:w="346"/>
        <w:gridCol w:w="574"/>
        <w:gridCol w:w="942"/>
        <w:gridCol w:w="392"/>
        <w:gridCol w:w="333"/>
        <w:gridCol w:w="763"/>
        <w:gridCol w:w="392"/>
        <w:gridCol w:w="490"/>
        <w:gridCol w:w="816"/>
        <w:gridCol w:w="346"/>
        <w:gridCol w:w="502"/>
        <w:gridCol w:w="699"/>
        <w:gridCol w:w="191"/>
      </w:tblGrid>
      <w:tr>
        <w:trPr/>
        <w:tc>
          <w:tcPr>
            <w:tcW w:w="2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74" w:type="dxa"/>
            <w:tcBorders/>
            <w:vAlign w:val="center"/>
          </w:tcPr>
          <w:p>
            <w:pPr>
              <w:pStyle w:val="TableContents"/>
              <w:bidi w:val="0"/>
              <w:spacing w:lineRule="auto" w:line="285" w:before="0" w:after="0"/>
              <w:ind w:left="0" w:right="0" w:hanging="0"/>
              <w:jc w:val="left"/>
              <w:rPr/>
            </w:pPr>
            <w:r>
              <w:rPr/>
              <w:t>​</w:t>
            </w:r>
          </w:p>
        </w:tc>
        <w:tc>
          <w:tcPr>
            <w:tcW w:w="942" w:type="dxa"/>
            <w:tcBorders/>
            <w:vAlign w:val="center"/>
          </w:tcPr>
          <w:p>
            <w:pPr>
              <w:pStyle w:val="TableContents"/>
              <w:bidi w:val="0"/>
              <w:spacing w:lineRule="auto" w:line="285" w:before="0" w:after="0"/>
              <w:ind w:left="0" w:right="0" w:hanging="0"/>
              <w:jc w:val="left"/>
              <w:rPr/>
            </w:pPr>
            <w:r>
              <w:rPr/>
              <w:t>​</w:t>
            </w:r>
          </w:p>
        </w:tc>
        <w:tc>
          <w:tcPr>
            <w:tcW w:w="392" w:type="dxa"/>
            <w:tcBorders/>
            <w:vAlign w:val="center"/>
          </w:tcPr>
          <w:p>
            <w:pPr>
              <w:pStyle w:val="TableContents"/>
              <w:bidi w:val="0"/>
              <w:spacing w:lineRule="auto" w:line="285" w:before="0" w:after="0"/>
              <w:ind w:left="0" w:right="0" w:hanging="0"/>
              <w:jc w:val="left"/>
              <w:rPr/>
            </w:pPr>
            <w:r>
              <w:rPr/>
              <w:t>​</w:t>
            </w:r>
          </w:p>
        </w:tc>
        <w:tc>
          <w:tcPr>
            <w:tcW w:w="333" w:type="dxa"/>
            <w:tcBorders/>
            <w:vAlign w:val="center"/>
          </w:tcPr>
          <w:p>
            <w:pPr>
              <w:pStyle w:val="TableContents"/>
              <w:bidi w:val="0"/>
              <w:spacing w:lineRule="auto" w:line="285" w:before="0" w:after="0"/>
              <w:ind w:left="0" w:right="0" w:hanging="0"/>
              <w:jc w:val="left"/>
              <w:rPr/>
            </w:pPr>
            <w:r>
              <w:rPr/>
              <w:t>​</w:t>
            </w:r>
          </w:p>
        </w:tc>
        <w:tc>
          <w:tcPr>
            <w:tcW w:w="763" w:type="dxa"/>
            <w:tcBorders/>
            <w:vAlign w:val="center"/>
          </w:tcPr>
          <w:p>
            <w:pPr>
              <w:pStyle w:val="TableContents"/>
              <w:bidi w:val="0"/>
              <w:spacing w:lineRule="auto" w:line="285" w:before="0" w:after="0"/>
              <w:ind w:left="0" w:right="0" w:hanging="0"/>
              <w:jc w:val="left"/>
              <w:rPr/>
            </w:pPr>
            <w:r>
              <w:rPr/>
              <w:t>​</w:t>
            </w:r>
          </w:p>
        </w:tc>
        <w:tc>
          <w:tcPr>
            <w:tcW w:w="392" w:type="dxa"/>
            <w:tcBorders/>
            <w:vAlign w:val="center"/>
          </w:tcPr>
          <w:p>
            <w:pPr>
              <w:pStyle w:val="TableContents"/>
              <w:bidi w:val="0"/>
              <w:spacing w:lineRule="auto" w:line="285" w:before="0" w:after="0"/>
              <w:ind w:left="0" w:right="0" w:hanging="0"/>
              <w:jc w:val="left"/>
              <w:rPr/>
            </w:pPr>
            <w:r>
              <w:rPr/>
              <w:t>​</w:t>
            </w:r>
          </w:p>
        </w:tc>
        <w:tc>
          <w:tcPr>
            <w:tcW w:w="490" w:type="dxa"/>
            <w:tcBorders/>
            <w:vAlign w:val="center"/>
          </w:tcPr>
          <w:p>
            <w:pPr>
              <w:pStyle w:val="TableContents"/>
              <w:bidi w:val="0"/>
              <w:spacing w:lineRule="auto" w:line="285" w:before="0" w:after="0"/>
              <w:ind w:left="0" w:right="0" w:hanging="0"/>
              <w:jc w:val="left"/>
              <w:rPr/>
            </w:pPr>
            <w:r>
              <w:rPr/>
              <w:t>​</w:t>
            </w:r>
          </w:p>
        </w:tc>
        <w:tc>
          <w:tcPr>
            <w:tcW w:w="81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02" w:type="dxa"/>
            <w:tcBorders/>
            <w:vAlign w:val="center"/>
          </w:tcPr>
          <w:p>
            <w:pPr>
              <w:pStyle w:val="TableContents"/>
              <w:bidi w:val="0"/>
              <w:spacing w:lineRule="auto" w:line="285" w:before="0" w:after="0"/>
              <w:ind w:left="0" w:right="0" w:hanging="0"/>
              <w:jc w:val="left"/>
              <w:rPr/>
            </w:pPr>
            <w:r>
              <w:rPr/>
              <w:t>​</w:t>
            </w:r>
          </w:p>
        </w:tc>
        <w:tc>
          <w:tcPr>
            <w:tcW w:w="699" w:type="dxa"/>
            <w:tcBorders/>
            <w:vAlign w:val="center"/>
          </w:tcPr>
          <w:p>
            <w:pPr>
              <w:pStyle w:val="TableContents"/>
              <w:bidi w:val="0"/>
              <w:spacing w:lineRule="auto" w:line="285" w:before="0" w:after="0"/>
              <w:ind w:left="0" w:right="0" w:hanging="0"/>
              <w:jc w:val="lef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4702"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Fair Value Measurements Using</w:t>
            </w:r>
          </w:p>
        </w:tc>
        <w:tc>
          <w:tcPr>
            <w:tcW w:w="346" w:type="dxa"/>
            <w:tcBorders/>
            <w:vAlign w:val="center"/>
          </w:tcPr>
          <w:p>
            <w:pPr>
              <w:pStyle w:val="TableContents"/>
              <w:bidi w:val="0"/>
              <w:spacing w:lineRule="auto" w:line="285" w:before="0" w:after="0"/>
              <w:ind w:left="0" w:right="0" w:hanging="0"/>
              <w:jc w:val="center"/>
              <w:rPr/>
            </w:pPr>
            <w:r>
              <w:rPr/>
              <w:t>​</w:t>
            </w:r>
          </w:p>
        </w:tc>
        <w:tc>
          <w:tcPr>
            <w:tcW w:w="502" w:type="dxa"/>
            <w:tcBorders/>
            <w:vAlign w:val="center"/>
          </w:tcPr>
          <w:p>
            <w:pPr>
              <w:pStyle w:val="TableContents"/>
              <w:bidi w:val="0"/>
              <w:spacing w:lineRule="auto" w:line="285" w:before="0" w:after="0"/>
              <w:ind w:left="0" w:right="0" w:hanging="0"/>
              <w:jc w:val="center"/>
              <w:rPr/>
            </w:pPr>
            <w:r>
              <w:rPr/>
              <w:t>​</w:t>
            </w:r>
          </w:p>
        </w:tc>
        <w:tc>
          <w:tcPr>
            <w:tcW w:w="699"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51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Quoted Prices in</w:t>
            </w:r>
          </w:p>
        </w:tc>
        <w:tc>
          <w:tcPr>
            <w:tcW w:w="392" w:type="dxa"/>
            <w:tcBorders/>
            <w:vAlign w:val="center"/>
          </w:tcPr>
          <w:p>
            <w:pPr>
              <w:pStyle w:val="TableContents"/>
              <w:bidi w:val="0"/>
              <w:spacing w:lineRule="auto" w:line="285" w:before="0" w:after="0"/>
              <w:ind w:left="0" w:right="0" w:hanging="0"/>
              <w:jc w:val="center"/>
              <w:rPr/>
            </w:pPr>
            <w:r>
              <w:rPr/>
              <w:t>  ​ ​ ​</w:t>
            </w:r>
          </w:p>
        </w:tc>
        <w:tc>
          <w:tcPr>
            <w:tcW w:w="109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Significant</w:t>
            </w:r>
          </w:p>
        </w:tc>
        <w:tc>
          <w:tcPr>
            <w:tcW w:w="392" w:type="dxa"/>
            <w:tcBorders/>
            <w:vAlign w:val="center"/>
          </w:tcPr>
          <w:p>
            <w:pPr>
              <w:pStyle w:val="TableContents"/>
              <w:bidi w:val="0"/>
              <w:spacing w:lineRule="auto" w:line="285" w:before="0" w:after="0"/>
              <w:ind w:left="0" w:right="0" w:hanging="0"/>
              <w:jc w:val="center"/>
              <w:rPr/>
            </w:pPr>
            <w:r>
              <w:rPr/>
              <w:t>  ​ ​ ​</w:t>
            </w:r>
          </w:p>
        </w:tc>
        <w:tc>
          <w:tcPr>
            <w:tcW w:w="490" w:type="dxa"/>
            <w:tcBorders/>
            <w:vAlign w:val="center"/>
          </w:tcPr>
          <w:p>
            <w:pPr>
              <w:pStyle w:val="TableContents"/>
              <w:bidi w:val="0"/>
              <w:spacing w:lineRule="auto" w:line="285" w:before="0" w:after="0"/>
              <w:ind w:left="0" w:right="0" w:hanging="0"/>
              <w:jc w:val="center"/>
              <w:rPr/>
            </w:pPr>
            <w:r>
              <w:rPr/>
              <w:t>​</w:t>
            </w:r>
          </w:p>
        </w:tc>
        <w:tc>
          <w:tcPr>
            <w:tcW w:w="81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502" w:type="dxa"/>
            <w:tcBorders/>
            <w:vAlign w:val="center"/>
          </w:tcPr>
          <w:p>
            <w:pPr>
              <w:pStyle w:val="TableContents"/>
              <w:bidi w:val="0"/>
              <w:spacing w:lineRule="auto" w:line="285" w:before="0" w:after="0"/>
              <w:ind w:left="0" w:right="0" w:hanging="0"/>
              <w:jc w:val="center"/>
              <w:rPr/>
            </w:pPr>
            <w:r>
              <w:rPr/>
              <w:t>  ​ ​ ​</w:t>
            </w:r>
          </w:p>
        </w:tc>
        <w:tc>
          <w:tcPr>
            <w:tcW w:w="699"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51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Active Markets</w:t>
            </w:r>
          </w:p>
        </w:tc>
        <w:tc>
          <w:tcPr>
            <w:tcW w:w="392" w:type="dxa"/>
            <w:tcBorders/>
            <w:vAlign w:val="center"/>
          </w:tcPr>
          <w:p>
            <w:pPr>
              <w:pStyle w:val="TableContents"/>
              <w:bidi w:val="0"/>
              <w:spacing w:lineRule="auto" w:line="285" w:before="0" w:after="0"/>
              <w:ind w:left="0" w:right="0" w:hanging="0"/>
              <w:jc w:val="center"/>
              <w:rPr/>
            </w:pPr>
            <w:r>
              <w:rPr/>
              <w:t>​</w:t>
            </w:r>
          </w:p>
        </w:tc>
        <w:tc>
          <w:tcPr>
            <w:tcW w:w="109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Other</w:t>
            </w:r>
          </w:p>
        </w:tc>
        <w:tc>
          <w:tcPr>
            <w:tcW w:w="392" w:type="dxa"/>
            <w:tcBorders/>
            <w:vAlign w:val="center"/>
          </w:tcPr>
          <w:p>
            <w:pPr>
              <w:pStyle w:val="TableContents"/>
              <w:bidi w:val="0"/>
              <w:spacing w:lineRule="auto" w:line="285" w:before="0" w:after="0"/>
              <w:ind w:left="0" w:right="0" w:hanging="0"/>
              <w:jc w:val="center"/>
              <w:rPr/>
            </w:pPr>
            <w:r>
              <w:rPr/>
              <w:t>​</w:t>
            </w:r>
          </w:p>
        </w:tc>
        <w:tc>
          <w:tcPr>
            <w:tcW w:w="130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Significant</w:t>
            </w:r>
          </w:p>
        </w:tc>
        <w:tc>
          <w:tcPr>
            <w:tcW w:w="346" w:type="dxa"/>
            <w:tcBorders/>
            <w:vAlign w:val="center"/>
          </w:tcPr>
          <w:p>
            <w:pPr>
              <w:pStyle w:val="TableContents"/>
              <w:bidi w:val="0"/>
              <w:spacing w:lineRule="auto" w:line="285" w:before="0" w:after="0"/>
              <w:ind w:left="0" w:right="0" w:hanging="0"/>
              <w:jc w:val="center"/>
              <w:rPr/>
            </w:pPr>
            <w:r>
              <w:rPr/>
              <w:t>​</w:t>
            </w:r>
          </w:p>
        </w:tc>
        <w:tc>
          <w:tcPr>
            <w:tcW w:w="502" w:type="dxa"/>
            <w:tcBorders/>
            <w:vAlign w:val="center"/>
          </w:tcPr>
          <w:p>
            <w:pPr>
              <w:pStyle w:val="TableContents"/>
              <w:bidi w:val="0"/>
              <w:spacing w:lineRule="auto" w:line="285" w:before="0" w:after="0"/>
              <w:ind w:left="0" w:right="0" w:hanging="0"/>
              <w:jc w:val="center"/>
              <w:rPr/>
            </w:pPr>
            <w:r>
              <w:rPr/>
              <w:t>​</w:t>
            </w:r>
          </w:p>
        </w:tc>
        <w:tc>
          <w:tcPr>
            <w:tcW w:w="699"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51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for Identical</w:t>
            </w:r>
          </w:p>
        </w:tc>
        <w:tc>
          <w:tcPr>
            <w:tcW w:w="392" w:type="dxa"/>
            <w:tcBorders/>
            <w:vAlign w:val="center"/>
          </w:tcPr>
          <w:p>
            <w:pPr>
              <w:pStyle w:val="TableContents"/>
              <w:bidi w:val="0"/>
              <w:spacing w:lineRule="auto" w:line="285" w:before="0" w:after="0"/>
              <w:ind w:left="0" w:right="0" w:hanging="0"/>
              <w:jc w:val="center"/>
              <w:rPr/>
            </w:pPr>
            <w:r>
              <w:rPr/>
              <w:t>​</w:t>
            </w:r>
          </w:p>
        </w:tc>
        <w:tc>
          <w:tcPr>
            <w:tcW w:w="109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Observable</w:t>
            </w:r>
          </w:p>
        </w:tc>
        <w:tc>
          <w:tcPr>
            <w:tcW w:w="392" w:type="dxa"/>
            <w:tcBorders/>
            <w:vAlign w:val="center"/>
          </w:tcPr>
          <w:p>
            <w:pPr>
              <w:pStyle w:val="TableContents"/>
              <w:bidi w:val="0"/>
              <w:spacing w:lineRule="auto" w:line="285" w:before="0" w:after="0"/>
              <w:ind w:left="0" w:right="0" w:hanging="0"/>
              <w:jc w:val="center"/>
              <w:rPr/>
            </w:pPr>
            <w:r>
              <w:rPr/>
              <w:t>​</w:t>
            </w:r>
          </w:p>
        </w:tc>
        <w:tc>
          <w:tcPr>
            <w:tcW w:w="130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Unobservable</w:t>
            </w:r>
          </w:p>
        </w:tc>
        <w:tc>
          <w:tcPr>
            <w:tcW w:w="346" w:type="dxa"/>
            <w:tcBorders/>
            <w:vAlign w:val="center"/>
          </w:tcPr>
          <w:p>
            <w:pPr>
              <w:pStyle w:val="TableContents"/>
              <w:bidi w:val="0"/>
              <w:spacing w:lineRule="auto" w:line="285" w:before="0" w:after="0"/>
              <w:ind w:left="0" w:right="0" w:hanging="0"/>
              <w:jc w:val="center"/>
              <w:rPr/>
            </w:pPr>
            <w:r>
              <w:rPr/>
              <w:t>​</w:t>
            </w:r>
          </w:p>
        </w:tc>
        <w:tc>
          <w:tcPr>
            <w:tcW w:w="502" w:type="dxa"/>
            <w:tcBorders/>
            <w:vAlign w:val="center"/>
          </w:tcPr>
          <w:p>
            <w:pPr>
              <w:pStyle w:val="TableContents"/>
              <w:bidi w:val="0"/>
              <w:spacing w:lineRule="auto" w:line="285" w:before="0" w:after="0"/>
              <w:ind w:left="0" w:right="0" w:hanging="0"/>
              <w:jc w:val="center"/>
              <w:rPr/>
            </w:pPr>
            <w:r>
              <w:rPr/>
              <w:t>​</w:t>
            </w:r>
          </w:p>
        </w:tc>
        <w:tc>
          <w:tcPr>
            <w:tcW w:w="699"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5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Assets</w:t>
            </w:r>
          </w:p>
        </w:tc>
        <w:tc>
          <w:tcPr>
            <w:tcW w:w="392" w:type="dxa"/>
            <w:tcBorders/>
            <w:vAlign w:val="center"/>
          </w:tcPr>
          <w:p>
            <w:pPr>
              <w:pStyle w:val="TableContents"/>
              <w:bidi w:val="0"/>
              <w:spacing w:lineRule="auto" w:line="285" w:before="0" w:after="0"/>
              <w:ind w:left="0" w:right="0" w:hanging="0"/>
              <w:jc w:val="center"/>
              <w:rPr/>
            </w:pPr>
            <w:r>
              <w:rPr/>
              <w:t>​</w:t>
            </w:r>
          </w:p>
        </w:tc>
        <w:tc>
          <w:tcPr>
            <w:tcW w:w="109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Inputs</w:t>
            </w:r>
          </w:p>
        </w:tc>
        <w:tc>
          <w:tcPr>
            <w:tcW w:w="392" w:type="dxa"/>
            <w:tcBorders/>
            <w:vAlign w:val="center"/>
          </w:tcPr>
          <w:p>
            <w:pPr>
              <w:pStyle w:val="TableContents"/>
              <w:bidi w:val="0"/>
              <w:spacing w:lineRule="auto" w:line="285" w:before="0" w:after="0"/>
              <w:ind w:left="0" w:right="0" w:hanging="0"/>
              <w:jc w:val="center"/>
              <w:rPr/>
            </w:pPr>
            <w:r>
              <w:rPr/>
              <w:t>​</w:t>
            </w:r>
          </w:p>
        </w:tc>
        <w:tc>
          <w:tcPr>
            <w:tcW w:w="130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Inputs</w:t>
            </w:r>
          </w:p>
        </w:tc>
        <w:tc>
          <w:tcPr>
            <w:tcW w:w="346" w:type="dxa"/>
            <w:tcBorders/>
            <w:vAlign w:val="center"/>
          </w:tcPr>
          <w:p>
            <w:pPr>
              <w:pStyle w:val="TableContents"/>
              <w:bidi w:val="0"/>
              <w:spacing w:lineRule="auto" w:line="285" w:before="0" w:after="0"/>
              <w:ind w:left="0" w:right="0" w:hanging="0"/>
              <w:jc w:val="center"/>
              <w:rPr/>
            </w:pPr>
            <w:r>
              <w:rPr/>
              <w:t>​</w:t>
            </w:r>
          </w:p>
        </w:tc>
        <w:tc>
          <w:tcPr>
            <w:tcW w:w="502" w:type="dxa"/>
            <w:tcBorders/>
            <w:vAlign w:val="center"/>
          </w:tcPr>
          <w:p>
            <w:pPr>
              <w:pStyle w:val="TableContents"/>
              <w:bidi w:val="0"/>
              <w:spacing w:lineRule="auto" w:line="285" w:before="0" w:after="0"/>
              <w:ind w:left="0" w:right="0" w:hanging="0"/>
              <w:jc w:val="center"/>
              <w:rPr/>
            </w:pPr>
            <w:r>
              <w:rPr/>
              <w:t>​</w:t>
            </w:r>
          </w:p>
        </w:tc>
        <w:tc>
          <w:tcPr>
            <w:tcW w:w="699"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5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(Level 1)</w:t>
            </w:r>
          </w:p>
        </w:tc>
        <w:tc>
          <w:tcPr>
            <w:tcW w:w="392" w:type="dxa"/>
            <w:tcBorders/>
            <w:vAlign w:val="center"/>
          </w:tcPr>
          <w:p>
            <w:pPr>
              <w:pStyle w:val="TableContents"/>
              <w:bidi w:val="0"/>
              <w:spacing w:lineRule="auto" w:line="285" w:before="0" w:after="0"/>
              <w:ind w:left="0" w:right="0" w:hanging="0"/>
              <w:jc w:val="center"/>
              <w:rPr/>
            </w:pPr>
            <w:r>
              <w:rPr/>
              <w:t>​</w:t>
            </w:r>
          </w:p>
        </w:tc>
        <w:tc>
          <w:tcPr>
            <w:tcW w:w="109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(Level 2)</w:t>
            </w:r>
          </w:p>
        </w:tc>
        <w:tc>
          <w:tcPr>
            <w:tcW w:w="392" w:type="dxa"/>
            <w:tcBorders/>
            <w:vAlign w:val="center"/>
          </w:tcPr>
          <w:p>
            <w:pPr>
              <w:pStyle w:val="TableContents"/>
              <w:bidi w:val="0"/>
              <w:spacing w:lineRule="auto" w:line="285" w:before="0" w:after="0"/>
              <w:ind w:left="0" w:right="0" w:hanging="0"/>
              <w:jc w:val="center"/>
              <w:rPr/>
            </w:pPr>
            <w:r>
              <w:rPr/>
              <w:t>​</w:t>
            </w:r>
          </w:p>
        </w:tc>
        <w:tc>
          <w:tcPr>
            <w:tcW w:w="130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(Level 3)</w:t>
            </w:r>
          </w:p>
        </w:tc>
        <w:tc>
          <w:tcPr>
            <w:tcW w:w="346" w:type="dxa"/>
            <w:tcBorders/>
            <w:vAlign w:val="center"/>
          </w:tcPr>
          <w:p>
            <w:pPr>
              <w:pStyle w:val="TableContents"/>
              <w:bidi w:val="0"/>
              <w:spacing w:lineRule="auto" w:line="285" w:before="0" w:after="0"/>
              <w:ind w:left="0" w:right="0" w:hanging="0"/>
              <w:jc w:val="center"/>
              <w:rPr/>
            </w:pPr>
            <w:r>
              <w:rPr/>
              <w:t>​</w:t>
            </w:r>
          </w:p>
        </w:tc>
        <w:tc>
          <w:tcPr>
            <w:tcW w:w="120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At Fair Value</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88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Cash flow hedges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74"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42" w:type="dxa"/>
            <w:tcBorders/>
            <w:shd w:fill="CCEEFF" w:val="clear"/>
            <w:vAlign w:val="center"/>
          </w:tcPr>
          <w:p>
            <w:pPr>
              <w:pStyle w:val="TableContents"/>
              <w:bidi w:val="0"/>
              <w:spacing w:lineRule="auto" w:line="285" w:before="0" w:after="0"/>
              <w:ind w:left="0" w:right="0" w:hanging="0"/>
              <w:jc w:val="right"/>
              <w:rPr/>
            </w:pPr>
            <w:r>
              <w:rPr/>
              <w:t>—</w:t>
            </w:r>
          </w:p>
        </w:tc>
        <w:tc>
          <w:tcPr>
            <w:tcW w:w="392" w:type="dxa"/>
            <w:tcBorders/>
            <w:shd w:fill="CCEEFF" w:val="clear"/>
            <w:vAlign w:val="center"/>
          </w:tcPr>
          <w:p>
            <w:pPr>
              <w:pStyle w:val="TableContents"/>
              <w:bidi w:val="0"/>
              <w:spacing w:lineRule="auto" w:line="285" w:before="0" w:after="0"/>
              <w:ind w:left="0" w:right="0" w:hanging="0"/>
              <w:jc w:val="left"/>
              <w:rPr/>
            </w:pPr>
            <w:r>
              <w:rPr/>
              <w:t>​</w:t>
            </w:r>
          </w:p>
        </w:tc>
        <w:tc>
          <w:tcPr>
            <w:tcW w:w="333"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63"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(510)</w:t>
            </w:r>
          </w:p>
        </w:tc>
        <w:tc>
          <w:tcPr>
            <w:tcW w:w="392" w:type="dxa"/>
            <w:tcBorders/>
            <w:shd w:fill="CCEEFF" w:val="clear"/>
            <w:vAlign w:val="center"/>
          </w:tcPr>
          <w:p>
            <w:pPr>
              <w:pStyle w:val="TableContents"/>
              <w:bidi w:val="0"/>
              <w:spacing w:lineRule="auto" w:line="285" w:before="0" w:after="0"/>
              <w:ind w:left="0" w:right="0" w:hanging="0"/>
              <w:jc w:val="left"/>
              <w:rPr/>
            </w:pPr>
            <w:r>
              <w:rPr/>
              <w:t>​</w:t>
            </w:r>
          </w:p>
        </w:tc>
        <w:tc>
          <w:tcPr>
            <w:tcW w:w="490"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02"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99"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(510)</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288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Undesignated derivatives</w:t>
            </w:r>
          </w:p>
        </w:tc>
        <w:tc>
          <w:tcPr>
            <w:tcW w:w="346" w:type="dxa"/>
            <w:tcBorders/>
            <w:vAlign w:val="center"/>
          </w:tcPr>
          <w:p>
            <w:pPr>
              <w:pStyle w:val="TableContents"/>
              <w:bidi w:val="0"/>
              <w:spacing w:lineRule="auto" w:line="285" w:before="0" w:after="0"/>
              <w:ind w:left="0" w:right="0" w:hanging="0"/>
              <w:jc w:val="left"/>
              <w:rPr/>
            </w:pPr>
            <w:r>
              <w:rPr/>
              <w:t>​</w:t>
            </w:r>
          </w:p>
        </w:tc>
        <w:tc>
          <w:tcPr>
            <w:tcW w:w="57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94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92" w:type="dxa"/>
            <w:tcBorders/>
            <w:vAlign w:val="center"/>
          </w:tcPr>
          <w:p>
            <w:pPr>
              <w:pStyle w:val="TableContents"/>
              <w:bidi w:val="0"/>
              <w:spacing w:lineRule="auto" w:line="285" w:before="0" w:after="0"/>
              <w:ind w:left="0" w:right="0" w:hanging="0"/>
              <w:jc w:val="left"/>
              <w:rPr/>
            </w:pPr>
            <w:r>
              <w:rPr/>
              <w:t>​</w:t>
            </w:r>
          </w:p>
        </w:tc>
        <w:tc>
          <w:tcPr>
            <w:tcW w:w="33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76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(50)</w:t>
            </w:r>
          </w:p>
        </w:tc>
        <w:tc>
          <w:tcPr>
            <w:tcW w:w="392" w:type="dxa"/>
            <w:tcBorders/>
            <w:vAlign w:val="center"/>
          </w:tcPr>
          <w:p>
            <w:pPr>
              <w:pStyle w:val="TableContents"/>
              <w:bidi w:val="0"/>
              <w:spacing w:lineRule="auto" w:line="285" w:before="0" w:after="0"/>
              <w:ind w:left="0" w:right="0" w:hanging="0"/>
              <w:jc w:val="left"/>
              <w:rPr/>
            </w:pPr>
            <w:r>
              <w:rPr/>
              <w:t>​</w:t>
            </w:r>
          </w:p>
        </w:tc>
        <w:tc>
          <w:tcPr>
            <w:tcW w:w="49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8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0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69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(50)</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288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Total net derivative asset (liability)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74"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4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pPr>
            <w:r>
              <w:rPr/>
              <w:t>—</w:t>
            </w:r>
          </w:p>
        </w:tc>
        <w:tc>
          <w:tcPr>
            <w:tcW w:w="392" w:type="dxa"/>
            <w:tcBorders/>
            <w:shd w:fill="CCEEFF" w:val="clear"/>
            <w:vAlign w:val="center"/>
          </w:tcPr>
          <w:p>
            <w:pPr>
              <w:pStyle w:val="TableContents"/>
              <w:bidi w:val="0"/>
              <w:spacing w:lineRule="auto" w:line="285" w:before="0" w:after="0"/>
              <w:ind w:left="0" w:right="0" w:hanging="0"/>
              <w:jc w:val="left"/>
              <w:rPr/>
            </w:pPr>
            <w:r>
              <w:rPr/>
              <w:t>​</w:t>
            </w:r>
          </w:p>
        </w:tc>
        <w:tc>
          <w:tcPr>
            <w:tcW w:w="33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6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(560)</w:t>
            </w:r>
          </w:p>
        </w:tc>
        <w:tc>
          <w:tcPr>
            <w:tcW w:w="392" w:type="dxa"/>
            <w:tcBorders/>
            <w:shd w:fill="CCEEFF" w:val="clear"/>
            <w:vAlign w:val="center"/>
          </w:tcPr>
          <w:p>
            <w:pPr>
              <w:pStyle w:val="TableContents"/>
              <w:bidi w:val="0"/>
              <w:spacing w:lineRule="auto" w:line="285" w:before="0" w:after="0"/>
              <w:ind w:left="0" w:right="0" w:hanging="0"/>
              <w:jc w:val="left"/>
              <w:rPr/>
            </w:pPr>
            <w:r>
              <w:rPr/>
              <w:t>​</w:t>
            </w:r>
          </w:p>
        </w:tc>
        <w:tc>
          <w:tcPr>
            <w:tcW w:w="49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1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0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99"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(560)</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As of December 31, 2025</w:t>
      </w:r>
    </w:p>
    <w:tbl>
      <w:tblPr>
        <w:tblW w:w="9687" w:type="dxa"/>
        <w:jc w:val="left"/>
        <w:tblInd w:w="0" w:type="dxa"/>
        <w:tblLayout w:type="fixed"/>
        <w:tblCellMar>
          <w:top w:w="0" w:type="dxa"/>
          <w:left w:w="0" w:type="dxa"/>
          <w:bottom w:w="0" w:type="dxa"/>
          <w:right w:w="0" w:type="dxa"/>
        </w:tblCellMar>
      </w:tblPr>
      <w:tblGrid>
        <w:gridCol w:w="2881"/>
        <w:gridCol w:w="346"/>
        <w:gridCol w:w="574"/>
        <w:gridCol w:w="942"/>
        <w:gridCol w:w="402"/>
        <w:gridCol w:w="364"/>
        <w:gridCol w:w="732"/>
        <w:gridCol w:w="402"/>
        <w:gridCol w:w="490"/>
        <w:gridCol w:w="816"/>
        <w:gridCol w:w="346"/>
        <w:gridCol w:w="541"/>
        <w:gridCol w:w="660"/>
        <w:gridCol w:w="191"/>
      </w:tblGrid>
      <w:tr>
        <w:trPr/>
        <w:tc>
          <w:tcPr>
            <w:tcW w:w="2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829435" cy="175260"/>
                      <wp:effectExtent l="0" t="0" r="0" b="0"/>
                      <wp:wrapNone/>
                      <wp:docPr id="318" name="Frame318"/>
                      <a:graphic xmlns:a="http://schemas.openxmlformats.org/drawingml/2006/main">
                        <a:graphicData uri="http://schemas.microsoft.com/office/word/2010/wordprocessingShape">
                          <wps:wsp>
                            <wps:cNvSpPr txBox="1"/>
                            <wps:spPr>
                              <a:xfrm>
                                <a:off x="0" y="0"/>
                                <a:ext cx="1829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19710" cy="175260"/>
                      <wp:effectExtent l="0" t="0" r="0" b="0"/>
                      <wp:wrapNone/>
                      <wp:docPr id="319" name="Frame3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364490" cy="175260"/>
                      <wp:effectExtent l="0" t="0" r="0" b="0"/>
                      <wp:wrapNone/>
                      <wp:docPr id="320" name="Frame320"/>
                      <a:graphic xmlns:a="http://schemas.openxmlformats.org/drawingml/2006/main">
                        <a:graphicData uri="http://schemas.microsoft.com/office/word/2010/wordprocessingShape">
                          <wps:wsp>
                            <wps:cNvSpPr txBox="1"/>
                            <wps:spPr>
                              <a:xfrm>
                                <a:off x="0" y="0"/>
                                <a:ext cx="3644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598170" cy="175260"/>
                      <wp:effectExtent l="0" t="0" r="0" b="0"/>
                      <wp:wrapNone/>
                      <wp:docPr id="321" name="Frame321"/>
                      <a:graphic xmlns:a="http://schemas.openxmlformats.org/drawingml/2006/main">
                        <a:graphicData uri="http://schemas.microsoft.com/office/word/2010/wordprocessingShape">
                          <wps:wsp>
                            <wps:cNvSpPr txBox="1"/>
                            <wps:spPr>
                              <a:xfrm>
                                <a:off x="0" y="0"/>
                                <a:ext cx="5981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55270" cy="175260"/>
                      <wp:effectExtent l="0" t="0" r="0" b="0"/>
                      <wp:wrapNone/>
                      <wp:docPr id="322" name="Frame322"/>
                      <a:graphic xmlns:a="http://schemas.openxmlformats.org/drawingml/2006/main">
                        <a:graphicData uri="http://schemas.microsoft.com/office/word/2010/wordprocessingShape">
                          <wps:wsp>
                            <wps:cNvSpPr txBox="1"/>
                            <wps:spPr>
                              <a:xfrm>
                                <a:off x="0" y="0"/>
                                <a:ext cx="2552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31140" cy="175260"/>
                      <wp:effectExtent l="0" t="0" r="0" b="0"/>
                      <wp:wrapNone/>
                      <wp:docPr id="323" name="Frame323"/>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464820" cy="175260"/>
                      <wp:effectExtent l="0" t="0" r="0" b="0"/>
                      <wp:wrapNone/>
                      <wp:docPr id="324" name="Frame324"/>
                      <a:graphic xmlns:a="http://schemas.openxmlformats.org/drawingml/2006/main">
                        <a:graphicData uri="http://schemas.microsoft.com/office/word/2010/wordprocessingShape">
                          <wps:wsp>
                            <wps:cNvSpPr txBox="1"/>
                            <wps:spPr>
                              <a:xfrm>
                                <a:off x="0" y="0"/>
                                <a:ext cx="4648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55270" cy="175260"/>
                      <wp:effectExtent l="0" t="0" r="0" b="0"/>
                      <wp:wrapNone/>
                      <wp:docPr id="325" name="Frame325"/>
                      <a:graphic xmlns:a="http://schemas.openxmlformats.org/drawingml/2006/main">
                        <a:graphicData uri="http://schemas.microsoft.com/office/word/2010/wordprocessingShape">
                          <wps:wsp>
                            <wps:cNvSpPr txBox="1"/>
                            <wps:spPr>
                              <a:xfrm>
                                <a:off x="0" y="0"/>
                                <a:ext cx="2552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311150" cy="175260"/>
                      <wp:effectExtent l="0" t="0" r="0" b="0"/>
                      <wp:wrapNone/>
                      <wp:docPr id="326" name="Frame326"/>
                      <a:graphic xmlns:a="http://schemas.openxmlformats.org/drawingml/2006/main">
                        <a:graphicData uri="http://schemas.microsoft.com/office/word/2010/wordprocessingShape">
                          <wps:wsp>
                            <wps:cNvSpPr txBox="1"/>
                            <wps:spPr>
                              <a:xfrm>
                                <a:off x="0" y="0"/>
                                <a:ext cx="3111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518160" cy="175260"/>
                      <wp:effectExtent l="0" t="0" r="0" b="0"/>
                      <wp:wrapNone/>
                      <wp:docPr id="327" name="Frame327"/>
                      <a:graphic xmlns:a="http://schemas.openxmlformats.org/drawingml/2006/main">
                        <a:graphicData uri="http://schemas.microsoft.com/office/word/2010/wordprocessingShape">
                          <wps:wsp>
                            <wps:cNvSpPr txBox="1"/>
                            <wps:spPr>
                              <a:xfrm>
                                <a:off x="0" y="0"/>
                                <a:ext cx="5181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19710" cy="175260"/>
                      <wp:effectExtent l="0" t="0" r="0" b="0"/>
                      <wp:wrapNone/>
                      <wp:docPr id="328" name="Frame3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343535" cy="175260"/>
                      <wp:effectExtent l="0" t="0" r="0" b="0"/>
                      <wp:wrapNone/>
                      <wp:docPr id="329" name="Frame329"/>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419100" cy="175260"/>
                      <wp:effectExtent l="0" t="0" r="0" b="0"/>
                      <wp:wrapNone/>
                      <wp:docPr id="330" name="Frame330"/>
                      <a:graphic xmlns:a="http://schemas.openxmlformats.org/drawingml/2006/main">
                        <a:graphicData uri="http://schemas.microsoft.com/office/word/2010/wordprocessingShape">
                          <wps:wsp>
                            <wps:cNvSpPr txBox="1"/>
                            <wps:spPr>
                              <a:xfrm>
                                <a:off x="0" y="0"/>
                                <a:ext cx="4191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21285" cy="175260"/>
                      <wp:effectExtent l="0" t="0" r="0" b="0"/>
                      <wp:wrapNone/>
                      <wp:docPr id="331" name="Frame331"/>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4722"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Fair Value Measurements Using</w:t>
            </w:r>
          </w:p>
        </w:tc>
        <w:tc>
          <w:tcPr>
            <w:tcW w:w="346" w:type="dxa"/>
            <w:tcBorders/>
            <w:vAlign w:val="center"/>
          </w:tcPr>
          <w:p>
            <w:pPr>
              <w:pStyle w:val="TableContents"/>
              <w:bidi w:val="0"/>
              <w:spacing w:lineRule="auto" w:line="285" w:before="0" w:after="0"/>
              <w:ind w:left="0" w:right="0" w:hanging="0"/>
              <w:jc w:val="center"/>
              <w:rPr/>
            </w:pPr>
            <w:r>
              <w:rPr/>
              <w:t>​</w:t>
            </w:r>
          </w:p>
        </w:tc>
        <w:tc>
          <w:tcPr>
            <w:tcW w:w="541" w:type="dxa"/>
            <w:tcBorders/>
            <w:vAlign w:val="center"/>
          </w:tcPr>
          <w:p>
            <w:pPr>
              <w:pStyle w:val="TableContents"/>
              <w:bidi w:val="0"/>
              <w:spacing w:lineRule="auto" w:line="285" w:before="0" w:after="0"/>
              <w:ind w:left="0" w:right="0" w:hanging="0"/>
              <w:jc w:val="center"/>
              <w:rPr/>
            </w:pPr>
            <w:r>
              <w:rPr/>
              <w:t>​</w:t>
            </w:r>
          </w:p>
        </w:tc>
        <w:tc>
          <w:tcPr>
            <w:tcW w:w="660"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51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Quoted Prices in</w:t>
            </w:r>
          </w:p>
        </w:tc>
        <w:tc>
          <w:tcPr>
            <w:tcW w:w="402" w:type="dxa"/>
            <w:tcBorders/>
            <w:vAlign w:val="center"/>
          </w:tcPr>
          <w:p>
            <w:pPr>
              <w:pStyle w:val="TableContents"/>
              <w:bidi w:val="0"/>
              <w:spacing w:lineRule="auto" w:line="285" w:before="0" w:after="0"/>
              <w:ind w:left="0" w:right="0" w:hanging="0"/>
              <w:jc w:val="center"/>
              <w:rPr/>
            </w:pPr>
            <w:r>
              <w:rPr/>
              <w:t>  ​ ​ ​</w:t>
            </w:r>
          </w:p>
        </w:tc>
        <w:tc>
          <w:tcPr>
            <w:tcW w:w="109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Significant</w:t>
            </w:r>
          </w:p>
        </w:tc>
        <w:tc>
          <w:tcPr>
            <w:tcW w:w="402" w:type="dxa"/>
            <w:tcBorders/>
            <w:vAlign w:val="center"/>
          </w:tcPr>
          <w:p>
            <w:pPr>
              <w:pStyle w:val="TableContents"/>
              <w:bidi w:val="0"/>
              <w:spacing w:lineRule="auto" w:line="285" w:before="0" w:after="0"/>
              <w:ind w:left="0" w:right="0" w:hanging="0"/>
              <w:jc w:val="center"/>
              <w:rPr/>
            </w:pPr>
            <w:r>
              <w:rPr/>
              <w:t>  ​ ​ ​</w:t>
            </w:r>
          </w:p>
        </w:tc>
        <w:tc>
          <w:tcPr>
            <w:tcW w:w="490" w:type="dxa"/>
            <w:tcBorders/>
            <w:vAlign w:val="center"/>
          </w:tcPr>
          <w:p>
            <w:pPr>
              <w:pStyle w:val="TableContents"/>
              <w:bidi w:val="0"/>
              <w:spacing w:lineRule="auto" w:line="285" w:before="0" w:after="0"/>
              <w:ind w:left="0" w:right="0" w:hanging="0"/>
              <w:jc w:val="center"/>
              <w:rPr/>
            </w:pPr>
            <w:r>
              <w:rPr/>
              <w:t>​</w:t>
            </w:r>
          </w:p>
        </w:tc>
        <w:tc>
          <w:tcPr>
            <w:tcW w:w="81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541" w:type="dxa"/>
            <w:tcBorders/>
            <w:vAlign w:val="center"/>
          </w:tcPr>
          <w:p>
            <w:pPr>
              <w:pStyle w:val="TableContents"/>
              <w:bidi w:val="0"/>
              <w:spacing w:lineRule="auto" w:line="285" w:before="0" w:after="0"/>
              <w:ind w:left="0" w:right="0" w:hanging="0"/>
              <w:jc w:val="center"/>
              <w:rPr/>
            </w:pPr>
            <w:r>
              <w:rPr/>
              <w:t>  ​ ​ ​</w:t>
            </w:r>
          </w:p>
        </w:tc>
        <w:tc>
          <w:tcPr>
            <w:tcW w:w="660"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51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Active Markets</w:t>
            </w:r>
          </w:p>
        </w:tc>
        <w:tc>
          <w:tcPr>
            <w:tcW w:w="402" w:type="dxa"/>
            <w:tcBorders/>
            <w:vAlign w:val="center"/>
          </w:tcPr>
          <w:p>
            <w:pPr>
              <w:pStyle w:val="TableContents"/>
              <w:bidi w:val="0"/>
              <w:spacing w:lineRule="auto" w:line="285" w:before="0" w:after="0"/>
              <w:ind w:left="0" w:right="0" w:hanging="0"/>
              <w:jc w:val="center"/>
              <w:rPr/>
            </w:pPr>
            <w:r>
              <w:rPr/>
              <w:t>​</w:t>
            </w:r>
          </w:p>
        </w:tc>
        <w:tc>
          <w:tcPr>
            <w:tcW w:w="109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Other</w:t>
            </w:r>
          </w:p>
        </w:tc>
        <w:tc>
          <w:tcPr>
            <w:tcW w:w="402" w:type="dxa"/>
            <w:tcBorders/>
            <w:vAlign w:val="center"/>
          </w:tcPr>
          <w:p>
            <w:pPr>
              <w:pStyle w:val="TableContents"/>
              <w:bidi w:val="0"/>
              <w:spacing w:lineRule="auto" w:line="285" w:before="0" w:after="0"/>
              <w:ind w:left="0" w:right="0" w:hanging="0"/>
              <w:jc w:val="center"/>
              <w:rPr/>
            </w:pPr>
            <w:r>
              <w:rPr/>
              <w:t>​</w:t>
            </w:r>
          </w:p>
        </w:tc>
        <w:tc>
          <w:tcPr>
            <w:tcW w:w="130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Significant</w:t>
            </w:r>
          </w:p>
        </w:tc>
        <w:tc>
          <w:tcPr>
            <w:tcW w:w="346" w:type="dxa"/>
            <w:tcBorders/>
            <w:vAlign w:val="center"/>
          </w:tcPr>
          <w:p>
            <w:pPr>
              <w:pStyle w:val="TableContents"/>
              <w:bidi w:val="0"/>
              <w:spacing w:lineRule="auto" w:line="285" w:before="0" w:after="0"/>
              <w:ind w:left="0" w:right="0" w:hanging="0"/>
              <w:jc w:val="center"/>
              <w:rPr/>
            </w:pPr>
            <w:r>
              <w:rPr/>
              <w:t>​</w:t>
            </w:r>
          </w:p>
        </w:tc>
        <w:tc>
          <w:tcPr>
            <w:tcW w:w="541" w:type="dxa"/>
            <w:tcBorders/>
            <w:vAlign w:val="center"/>
          </w:tcPr>
          <w:p>
            <w:pPr>
              <w:pStyle w:val="TableContents"/>
              <w:bidi w:val="0"/>
              <w:spacing w:lineRule="auto" w:line="285" w:before="0" w:after="0"/>
              <w:ind w:left="0" w:right="0" w:hanging="0"/>
              <w:jc w:val="center"/>
              <w:rPr/>
            </w:pPr>
            <w:r>
              <w:rPr/>
              <w:t>​</w:t>
            </w:r>
          </w:p>
        </w:tc>
        <w:tc>
          <w:tcPr>
            <w:tcW w:w="660"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51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for Identical</w:t>
            </w:r>
          </w:p>
        </w:tc>
        <w:tc>
          <w:tcPr>
            <w:tcW w:w="402" w:type="dxa"/>
            <w:tcBorders/>
            <w:vAlign w:val="center"/>
          </w:tcPr>
          <w:p>
            <w:pPr>
              <w:pStyle w:val="TableContents"/>
              <w:bidi w:val="0"/>
              <w:spacing w:lineRule="auto" w:line="285" w:before="0" w:after="0"/>
              <w:ind w:left="0" w:right="0" w:hanging="0"/>
              <w:jc w:val="center"/>
              <w:rPr/>
            </w:pPr>
            <w:r>
              <w:rPr/>
              <w:t>​</w:t>
            </w:r>
          </w:p>
        </w:tc>
        <w:tc>
          <w:tcPr>
            <w:tcW w:w="109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Observable</w:t>
            </w:r>
          </w:p>
        </w:tc>
        <w:tc>
          <w:tcPr>
            <w:tcW w:w="402" w:type="dxa"/>
            <w:tcBorders/>
            <w:vAlign w:val="center"/>
          </w:tcPr>
          <w:p>
            <w:pPr>
              <w:pStyle w:val="TableContents"/>
              <w:bidi w:val="0"/>
              <w:spacing w:lineRule="auto" w:line="285" w:before="0" w:after="0"/>
              <w:ind w:left="0" w:right="0" w:hanging="0"/>
              <w:jc w:val="center"/>
              <w:rPr/>
            </w:pPr>
            <w:r>
              <w:rPr/>
              <w:t>​</w:t>
            </w:r>
          </w:p>
        </w:tc>
        <w:tc>
          <w:tcPr>
            <w:tcW w:w="130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Unobservable</w:t>
            </w:r>
          </w:p>
        </w:tc>
        <w:tc>
          <w:tcPr>
            <w:tcW w:w="346" w:type="dxa"/>
            <w:tcBorders/>
            <w:vAlign w:val="center"/>
          </w:tcPr>
          <w:p>
            <w:pPr>
              <w:pStyle w:val="TableContents"/>
              <w:bidi w:val="0"/>
              <w:spacing w:lineRule="auto" w:line="285" w:before="0" w:after="0"/>
              <w:ind w:left="0" w:right="0" w:hanging="0"/>
              <w:jc w:val="center"/>
              <w:rPr/>
            </w:pPr>
            <w:r>
              <w:rPr/>
              <w:t>​</w:t>
            </w:r>
          </w:p>
        </w:tc>
        <w:tc>
          <w:tcPr>
            <w:tcW w:w="541" w:type="dxa"/>
            <w:tcBorders/>
            <w:vAlign w:val="center"/>
          </w:tcPr>
          <w:p>
            <w:pPr>
              <w:pStyle w:val="TableContents"/>
              <w:bidi w:val="0"/>
              <w:spacing w:lineRule="auto" w:line="285" w:before="0" w:after="0"/>
              <w:ind w:left="0" w:right="0" w:hanging="0"/>
              <w:jc w:val="center"/>
              <w:rPr/>
            </w:pPr>
            <w:r>
              <w:rPr/>
              <w:t>​</w:t>
            </w:r>
          </w:p>
        </w:tc>
        <w:tc>
          <w:tcPr>
            <w:tcW w:w="660"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5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Assets</w:t>
            </w:r>
          </w:p>
        </w:tc>
        <w:tc>
          <w:tcPr>
            <w:tcW w:w="402" w:type="dxa"/>
            <w:tcBorders/>
            <w:vAlign w:val="center"/>
          </w:tcPr>
          <w:p>
            <w:pPr>
              <w:pStyle w:val="TableContents"/>
              <w:bidi w:val="0"/>
              <w:spacing w:lineRule="auto" w:line="285" w:before="0" w:after="0"/>
              <w:ind w:left="0" w:right="0" w:hanging="0"/>
              <w:jc w:val="center"/>
              <w:rPr/>
            </w:pPr>
            <w:r>
              <w:rPr/>
              <w:t>​</w:t>
            </w:r>
          </w:p>
        </w:tc>
        <w:tc>
          <w:tcPr>
            <w:tcW w:w="109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Inputs</w:t>
            </w:r>
          </w:p>
        </w:tc>
        <w:tc>
          <w:tcPr>
            <w:tcW w:w="402" w:type="dxa"/>
            <w:tcBorders/>
            <w:vAlign w:val="center"/>
          </w:tcPr>
          <w:p>
            <w:pPr>
              <w:pStyle w:val="TableContents"/>
              <w:bidi w:val="0"/>
              <w:spacing w:lineRule="auto" w:line="285" w:before="0" w:after="0"/>
              <w:ind w:left="0" w:right="0" w:hanging="0"/>
              <w:jc w:val="center"/>
              <w:rPr/>
            </w:pPr>
            <w:r>
              <w:rPr/>
              <w:t>​</w:t>
            </w:r>
          </w:p>
        </w:tc>
        <w:tc>
          <w:tcPr>
            <w:tcW w:w="130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Inputs</w:t>
            </w:r>
          </w:p>
        </w:tc>
        <w:tc>
          <w:tcPr>
            <w:tcW w:w="346" w:type="dxa"/>
            <w:tcBorders/>
            <w:vAlign w:val="center"/>
          </w:tcPr>
          <w:p>
            <w:pPr>
              <w:pStyle w:val="TableContents"/>
              <w:bidi w:val="0"/>
              <w:spacing w:lineRule="auto" w:line="285" w:before="0" w:after="0"/>
              <w:ind w:left="0" w:right="0" w:hanging="0"/>
              <w:jc w:val="center"/>
              <w:rPr/>
            </w:pPr>
            <w:r>
              <w:rPr/>
              <w:t>​</w:t>
            </w:r>
          </w:p>
        </w:tc>
        <w:tc>
          <w:tcPr>
            <w:tcW w:w="541" w:type="dxa"/>
            <w:tcBorders/>
            <w:vAlign w:val="center"/>
          </w:tcPr>
          <w:p>
            <w:pPr>
              <w:pStyle w:val="TableContents"/>
              <w:bidi w:val="0"/>
              <w:spacing w:lineRule="auto" w:line="285" w:before="0" w:after="0"/>
              <w:ind w:left="0" w:right="0" w:hanging="0"/>
              <w:jc w:val="center"/>
              <w:rPr/>
            </w:pPr>
            <w:r>
              <w:rPr/>
              <w:t>​</w:t>
            </w:r>
          </w:p>
        </w:tc>
        <w:tc>
          <w:tcPr>
            <w:tcW w:w="660"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5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(Level 1)</w:t>
            </w:r>
          </w:p>
        </w:tc>
        <w:tc>
          <w:tcPr>
            <w:tcW w:w="402" w:type="dxa"/>
            <w:tcBorders/>
            <w:vAlign w:val="center"/>
          </w:tcPr>
          <w:p>
            <w:pPr>
              <w:pStyle w:val="TableContents"/>
              <w:bidi w:val="0"/>
              <w:spacing w:lineRule="auto" w:line="285" w:before="0" w:after="0"/>
              <w:ind w:left="0" w:right="0" w:hanging="0"/>
              <w:jc w:val="center"/>
              <w:rPr/>
            </w:pPr>
            <w:r>
              <w:rPr/>
              <w:t>​</w:t>
            </w:r>
          </w:p>
        </w:tc>
        <w:tc>
          <w:tcPr>
            <w:tcW w:w="109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(Level 2)</w:t>
            </w:r>
          </w:p>
        </w:tc>
        <w:tc>
          <w:tcPr>
            <w:tcW w:w="402" w:type="dxa"/>
            <w:tcBorders/>
            <w:vAlign w:val="center"/>
          </w:tcPr>
          <w:p>
            <w:pPr>
              <w:pStyle w:val="TableContents"/>
              <w:bidi w:val="0"/>
              <w:spacing w:lineRule="auto" w:line="285" w:before="0" w:after="0"/>
              <w:ind w:left="0" w:right="0" w:hanging="0"/>
              <w:jc w:val="center"/>
              <w:rPr/>
            </w:pPr>
            <w:r>
              <w:rPr/>
              <w:t>​</w:t>
            </w:r>
          </w:p>
        </w:tc>
        <w:tc>
          <w:tcPr>
            <w:tcW w:w="130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(Level 3)</w:t>
            </w:r>
          </w:p>
        </w:tc>
        <w:tc>
          <w:tcPr>
            <w:tcW w:w="346" w:type="dxa"/>
            <w:tcBorders/>
            <w:vAlign w:val="center"/>
          </w:tcPr>
          <w:p>
            <w:pPr>
              <w:pStyle w:val="TableContents"/>
              <w:bidi w:val="0"/>
              <w:spacing w:lineRule="auto" w:line="285" w:before="0" w:after="0"/>
              <w:ind w:left="0" w:right="0" w:hanging="0"/>
              <w:jc w:val="center"/>
              <w:rPr/>
            </w:pPr>
            <w:r>
              <w:rPr/>
              <w:t>​</w:t>
            </w:r>
          </w:p>
        </w:tc>
        <w:tc>
          <w:tcPr>
            <w:tcW w:w="120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At Fair Value</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88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Cash flow hedges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74"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42" w:type="dxa"/>
            <w:tcBorders/>
            <w:shd w:fill="CCEEFF" w:val="clear"/>
            <w:vAlign w:val="center"/>
          </w:tcPr>
          <w:p>
            <w:pPr>
              <w:pStyle w:val="TableContents"/>
              <w:bidi w:val="0"/>
              <w:spacing w:lineRule="auto" w:line="285" w:before="0" w:after="0"/>
              <w:ind w:left="0" w:right="0" w:hanging="0"/>
              <w:jc w:val="right"/>
              <w:rPr/>
            </w:pPr>
            <w:r>
              <w:rPr/>
              <w:t>—</w:t>
            </w:r>
          </w:p>
        </w:tc>
        <w:tc>
          <w:tcPr>
            <w:tcW w:w="402" w:type="dxa"/>
            <w:tcBorders/>
            <w:shd w:fill="CCEEFF" w:val="clear"/>
            <w:vAlign w:val="center"/>
          </w:tcPr>
          <w:p>
            <w:pPr>
              <w:pStyle w:val="TableContents"/>
              <w:bidi w:val="0"/>
              <w:spacing w:lineRule="auto" w:line="285" w:before="0" w:after="0"/>
              <w:ind w:left="0" w:right="0" w:hanging="0"/>
              <w:jc w:val="left"/>
              <w:rPr/>
            </w:pPr>
            <w:r>
              <w:rPr/>
              <w:t>​</w:t>
            </w:r>
          </w:p>
        </w:tc>
        <w:tc>
          <w:tcPr>
            <w:tcW w:w="364"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32"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341</w:t>
            </w:r>
          </w:p>
        </w:tc>
        <w:tc>
          <w:tcPr>
            <w:tcW w:w="402" w:type="dxa"/>
            <w:tcBorders/>
            <w:shd w:fill="CCEEFF" w:val="clear"/>
            <w:vAlign w:val="center"/>
          </w:tcPr>
          <w:p>
            <w:pPr>
              <w:pStyle w:val="TableContents"/>
              <w:bidi w:val="0"/>
              <w:spacing w:lineRule="auto" w:line="285" w:before="0" w:after="0"/>
              <w:ind w:left="0" w:right="0" w:hanging="0"/>
              <w:jc w:val="left"/>
              <w:rPr/>
            </w:pPr>
            <w:r>
              <w:rPr/>
              <w:t>​</w:t>
            </w:r>
          </w:p>
        </w:tc>
        <w:tc>
          <w:tcPr>
            <w:tcW w:w="490"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4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60"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341</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288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Undesignated derivatives</w:t>
            </w:r>
          </w:p>
        </w:tc>
        <w:tc>
          <w:tcPr>
            <w:tcW w:w="346" w:type="dxa"/>
            <w:tcBorders/>
            <w:vAlign w:val="center"/>
          </w:tcPr>
          <w:p>
            <w:pPr>
              <w:pStyle w:val="TableContents"/>
              <w:bidi w:val="0"/>
              <w:spacing w:lineRule="auto" w:line="285" w:before="0" w:after="0"/>
              <w:ind w:left="0" w:right="0" w:hanging="0"/>
              <w:jc w:val="left"/>
              <w:rPr/>
            </w:pPr>
            <w:r>
              <w:rPr/>
              <w:t>​</w:t>
            </w:r>
          </w:p>
        </w:tc>
        <w:tc>
          <w:tcPr>
            <w:tcW w:w="57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94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402" w:type="dxa"/>
            <w:tcBorders/>
            <w:vAlign w:val="center"/>
          </w:tcPr>
          <w:p>
            <w:pPr>
              <w:pStyle w:val="TableContents"/>
              <w:bidi w:val="0"/>
              <w:spacing w:lineRule="auto" w:line="285" w:before="0" w:after="0"/>
              <w:ind w:left="0" w:right="0" w:hanging="0"/>
              <w:jc w:val="left"/>
              <w:rPr/>
            </w:pPr>
            <w:r>
              <w:rPr/>
              <w:t>​</w:t>
            </w:r>
          </w:p>
        </w:tc>
        <w:tc>
          <w:tcPr>
            <w:tcW w:w="36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73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54</w:t>
            </w:r>
          </w:p>
        </w:tc>
        <w:tc>
          <w:tcPr>
            <w:tcW w:w="402" w:type="dxa"/>
            <w:tcBorders/>
            <w:vAlign w:val="center"/>
          </w:tcPr>
          <w:p>
            <w:pPr>
              <w:pStyle w:val="TableContents"/>
              <w:bidi w:val="0"/>
              <w:spacing w:lineRule="auto" w:line="285" w:before="0" w:after="0"/>
              <w:ind w:left="0" w:right="0" w:hanging="0"/>
              <w:jc w:val="left"/>
              <w:rPr/>
            </w:pPr>
            <w:r>
              <w:rPr/>
              <w:t>​</w:t>
            </w:r>
          </w:p>
        </w:tc>
        <w:tc>
          <w:tcPr>
            <w:tcW w:w="49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8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66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54</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288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Total net derivative asset (liability)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74"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4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pPr>
            <w:r>
              <w:rPr/>
              <w:t>—</w:t>
            </w:r>
          </w:p>
        </w:tc>
        <w:tc>
          <w:tcPr>
            <w:tcW w:w="402" w:type="dxa"/>
            <w:tcBorders/>
            <w:shd w:fill="CCEEFF" w:val="clear"/>
            <w:vAlign w:val="center"/>
          </w:tcPr>
          <w:p>
            <w:pPr>
              <w:pStyle w:val="TableContents"/>
              <w:bidi w:val="0"/>
              <w:spacing w:lineRule="auto" w:line="285" w:before="0" w:after="0"/>
              <w:ind w:left="0" w:right="0" w:hanging="0"/>
              <w:jc w:val="left"/>
              <w:rPr/>
            </w:pPr>
            <w:r>
              <w:rPr/>
              <w:t>​</w:t>
            </w:r>
          </w:p>
        </w:tc>
        <w:tc>
          <w:tcPr>
            <w:tcW w:w="364"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3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395</w:t>
            </w:r>
          </w:p>
        </w:tc>
        <w:tc>
          <w:tcPr>
            <w:tcW w:w="402" w:type="dxa"/>
            <w:tcBorders/>
            <w:shd w:fill="CCEEFF" w:val="clear"/>
            <w:vAlign w:val="center"/>
          </w:tcPr>
          <w:p>
            <w:pPr>
              <w:pStyle w:val="TableContents"/>
              <w:bidi w:val="0"/>
              <w:spacing w:lineRule="auto" w:line="285" w:before="0" w:after="0"/>
              <w:ind w:left="0" w:right="0" w:hanging="0"/>
              <w:jc w:val="left"/>
              <w:rPr/>
            </w:pPr>
            <w:r>
              <w:rPr/>
              <w:t>​</w:t>
            </w:r>
          </w:p>
        </w:tc>
        <w:tc>
          <w:tcPr>
            <w:tcW w:w="49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1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4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6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395</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 following is a summary of the Company’s fair value measurements as of June 30, 2026 and December 31, 2025 (in thousands):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As of June 30, 2026</w:t>
      </w:r>
    </w:p>
    <w:tbl>
      <w:tblPr>
        <w:tblW w:w="8823" w:type="dxa"/>
        <w:jc w:val="left"/>
        <w:tblInd w:w="0" w:type="dxa"/>
        <w:tblLayout w:type="fixed"/>
        <w:tblCellMar>
          <w:top w:w="0" w:type="dxa"/>
          <w:left w:w="0" w:type="dxa"/>
          <w:bottom w:w="0" w:type="dxa"/>
          <w:right w:w="0" w:type="dxa"/>
        </w:tblCellMar>
      </w:tblPr>
      <w:tblGrid>
        <w:gridCol w:w="2926"/>
        <w:gridCol w:w="346"/>
        <w:gridCol w:w="402"/>
        <w:gridCol w:w="1294"/>
        <w:gridCol w:w="346"/>
        <w:gridCol w:w="501"/>
        <w:gridCol w:w="1165"/>
        <w:gridCol w:w="346"/>
        <w:gridCol w:w="494"/>
        <w:gridCol w:w="812"/>
        <w:gridCol w:w="191"/>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858010" cy="175260"/>
                      <wp:effectExtent l="0" t="0" r="0" b="0"/>
                      <wp:wrapNone/>
                      <wp:docPr id="332" name="Frame332"/>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19710" cy="175260"/>
                      <wp:effectExtent l="0" t="0" r="0" b="0"/>
                      <wp:wrapNone/>
                      <wp:docPr id="333" name="Frame3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55270" cy="175260"/>
                      <wp:effectExtent l="0" t="0" r="0" b="0"/>
                      <wp:wrapNone/>
                      <wp:docPr id="334" name="Frame334"/>
                      <a:graphic xmlns:a="http://schemas.openxmlformats.org/drawingml/2006/main">
                        <a:graphicData uri="http://schemas.microsoft.com/office/word/2010/wordprocessingShape">
                          <wps:wsp>
                            <wps:cNvSpPr txBox="1"/>
                            <wps:spPr>
                              <a:xfrm>
                                <a:off x="0" y="0"/>
                                <a:ext cx="2552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821690" cy="175260"/>
                      <wp:effectExtent l="0" t="0" r="0" b="0"/>
                      <wp:wrapNone/>
                      <wp:docPr id="335" name="Frame335"/>
                      <a:graphic xmlns:a="http://schemas.openxmlformats.org/drawingml/2006/main">
                        <a:graphicData uri="http://schemas.microsoft.com/office/word/2010/wordprocessingShape">
                          <wps:wsp>
                            <wps:cNvSpPr txBox="1"/>
                            <wps:spPr>
                              <a:xfrm>
                                <a:off x="0" y="0"/>
                                <a:ext cx="8216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19710" cy="175260"/>
                      <wp:effectExtent l="0" t="0" r="0" b="0"/>
                      <wp:wrapNone/>
                      <wp:docPr id="336" name="Frame3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318135" cy="175260"/>
                      <wp:effectExtent l="0" t="0" r="0" b="0"/>
                      <wp:wrapNone/>
                      <wp:docPr id="337" name="Frame337"/>
                      <a:graphic xmlns:a="http://schemas.openxmlformats.org/drawingml/2006/main">
                        <a:graphicData uri="http://schemas.microsoft.com/office/word/2010/wordprocessingShape">
                          <wps:wsp>
                            <wps:cNvSpPr txBox="1"/>
                            <wps:spPr>
                              <a:xfrm>
                                <a:off x="0" y="0"/>
                                <a:ext cx="3181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739775" cy="175260"/>
                      <wp:effectExtent l="0" t="0" r="0" b="0"/>
                      <wp:wrapNone/>
                      <wp:docPr id="338" name="Frame338"/>
                      <a:graphic xmlns:a="http://schemas.openxmlformats.org/drawingml/2006/main">
                        <a:graphicData uri="http://schemas.microsoft.com/office/word/2010/wordprocessingShape">
                          <wps:wsp>
                            <wps:cNvSpPr txBox="1"/>
                            <wps:spPr>
                              <a:xfrm>
                                <a:off x="0" y="0"/>
                                <a:ext cx="7397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19710" cy="175260"/>
                      <wp:effectExtent l="0" t="0" r="0" b="0"/>
                      <wp:wrapNone/>
                      <wp:docPr id="339" name="Frame3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313690" cy="175260"/>
                      <wp:effectExtent l="0" t="0" r="0" b="0"/>
                      <wp:wrapNone/>
                      <wp:docPr id="340" name="Frame340"/>
                      <a:graphic xmlns:a="http://schemas.openxmlformats.org/drawingml/2006/main">
                        <a:graphicData uri="http://schemas.microsoft.com/office/word/2010/wordprocessingShape">
                          <wps:wsp>
                            <wps:cNvSpPr txBox="1"/>
                            <wps:spPr>
                              <a:xfrm>
                                <a:off x="0" y="0"/>
                                <a:ext cx="3136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515620" cy="175260"/>
                      <wp:effectExtent l="0" t="0" r="0" b="0"/>
                      <wp:wrapNone/>
                      <wp:docPr id="341" name="Frame341"/>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21285" cy="175260"/>
                      <wp:effectExtent l="0" t="0" r="0" b="0"/>
                      <wp:wrapNone/>
                      <wp:docPr id="342" name="Frame342"/>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9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5360"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Fair Value Measurements Using</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9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69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Quoted Prices in</w:t>
            </w:r>
          </w:p>
        </w:tc>
        <w:tc>
          <w:tcPr>
            <w:tcW w:w="346" w:type="dxa"/>
            <w:tcBorders/>
            <w:vAlign w:val="center"/>
          </w:tcPr>
          <w:p>
            <w:pPr>
              <w:pStyle w:val="TableContents"/>
              <w:bidi w:val="0"/>
              <w:spacing w:lineRule="auto" w:line="285" w:before="0" w:after="0"/>
              <w:ind w:left="0" w:right="0" w:hanging="0"/>
              <w:jc w:val="center"/>
              <w:rPr/>
            </w:pPr>
            <w:r>
              <w:rPr/>
              <w:t>  ​ ​ ​</w:t>
            </w:r>
          </w:p>
        </w:tc>
        <w:tc>
          <w:tcPr>
            <w:tcW w:w="501" w:type="dxa"/>
            <w:tcBorders/>
            <w:vAlign w:val="center"/>
          </w:tcPr>
          <w:p>
            <w:pPr>
              <w:pStyle w:val="TableContents"/>
              <w:bidi w:val="0"/>
              <w:spacing w:lineRule="auto" w:line="285" w:before="0" w:after="0"/>
              <w:ind w:left="0" w:right="0" w:hanging="0"/>
              <w:jc w:val="center"/>
              <w:rPr/>
            </w:pPr>
            <w:r>
              <w:rPr/>
              <w:t>​</w:t>
            </w:r>
          </w:p>
        </w:tc>
        <w:tc>
          <w:tcPr>
            <w:tcW w:w="1165"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30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Significant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9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69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Active Markets for</w:t>
            </w:r>
          </w:p>
        </w:tc>
        <w:tc>
          <w:tcPr>
            <w:tcW w:w="346" w:type="dxa"/>
            <w:tcBorders/>
            <w:vAlign w:val="center"/>
          </w:tcPr>
          <w:p>
            <w:pPr>
              <w:pStyle w:val="TableContents"/>
              <w:bidi w:val="0"/>
              <w:spacing w:lineRule="auto" w:line="285" w:before="0" w:after="0"/>
              <w:ind w:left="0" w:right="0" w:hanging="0"/>
              <w:jc w:val="center"/>
              <w:rPr/>
            </w:pPr>
            <w:r>
              <w:rPr/>
              <w:t>​</w:t>
            </w:r>
          </w:p>
        </w:tc>
        <w:tc>
          <w:tcPr>
            <w:tcW w:w="166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Significant Other</w:t>
            </w:r>
          </w:p>
        </w:tc>
        <w:tc>
          <w:tcPr>
            <w:tcW w:w="346" w:type="dxa"/>
            <w:tcBorders/>
            <w:vAlign w:val="center"/>
          </w:tcPr>
          <w:p>
            <w:pPr>
              <w:pStyle w:val="TableContents"/>
              <w:bidi w:val="0"/>
              <w:spacing w:lineRule="auto" w:line="285" w:before="0" w:after="0"/>
              <w:ind w:left="0" w:right="0" w:hanging="0"/>
              <w:jc w:val="center"/>
              <w:rPr/>
            </w:pPr>
            <w:r>
              <w:rPr/>
              <w:t>​</w:t>
            </w:r>
          </w:p>
        </w:tc>
        <w:tc>
          <w:tcPr>
            <w:tcW w:w="130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Unobservable</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9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69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Identical Assets</w:t>
            </w:r>
          </w:p>
        </w:tc>
        <w:tc>
          <w:tcPr>
            <w:tcW w:w="346" w:type="dxa"/>
            <w:tcBorders/>
            <w:vAlign w:val="center"/>
          </w:tcPr>
          <w:p>
            <w:pPr>
              <w:pStyle w:val="TableContents"/>
              <w:bidi w:val="0"/>
              <w:spacing w:lineRule="auto" w:line="285" w:before="0" w:after="0"/>
              <w:ind w:left="0" w:right="0" w:hanging="0"/>
              <w:jc w:val="center"/>
              <w:rPr/>
            </w:pPr>
            <w:r>
              <w:rPr/>
              <w:t>​</w:t>
            </w:r>
          </w:p>
        </w:tc>
        <w:tc>
          <w:tcPr>
            <w:tcW w:w="166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Observable Inputs</w:t>
            </w:r>
          </w:p>
        </w:tc>
        <w:tc>
          <w:tcPr>
            <w:tcW w:w="346" w:type="dxa"/>
            <w:tcBorders/>
            <w:vAlign w:val="center"/>
          </w:tcPr>
          <w:p>
            <w:pPr>
              <w:pStyle w:val="TableContents"/>
              <w:bidi w:val="0"/>
              <w:spacing w:lineRule="auto" w:line="285" w:before="0" w:after="0"/>
              <w:ind w:left="0" w:right="0" w:hanging="0"/>
              <w:jc w:val="center"/>
              <w:rPr/>
            </w:pPr>
            <w:r>
              <w:rPr/>
              <w:t>​</w:t>
            </w:r>
          </w:p>
        </w:tc>
        <w:tc>
          <w:tcPr>
            <w:tcW w:w="130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Inputs</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9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69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(Level 1)</w:t>
            </w:r>
          </w:p>
        </w:tc>
        <w:tc>
          <w:tcPr>
            <w:tcW w:w="346" w:type="dxa"/>
            <w:tcBorders/>
            <w:vAlign w:val="center"/>
          </w:tcPr>
          <w:p>
            <w:pPr>
              <w:pStyle w:val="TableContents"/>
              <w:bidi w:val="0"/>
              <w:spacing w:lineRule="auto" w:line="285" w:before="0" w:after="0"/>
              <w:ind w:left="0" w:right="0" w:hanging="0"/>
              <w:jc w:val="center"/>
              <w:rPr/>
            </w:pPr>
            <w:r>
              <w:rPr/>
              <w:t>​</w:t>
            </w:r>
          </w:p>
        </w:tc>
        <w:tc>
          <w:tcPr>
            <w:tcW w:w="166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(Level 2)</w:t>
            </w:r>
          </w:p>
        </w:tc>
        <w:tc>
          <w:tcPr>
            <w:tcW w:w="346" w:type="dxa"/>
            <w:tcBorders/>
            <w:vAlign w:val="center"/>
          </w:tcPr>
          <w:p>
            <w:pPr>
              <w:pStyle w:val="TableContents"/>
              <w:bidi w:val="0"/>
              <w:spacing w:lineRule="auto" w:line="285" w:before="0" w:after="0"/>
              <w:ind w:left="0" w:right="0" w:hanging="0"/>
              <w:jc w:val="center"/>
              <w:rPr/>
            </w:pPr>
            <w:r>
              <w:rPr/>
              <w:t>​</w:t>
            </w:r>
          </w:p>
        </w:tc>
        <w:tc>
          <w:tcPr>
            <w:tcW w:w="130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(Level 3)</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92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02" w:type="dxa"/>
            <w:tcBorders/>
            <w:shd w:fill="CCEEFF" w:val="clear"/>
            <w:vAlign w:val="center"/>
          </w:tcPr>
          <w:p>
            <w:pPr>
              <w:pStyle w:val="TableContents"/>
              <w:bidi w:val="0"/>
              <w:spacing w:lineRule="auto" w:line="285" w:before="0" w:after="0"/>
              <w:ind w:left="0" w:right="0" w:hanging="0"/>
              <w:jc w:val="right"/>
              <w:rPr/>
            </w:pPr>
            <w:r>
              <w:rPr/>
              <w:t>​</w:t>
            </w:r>
          </w:p>
        </w:tc>
        <w:tc>
          <w:tcPr>
            <w:tcW w:w="1294"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01" w:type="dxa"/>
            <w:tcBorders/>
            <w:shd w:fill="CCEEFF" w:val="clear"/>
            <w:vAlign w:val="center"/>
          </w:tcPr>
          <w:p>
            <w:pPr>
              <w:pStyle w:val="TableContents"/>
              <w:bidi w:val="0"/>
              <w:spacing w:lineRule="auto" w:line="285" w:before="0" w:after="0"/>
              <w:ind w:left="0" w:right="0" w:hanging="0"/>
              <w:jc w:val="right"/>
              <w:rPr/>
            </w:pPr>
            <w:r>
              <w:rPr/>
              <w:t>​</w:t>
            </w:r>
          </w:p>
        </w:tc>
        <w:tc>
          <w:tcPr>
            <w:tcW w:w="1165"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94" w:type="dxa"/>
            <w:tcBorders/>
            <w:shd w:fill="CCEEFF" w:val="clear"/>
            <w:vAlign w:val="center"/>
          </w:tcPr>
          <w:p>
            <w:pPr>
              <w:pStyle w:val="TableContents"/>
              <w:bidi w:val="0"/>
              <w:spacing w:lineRule="auto" w:line="285" w:before="0" w:after="0"/>
              <w:ind w:left="0" w:right="0" w:hanging="0"/>
              <w:jc w:val="right"/>
              <w:rPr/>
            </w:pPr>
            <w:r>
              <w:rPr/>
              <w:t>​</w:t>
            </w:r>
          </w:p>
        </w:tc>
        <w:tc>
          <w:tcPr>
            <w:tcW w:w="812"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292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Derivative instruments, net</w:t>
            </w:r>
          </w:p>
        </w:tc>
        <w:tc>
          <w:tcPr>
            <w:tcW w:w="346" w:type="dxa"/>
            <w:tcBorders/>
            <w:vAlign w:val="center"/>
          </w:tcPr>
          <w:p>
            <w:pPr>
              <w:pStyle w:val="TableContents"/>
              <w:bidi w:val="0"/>
              <w:spacing w:lineRule="auto" w:line="285" w:before="0" w:after="0"/>
              <w:ind w:left="0" w:right="0" w:hanging="0"/>
              <w:jc w:val="left"/>
              <w:rPr/>
            </w:pPr>
            <w:r>
              <w:rPr/>
              <w:t>​</w:t>
            </w:r>
          </w:p>
        </w:tc>
        <w:tc>
          <w:tcPr>
            <w:tcW w:w="402"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29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0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65"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94"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12"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292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Deferred compensation plan asset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0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29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34,105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0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1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9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1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2926" w:type="dxa"/>
            <w:tcBorders/>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Total assets</w:t>
            </w:r>
          </w:p>
        </w:tc>
        <w:tc>
          <w:tcPr>
            <w:tcW w:w="346" w:type="dxa"/>
            <w:tcBorders/>
            <w:vAlign w:val="center"/>
          </w:tcPr>
          <w:p>
            <w:pPr>
              <w:pStyle w:val="TableContents"/>
              <w:bidi w:val="0"/>
              <w:spacing w:lineRule="auto" w:line="285" w:before="0" w:after="0"/>
              <w:ind w:left="0" w:right="0" w:hanging="0"/>
              <w:jc w:val="left"/>
              <w:rPr/>
            </w:pPr>
            <w:r>
              <w:rPr/>
              <w:t>​</w:t>
            </w:r>
          </w:p>
        </w:tc>
        <w:tc>
          <w:tcPr>
            <w:tcW w:w="402" w:type="dxa"/>
            <w:tcBorders>
              <w:top w:val="single" w:sz="2" w:space="0" w:color="000000"/>
              <w:bottom w:val="double" w:sz="6" w:space="0" w:color="000000"/>
            </w:tcBorders>
            <w:tcMar>
              <w:top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294" w:type="dxa"/>
            <w:tcBorders>
              <w:top w:val="single" w:sz="2" w:space="0" w:color="000000"/>
              <w:bottom w:val="double" w:sz="6" w:space="0" w:color="000000"/>
            </w:tcBorders>
            <w:tcMar>
              <w:top w:w="28" w:type="dxa"/>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34,105</w:t>
            </w:r>
          </w:p>
        </w:tc>
        <w:tc>
          <w:tcPr>
            <w:tcW w:w="346" w:type="dxa"/>
            <w:tcBorders/>
            <w:vAlign w:val="center"/>
          </w:tcPr>
          <w:p>
            <w:pPr>
              <w:pStyle w:val="TableContents"/>
              <w:bidi w:val="0"/>
              <w:spacing w:lineRule="auto" w:line="285" w:before="0" w:after="0"/>
              <w:ind w:left="0" w:right="0" w:hanging="0"/>
              <w:jc w:val="left"/>
              <w:rPr/>
            </w:pPr>
            <w:r>
              <w:rPr/>
              <w:t>​</w:t>
            </w:r>
          </w:p>
        </w:tc>
        <w:tc>
          <w:tcPr>
            <w:tcW w:w="501" w:type="dxa"/>
            <w:tcBorders>
              <w:top w:val="single" w:sz="2" w:space="0" w:color="000000"/>
              <w:bottom w:val="double" w:sz="6" w:space="0" w:color="000000"/>
            </w:tcBorders>
            <w:tcMar>
              <w:top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65" w:type="dxa"/>
            <w:tcBorders>
              <w:top w:val="single" w:sz="2" w:space="0" w:color="000000"/>
              <w:bottom w:val="double" w:sz="6" w:space="0" w:color="000000"/>
            </w:tcBorders>
            <w:tcMar>
              <w:top w:w="28" w:type="dxa"/>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94" w:type="dxa"/>
            <w:tcBorders>
              <w:top w:val="single" w:sz="2" w:space="0" w:color="000000"/>
              <w:bottom w:val="double" w:sz="6" w:space="0" w:color="000000"/>
            </w:tcBorders>
            <w:tcMar>
              <w:top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12" w:type="dxa"/>
            <w:tcBorders>
              <w:top w:val="single" w:sz="2" w:space="0" w:color="000000"/>
              <w:bottom w:val="double" w:sz="6" w:space="0" w:color="000000"/>
            </w:tcBorders>
            <w:tcMar>
              <w:top w:w="28" w:type="dxa"/>
              <w:bottom w:w="28" w:type="dxa"/>
            </w:tcMar>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292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02" w:type="dxa"/>
            <w:tcBorders/>
            <w:shd w:fill="CCEEFF" w:val="clear"/>
            <w:vAlign w:val="center"/>
          </w:tcPr>
          <w:p>
            <w:pPr>
              <w:pStyle w:val="TableContents"/>
              <w:bidi w:val="0"/>
              <w:spacing w:lineRule="auto" w:line="285" w:before="0" w:after="0"/>
              <w:ind w:left="0" w:right="0" w:hanging="0"/>
              <w:jc w:val="right"/>
              <w:rPr/>
            </w:pPr>
            <w:r>
              <w:rPr/>
              <w:t>​</w:t>
            </w:r>
          </w:p>
        </w:tc>
        <w:tc>
          <w:tcPr>
            <w:tcW w:w="1294"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01" w:type="dxa"/>
            <w:tcBorders/>
            <w:shd w:fill="CCEEFF" w:val="clear"/>
            <w:vAlign w:val="center"/>
          </w:tcPr>
          <w:p>
            <w:pPr>
              <w:pStyle w:val="TableContents"/>
              <w:bidi w:val="0"/>
              <w:spacing w:lineRule="auto" w:line="285" w:before="0" w:after="0"/>
              <w:ind w:left="0" w:right="0" w:hanging="0"/>
              <w:jc w:val="right"/>
              <w:rPr/>
            </w:pPr>
            <w:r>
              <w:rPr/>
              <w:t>​</w:t>
            </w:r>
          </w:p>
        </w:tc>
        <w:tc>
          <w:tcPr>
            <w:tcW w:w="1165"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94" w:type="dxa"/>
            <w:tcBorders/>
            <w:shd w:fill="CCEEFF" w:val="clear"/>
            <w:vAlign w:val="center"/>
          </w:tcPr>
          <w:p>
            <w:pPr>
              <w:pStyle w:val="TableContents"/>
              <w:bidi w:val="0"/>
              <w:spacing w:lineRule="auto" w:line="285" w:before="0" w:after="0"/>
              <w:ind w:left="0" w:right="0" w:hanging="0"/>
              <w:jc w:val="right"/>
              <w:rPr/>
            </w:pPr>
            <w:r>
              <w:rPr/>
              <w:t>​</w:t>
            </w:r>
          </w:p>
        </w:tc>
        <w:tc>
          <w:tcPr>
            <w:tcW w:w="812"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2926" w:type="dxa"/>
            <w:tcBorders/>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Liabilities</w:t>
            </w:r>
          </w:p>
        </w:tc>
        <w:tc>
          <w:tcPr>
            <w:tcW w:w="346" w:type="dxa"/>
            <w:tcBorders/>
            <w:vAlign w:val="center"/>
          </w:tcPr>
          <w:p>
            <w:pPr>
              <w:pStyle w:val="TableContents"/>
              <w:bidi w:val="0"/>
              <w:spacing w:lineRule="auto" w:line="285" w:before="0" w:after="0"/>
              <w:ind w:left="0" w:right="0" w:hanging="0"/>
              <w:jc w:val="left"/>
              <w:rPr/>
            </w:pPr>
            <w:r>
              <w:rPr/>
              <w:t>​</w:t>
            </w:r>
          </w:p>
        </w:tc>
        <w:tc>
          <w:tcPr>
            <w:tcW w:w="402" w:type="dxa"/>
            <w:tcBorders/>
            <w:vAlign w:val="center"/>
          </w:tcPr>
          <w:p>
            <w:pPr>
              <w:pStyle w:val="TableContents"/>
              <w:bidi w:val="0"/>
              <w:spacing w:lineRule="auto" w:line="285" w:before="0" w:after="0"/>
              <w:ind w:left="0" w:right="0" w:hanging="0"/>
              <w:jc w:val="right"/>
              <w:rPr/>
            </w:pPr>
            <w:r>
              <w:rPr/>
              <w:t>​</w:t>
            </w:r>
          </w:p>
        </w:tc>
        <w:tc>
          <w:tcPr>
            <w:tcW w:w="129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01" w:type="dxa"/>
            <w:tcBorders/>
            <w:vAlign w:val="center"/>
          </w:tcPr>
          <w:p>
            <w:pPr>
              <w:pStyle w:val="TableContents"/>
              <w:bidi w:val="0"/>
              <w:spacing w:lineRule="auto" w:line="285" w:before="0" w:after="0"/>
              <w:ind w:left="0" w:right="0" w:hanging="0"/>
              <w:jc w:val="right"/>
              <w:rPr/>
            </w:pPr>
            <w:r>
              <w:rPr/>
              <w:t>​</w:t>
            </w:r>
          </w:p>
        </w:tc>
        <w:tc>
          <w:tcPr>
            <w:tcW w:w="1165"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94" w:type="dxa"/>
            <w:tcBorders/>
            <w:vAlign w:val="center"/>
          </w:tcPr>
          <w:p>
            <w:pPr>
              <w:pStyle w:val="TableContents"/>
              <w:bidi w:val="0"/>
              <w:spacing w:lineRule="auto" w:line="285" w:before="0" w:after="0"/>
              <w:ind w:left="0" w:right="0" w:hanging="0"/>
              <w:jc w:val="right"/>
              <w:rPr/>
            </w:pPr>
            <w:r>
              <w:rPr/>
              <w:t>​</w:t>
            </w:r>
          </w:p>
        </w:tc>
        <w:tc>
          <w:tcPr>
            <w:tcW w:w="812"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292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Derivative instruments,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0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29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0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(560)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9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1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2926" w:type="dxa"/>
            <w:tcBorders/>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Total liabilities</w:t>
            </w:r>
          </w:p>
        </w:tc>
        <w:tc>
          <w:tcPr>
            <w:tcW w:w="346" w:type="dxa"/>
            <w:tcBorders/>
            <w:vAlign w:val="center"/>
          </w:tcPr>
          <w:p>
            <w:pPr>
              <w:pStyle w:val="TableContents"/>
              <w:bidi w:val="0"/>
              <w:spacing w:lineRule="auto" w:line="285" w:before="0" w:after="0"/>
              <w:ind w:left="0" w:right="0" w:hanging="0"/>
              <w:jc w:val="left"/>
              <w:rPr/>
            </w:pPr>
            <w:r>
              <w:rPr/>
              <w:t>​</w:t>
            </w:r>
          </w:p>
        </w:tc>
        <w:tc>
          <w:tcPr>
            <w:tcW w:w="40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29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0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6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(560)</w:t>
            </w:r>
          </w:p>
        </w:tc>
        <w:tc>
          <w:tcPr>
            <w:tcW w:w="346" w:type="dxa"/>
            <w:tcBorders/>
            <w:vAlign w:val="center"/>
          </w:tcPr>
          <w:p>
            <w:pPr>
              <w:pStyle w:val="TableContents"/>
              <w:bidi w:val="0"/>
              <w:spacing w:lineRule="auto" w:line="285" w:before="0" w:after="0"/>
              <w:ind w:left="0" w:right="0" w:hanging="0"/>
              <w:jc w:val="left"/>
              <w:rPr/>
            </w:pPr>
            <w:r>
              <w:rPr/>
              <w:t>​</w:t>
            </w:r>
          </w:p>
        </w:tc>
        <w:tc>
          <w:tcPr>
            <w:tcW w:w="494"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1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17</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TTEC HOLDINGS, INC. AND SUBSIDIARIES</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Notes to Consolidated Financial Statements</w:t>
      </w:r>
    </w:p>
    <w:p>
      <w:pPr>
        <w:pStyle w:val="TextBody"/>
        <w:bidi w:val="0"/>
        <w:spacing w:lineRule="auto" w:line="285" w:before="0" w:after="24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lineRule="auto" w:line="285" w:before="0" w:after="0"/>
        <w:ind w:left="0" w:right="0" w:hanging="0"/>
        <w:jc w:val="left"/>
        <w:rPr>
          <w:rFonts w:ascii="Arial;Helvetica;sans-serif" w:hAnsi="Arial;Helvetica;sans-serif"/>
          <w:b/>
          <w:sz w:val="18"/>
        </w:rPr>
      </w:pPr>
      <w:bookmarkStart w:id="1524" w:name="Tc_I0LMDnAZ-EC_5xlaSH9Vmg_13_8"/>
      <w:bookmarkStart w:id="1525" w:name="Tc_9Ou34Ix_TUu42pwx34Vxpw_13_5"/>
      <w:bookmarkStart w:id="1526" w:name="Tc_zcsn1CwVtk61C9BnynlyQA_13_2"/>
      <w:bookmarkStart w:id="1527" w:name="Tc_TJ7fDfo_bU24oyEEZ6B6cg_13_0"/>
      <w:bookmarkStart w:id="1528" w:name="Tc_iLYn6ospMk-mBFm2QkJoJQ_12_9"/>
      <w:bookmarkStart w:id="1529" w:name="Tc_nqbthJ3b8E6v8njTPZldUg_12_8"/>
      <w:bookmarkStart w:id="1530" w:name="Tc_SW1iiHJIdEyDs6lT20Wa-Q_12_6"/>
      <w:bookmarkStart w:id="1531" w:name="Tc_SperOdP3LE6Fxfg4xDqFTA_12_5"/>
      <w:bookmarkStart w:id="1532" w:name="Tc_kVyInqcGAkKH4CDcpWOeNg_12_3"/>
      <w:bookmarkStart w:id="1533" w:name="Tc_RwktWGdUqkCPV8AfsEiQgQ_12_2"/>
      <w:bookmarkStart w:id="1534" w:name="Tc_yQ6jmUolv0io97hiVjbZCA_12_0"/>
      <w:bookmarkStart w:id="1535" w:name="Tc_AC3YLQ-8NE62mRLMbHZIPA_11_0"/>
      <w:bookmarkStart w:id="1536" w:name="Tc_XW5ZVihTj0eSeiT-ih5dDw_9_8"/>
      <w:bookmarkStart w:id="1537" w:name="Tc_mjbfdnqrrEu-fIZ3dPAgEQ_9_5"/>
      <w:bookmarkStart w:id="1538" w:name="Tc_g3VyxkXdB0ayR5phk7k5rg_9_2"/>
      <w:bookmarkStart w:id="1539" w:name="Tc_eDbgajUsG0C7GbLeJDc_Mw_9_0"/>
      <w:bookmarkStart w:id="1540" w:name="Tc_lcJx-x5tKEygYPucOO0bZg_8_0"/>
      <w:bookmarkStart w:id="1541" w:name="Tc_ibJc5ciynkOHuxJYtiVokw_7_8"/>
      <w:bookmarkStart w:id="1542" w:name="Tc_5EjmNDXuqUKKQT02bU6jsA_7_5"/>
      <w:bookmarkStart w:id="1543" w:name="Tc_NjVUq2_BX0yh8QCn-nNR2g_7_2"/>
      <w:bookmarkStart w:id="1544" w:name="Tc_7-sKE520DkWcuRWZaJPypA_7_0"/>
      <w:bookmarkStart w:id="1545" w:name="Tc_lHvox-SUek2jHcFeR_wzyA_6_0"/>
      <w:bookmarkStart w:id="1546" w:name="Tc_HUuNoLdQy0GAA3LGjU1HCQ_5_8"/>
      <w:bookmarkStart w:id="1547" w:name="Tc_BRfoXakHX0ekvLCx2EiEQw_5_5"/>
      <w:bookmarkStart w:id="1548" w:name="Tc_BavtFEfcxEOkXbiLEhtIuQ_5_2"/>
      <w:bookmarkStart w:id="1549" w:name="Tc_3OJWCBxrv0aBCYlZS4eVMg_4_8"/>
      <w:bookmarkStart w:id="1550" w:name="Tc_bEZsQhupx0SFr-RrhRhgaw_4_5"/>
      <w:bookmarkStart w:id="1551" w:name="Tc_4b3-3q7CR0WuUzV1316Tgw_4_2"/>
      <w:bookmarkStart w:id="1552" w:name="Tc_V6SGUCc2Akyc7ahgUavL1A_3_8"/>
      <w:bookmarkStart w:id="1553" w:name="Tc_mKz0a2hWXUeXb9NA5rwu2Q_3_5"/>
      <w:bookmarkStart w:id="1554" w:name="Tc_NGewOVpJjkO5KTnT9v3Q6g_3_2"/>
      <w:bookmarkStart w:id="1555" w:name="Tc_JDb44HLHJ0CD6fvfS2aj4g_2_8"/>
      <w:bookmarkStart w:id="1556" w:name="Tc_ctiukZIdn0OHLxqdwa3NYw_2_2"/>
      <w:bookmarkStart w:id="1557" w:name="Tc_GaSUNRYcA0uc6F-iZORYbw_1_2"/>
      <w:bookmarkStart w:id="1558" w:name="_a7a48829_f8b3_43f1_9ad9_1e13c78efacb"/>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r>
        <w:rPr>
          <w:rFonts w:ascii="Arial;Helvetica;sans-serif" w:hAnsi="Arial;Helvetica;sans-serif"/>
          <w:b/>
          <w:sz w:val="18"/>
        </w:rPr>
        <w:t>As of December 31, 2025</w:t>
      </w:r>
    </w:p>
    <w:tbl>
      <w:tblPr>
        <w:tblW w:w="8839" w:type="dxa"/>
        <w:jc w:val="left"/>
        <w:tblInd w:w="0" w:type="dxa"/>
        <w:tblLayout w:type="fixed"/>
        <w:tblCellMar>
          <w:top w:w="0" w:type="dxa"/>
          <w:left w:w="0" w:type="dxa"/>
          <w:bottom w:w="0" w:type="dxa"/>
          <w:right w:w="0" w:type="dxa"/>
        </w:tblCellMar>
      </w:tblPr>
      <w:tblGrid>
        <w:gridCol w:w="2926"/>
        <w:gridCol w:w="346"/>
        <w:gridCol w:w="402"/>
        <w:gridCol w:w="1294"/>
        <w:gridCol w:w="354"/>
        <w:gridCol w:w="556"/>
        <w:gridCol w:w="1110"/>
        <w:gridCol w:w="354"/>
        <w:gridCol w:w="492"/>
        <w:gridCol w:w="814"/>
        <w:gridCol w:w="191"/>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858010" cy="175260"/>
                      <wp:effectExtent l="0" t="0" r="0" b="0"/>
                      <wp:wrapNone/>
                      <wp:docPr id="343" name="Frame343"/>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19710" cy="175260"/>
                      <wp:effectExtent l="0" t="0" r="0" b="0"/>
                      <wp:wrapNone/>
                      <wp:docPr id="344" name="Frame3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55270" cy="175260"/>
                      <wp:effectExtent l="0" t="0" r="0" b="0"/>
                      <wp:wrapNone/>
                      <wp:docPr id="345" name="Frame345"/>
                      <a:graphic xmlns:a="http://schemas.openxmlformats.org/drawingml/2006/main">
                        <a:graphicData uri="http://schemas.microsoft.com/office/word/2010/wordprocessingShape">
                          <wps:wsp>
                            <wps:cNvSpPr txBox="1"/>
                            <wps:spPr>
                              <a:xfrm>
                                <a:off x="0" y="0"/>
                                <a:ext cx="2552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821690" cy="175260"/>
                      <wp:effectExtent l="0" t="0" r="0" b="0"/>
                      <wp:wrapNone/>
                      <wp:docPr id="346" name="Frame346"/>
                      <a:graphic xmlns:a="http://schemas.openxmlformats.org/drawingml/2006/main">
                        <a:graphicData uri="http://schemas.microsoft.com/office/word/2010/wordprocessingShape">
                          <wps:wsp>
                            <wps:cNvSpPr txBox="1"/>
                            <wps:spPr>
                              <a:xfrm>
                                <a:off x="0" y="0"/>
                                <a:ext cx="8216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24790" cy="175260"/>
                      <wp:effectExtent l="0" t="0" r="0" b="0"/>
                      <wp:wrapNone/>
                      <wp:docPr id="347" name="Frame347"/>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353060" cy="175260"/>
                      <wp:effectExtent l="0" t="0" r="0" b="0"/>
                      <wp:wrapNone/>
                      <wp:docPr id="348" name="Frame348"/>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704850" cy="175260"/>
                      <wp:effectExtent l="0" t="0" r="0" b="0"/>
                      <wp:wrapNone/>
                      <wp:docPr id="349" name="Frame349"/>
                      <a:graphic xmlns:a="http://schemas.openxmlformats.org/drawingml/2006/main">
                        <a:graphicData uri="http://schemas.microsoft.com/office/word/2010/wordprocessingShape">
                          <wps:wsp>
                            <wps:cNvSpPr txBox="1"/>
                            <wps:spPr>
                              <a:xfrm>
                                <a:off x="0" y="0"/>
                                <a:ext cx="7048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24790" cy="175260"/>
                      <wp:effectExtent l="0" t="0" r="0" b="0"/>
                      <wp:wrapNone/>
                      <wp:docPr id="350" name="Frame350"/>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312420" cy="175260"/>
                      <wp:effectExtent l="0" t="0" r="0" b="0"/>
                      <wp:wrapNone/>
                      <wp:docPr id="351" name="Frame351"/>
                      <a:graphic xmlns:a="http://schemas.openxmlformats.org/drawingml/2006/main">
                        <a:graphicData uri="http://schemas.microsoft.com/office/word/2010/wordprocessingShape">
                          <wps:wsp>
                            <wps:cNvSpPr txBox="1"/>
                            <wps:spPr>
                              <a:xfrm>
                                <a:off x="0" y="0"/>
                                <a:ext cx="3124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516890" cy="175260"/>
                      <wp:effectExtent l="0" t="0" r="0" b="0"/>
                      <wp:wrapNone/>
                      <wp:docPr id="352" name="Frame352"/>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21285" cy="175260"/>
                      <wp:effectExtent l="0" t="0" r="0" b="0"/>
                      <wp:wrapNone/>
                      <wp:docPr id="353" name="Frame353"/>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9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5376"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Fair Value Measurements Using</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9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69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Quoted Prices in</w:t>
            </w:r>
          </w:p>
        </w:tc>
        <w:tc>
          <w:tcPr>
            <w:tcW w:w="354" w:type="dxa"/>
            <w:tcBorders/>
            <w:vAlign w:val="center"/>
          </w:tcPr>
          <w:p>
            <w:pPr>
              <w:pStyle w:val="TableContents"/>
              <w:bidi w:val="0"/>
              <w:spacing w:lineRule="auto" w:line="285" w:before="0" w:after="0"/>
              <w:ind w:left="0" w:right="0" w:hanging="0"/>
              <w:jc w:val="center"/>
              <w:rPr/>
            </w:pPr>
            <w:r>
              <w:rPr/>
              <w:t>  ​ ​ ​</w:t>
            </w:r>
          </w:p>
        </w:tc>
        <w:tc>
          <w:tcPr>
            <w:tcW w:w="556" w:type="dxa"/>
            <w:tcBorders/>
            <w:vAlign w:val="center"/>
          </w:tcPr>
          <w:p>
            <w:pPr>
              <w:pStyle w:val="TableContents"/>
              <w:bidi w:val="0"/>
              <w:spacing w:lineRule="auto" w:line="285" w:before="0" w:after="0"/>
              <w:ind w:left="0" w:right="0" w:hanging="0"/>
              <w:jc w:val="center"/>
              <w:rPr/>
            </w:pPr>
            <w:r>
              <w:rPr/>
              <w:t>​</w:t>
            </w:r>
          </w:p>
        </w:tc>
        <w:tc>
          <w:tcPr>
            <w:tcW w:w="1110" w:type="dxa"/>
            <w:tcBorders/>
            <w:vAlign w:val="center"/>
          </w:tcPr>
          <w:p>
            <w:pPr>
              <w:pStyle w:val="TableContents"/>
              <w:bidi w:val="0"/>
              <w:spacing w:lineRule="auto" w:line="285" w:before="0" w:after="0"/>
              <w:ind w:left="0" w:right="0" w:hanging="0"/>
              <w:jc w:val="center"/>
              <w:rPr/>
            </w:pPr>
            <w:r>
              <w:rPr/>
              <w:t>​</w:t>
            </w:r>
          </w:p>
        </w:tc>
        <w:tc>
          <w:tcPr>
            <w:tcW w:w="354" w:type="dxa"/>
            <w:tcBorders/>
            <w:vAlign w:val="center"/>
          </w:tcPr>
          <w:p>
            <w:pPr>
              <w:pStyle w:val="TableContents"/>
              <w:bidi w:val="0"/>
              <w:spacing w:lineRule="auto" w:line="285" w:before="0" w:after="0"/>
              <w:ind w:left="0" w:right="0" w:hanging="0"/>
              <w:jc w:val="center"/>
              <w:rPr/>
            </w:pPr>
            <w:r>
              <w:rPr/>
              <w:t>  ​ ​ ​</w:t>
            </w:r>
          </w:p>
        </w:tc>
        <w:tc>
          <w:tcPr>
            <w:tcW w:w="130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Significant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9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69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Active Markets for</w:t>
            </w:r>
          </w:p>
        </w:tc>
        <w:tc>
          <w:tcPr>
            <w:tcW w:w="354" w:type="dxa"/>
            <w:tcBorders/>
            <w:vAlign w:val="center"/>
          </w:tcPr>
          <w:p>
            <w:pPr>
              <w:pStyle w:val="TableContents"/>
              <w:bidi w:val="0"/>
              <w:spacing w:lineRule="auto" w:line="285" w:before="0" w:after="0"/>
              <w:ind w:left="0" w:right="0" w:hanging="0"/>
              <w:jc w:val="center"/>
              <w:rPr/>
            </w:pPr>
            <w:r>
              <w:rPr/>
              <w:t>​</w:t>
            </w:r>
          </w:p>
        </w:tc>
        <w:tc>
          <w:tcPr>
            <w:tcW w:w="166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Significant Other</w:t>
            </w:r>
          </w:p>
        </w:tc>
        <w:tc>
          <w:tcPr>
            <w:tcW w:w="354" w:type="dxa"/>
            <w:tcBorders/>
            <w:vAlign w:val="center"/>
          </w:tcPr>
          <w:p>
            <w:pPr>
              <w:pStyle w:val="TableContents"/>
              <w:bidi w:val="0"/>
              <w:spacing w:lineRule="auto" w:line="285" w:before="0" w:after="0"/>
              <w:ind w:left="0" w:right="0" w:hanging="0"/>
              <w:jc w:val="center"/>
              <w:rPr/>
            </w:pPr>
            <w:r>
              <w:rPr/>
              <w:t>​</w:t>
            </w:r>
          </w:p>
        </w:tc>
        <w:tc>
          <w:tcPr>
            <w:tcW w:w="130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Unobservable</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9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69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Identical Assets</w:t>
            </w:r>
          </w:p>
        </w:tc>
        <w:tc>
          <w:tcPr>
            <w:tcW w:w="354" w:type="dxa"/>
            <w:tcBorders/>
            <w:vAlign w:val="center"/>
          </w:tcPr>
          <w:p>
            <w:pPr>
              <w:pStyle w:val="TableContents"/>
              <w:bidi w:val="0"/>
              <w:spacing w:lineRule="auto" w:line="285" w:before="0" w:after="0"/>
              <w:ind w:left="0" w:right="0" w:hanging="0"/>
              <w:jc w:val="center"/>
              <w:rPr/>
            </w:pPr>
            <w:r>
              <w:rPr/>
              <w:t>​</w:t>
            </w:r>
          </w:p>
        </w:tc>
        <w:tc>
          <w:tcPr>
            <w:tcW w:w="166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Observable Inputs</w:t>
            </w:r>
          </w:p>
        </w:tc>
        <w:tc>
          <w:tcPr>
            <w:tcW w:w="354" w:type="dxa"/>
            <w:tcBorders/>
            <w:vAlign w:val="center"/>
          </w:tcPr>
          <w:p>
            <w:pPr>
              <w:pStyle w:val="TableContents"/>
              <w:bidi w:val="0"/>
              <w:spacing w:lineRule="auto" w:line="285" w:before="0" w:after="0"/>
              <w:ind w:left="0" w:right="0" w:hanging="0"/>
              <w:jc w:val="center"/>
              <w:rPr/>
            </w:pPr>
            <w:r>
              <w:rPr/>
              <w:t>​</w:t>
            </w:r>
          </w:p>
        </w:tc>
        <w:tc>
          <w:tcPr>
            <w:tcW w:w="130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Inputs</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9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69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(Level 1)</w:t>
            </w:r>
          </w:p>
        </w:tc>
        <w:tc>
          <w:tcPr>
            <w:tcW w:w="354" w:type="dxa"/>
            <w:tcBorders/>
            <w:vAlign w:val="center"/>
          </w:tcPr>
          <w:p>
            <w:pPr>
              <w:pStyle w:val="TableContents"/>
              <w:bidi w:val="0"/>
              <w:spacing w:lineRule="auto" w:line="285" w:before="0" w:after="0"/>
              <w:ind w:left="0" w:right="0" w:hanging="0"/>
              <w:jc w:val="center"/>
              <w:rPr/>
            </w:pPr>
            <w:r>
              <w:rPr/>
              <w:t>​</w:t>
            </w:r>
          </w:p>
        </w:tc>
        <w:tc>
          <w:tcPr>
            <w:tcW w:w="166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(Level 2)</w:t>
            </w:r>
          </w:p>
        </w:tc>
        <w:tc>
          <w:tcPr>
            <w:tcW w:w="354" w:type="dxa"/>
            <w:tcBorders/>
            <w:vAlign w:val="center"/>
          </w:tcPr>
          <w:p>
            <w:pPr>
              <w:pStyle w:val="TableContents"/>
              <w:bidi w:val="0"/>
              <w:spacing w:lineRule="auto" w:line="285" w:before="0" w:after="0"/>
              <w:ind w:left="0" w:right="0" w:hanging="0"/>
              <w:jc w:val="center"/>
              <w:rPr/>
            </w:pPr>
            <w:r>
              <w:rPr/>
              <w:t>​</w:t>
            </w:r>
          </w:p>
        </w:tc>
        <w:tc>
          <w:tcPr>
            <w:tcW w:w="130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(Level 3)</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92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02" w:type="dxa"/>
            <w:tcBorders/>
            <w:shd w:fill="CCEEFF" w:val="clear"/>
            <w:vAlign w:val="center"/>
          </w:tcPr>
          <w:p>
            <w:pPr>
              <w:pStyle w:val="TableContents"/>
              <w:bidi w:val="0"/>
              <w:spacing w:lineRule="auto" w:line="285" w:before="0" w:after="0"/>
              <w:ind w:left="0" w:right="0" w:hanging="0"/>
              <w:jc w:val="right"/>
              <w:rPr/>
            </w:pPr>
            <w:r>
              <w:rPr/>
              <w:t>​</w:t>
            </w:r>
          </w:p>
        </w:tc>
        <w:tc>
          <w:tcPr>
            <w:tcW w:w="1294" w:type="dxa"/>
            <w:tcBorders/>
            <w:shd w:fill="CCEEFF" w:val="clear"/>
            <w:vAlign w:val="center"/>
          </w:tcPr>
          <w:p>
            <w:pPr>
              <w:pStyle w:val="TableContents"/>
              <w:bidi w:val="0"/>
              <w:spacing w:lineRule="auto" w:line="285" w:before="0" w:after="0"/>
              <w:ind w:left="0" w:right="0" w:hanging="0"/>
              <w:jc w:val="right"/>
              <w:rPr/>
            </w:pPr>
            <w:r>
              <w:rPr/>
              <w:t>​</w:t>
            </w:r>
          </w:p>
        </w:tc>
        <w:tc>
          <w:tcPr>
            <w:tcW w:w="354" w:type="dxa"/>
            <w:tcBorders/>
            <w:shd w:fill="CCEEFF" w:val="clear"/>
            <w:vAlign w:val="center"/>
          </w:tcPr>
          <w:p>
            <w:pPr>
              <w:pStyle w:val="TableContents"/>
              <w:bidi w:val="0"/>
              <w:spacing w:lineRule="auto" w:line="285" w:before="0" w:after="0"/>
              <w:ind w:left="0" w:right="0" w:hanging="0"/>
              <w:jc w:val="left"/>
              <w:rPr/>
            </w:pPr>
            <w:r>
              <w:rPr/>
              <w:t>​</w:t>
            </w:r>
          </w:p>
        </w:tc>
        <w:tc>
          <w:tcPr>
            <w:tcW w:w="556" w:type="dxa"/>
            <w:tcBorders/>
            <w:shd w:fill="CCEEFF" w:val="clear"/>
            <w:vAlign w:val="center"/>
          </w:tcPr>
          <w:p>
            <w:pPr>
              <w:pStyle w:val="TableContents"/>
              <w:bidi w:val="0"/>
              <w:spacing w:lineRule="auto" w:line="285" w:before="0" w:after="0"/>
              <w:ind w:left="0" w:right="0" w:hanging="0"/>
              <w:jc w:val="right"/>
              <w:rPr/>
            </w:pPr>
            <w:r>
              <w:rPr/>
              <w:t>​</w:t>
            </w:r>
          </w:p>
        </w:tc>
        <w:tc>
          <w:tcPr>
            <w:tcW w:w="1110" w:type="dxa"/>
            <w:tcBorders/>
            <w:shd w:fill="CCEEFF" w:val="clear"/>
            <w:vAlign w:val="center"/>
          </w:tcPr>
          <w:p>
            <w:pPr>
              <w:pStyle w:val="TableContents"/>
              <w:bidi w:val="0"/>
              <w:spacing w:lineRule="auto" w:line="285" w:before="0" w:after="0"/>
              <w:ind w:left="0" w:right="0" w:hanging="0"/>
              <w:jc w:val="right"/>
              <w:rPr/>
            </w:pPr>
            <w:r>
              <w:rPr/>
              <w:t>​</w:t>
            </w:r>
          </w:p>
        </w:tc>
        <w:tc>
          <w:tcPr>
            <w:tcW w:w="354" w:type="dxa"/>
            <w:tcBorders/>
            <w:shd w:fill="CCEEFF" w:val="clear"/>
            <w:vAlign w:val="center"/>
          </w:tcPr>
          <w:p>
            <w:pPr>
              <w:pStyle w:val="TableContents"/>
              <w:bidi w:val="0"/>
              <w:spacing w:lineRule="auto" w:line="285" w:before="0" w:after="0"/>
              <w:ind w:left="0" w:right="0" w:hanging="0"/>
              <w:jc w:val="left"/>
              <w:rPr/>
            </w:pPr>
            <w:r>
              <w:rPr/>
              <w:t>​</w:t>
            </w:r>
          </w:p>
        </w:tc>
        <w:tc>
          <w:tcPr>
            <w:tcW w:w="492" w:type="dxa"/>
            <w:tcBorders/>
            <w:shd w:fill="CCEEFF" w:val="clear"/>
            <w:vAlign w:val="center"/>
          </w:tcPr>
          <w:p>
            <w:pPr>
              <w:pStyle w:val="TableContents"/>
              <w:bidi w:val="0"/>
              <w:spacing w:lineRule="auto" w:line="285" w:before="0" w:after="0"/>
              <w:ind w:left="0" w:right="0" w:hanging="0"/>
              <w:jc w:val="right"/>
              <w:rPr/>
            </w:pPr>
            <w:r>
              <w:rPr/>
              <w:t>​</w:t>
            </w:r>
          </w:p>
        </w:tc>
        <w:tc>
          <w:tcPr>
            <w:tcW w:w="814"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292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Derivative instruments, net</w:t>
            </w:r>
          </w:p>
        </w:tc>
        <w:tc>
          <w:tcPr>
            <w:tcW w:w="346" w:type="dxa"/>
            <w:tcBorders/>
            <w:vAlign w:val="center"/>
          </w:tcPr>
          <w:p>
            <w:pPr>
              <w:pStyle w:val="TableContents"/>
              <w:bidi w:val="0"/>
              <w:spacing w:lineRule="auto" w:line="285" w:before="0" w:after="0"/>
              <w:ind w:left="0" w:right="0" w:hanging="0"/>
              <w:jc w:val="left"/>
              <w:rPr/>
            </w:pPr>
            <w:r>
              <w:rPr/>
              <w:t>​</w:t>
            </w:r>
          </w:p>
        </w:tc>
        <w:tc>
          <w:tcPr>
            <w:tcW w:w="402"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294" w:type="dxa"/>
            <w:tcBorders/>
            <w:vAlign w:val="center"/>
          </w:tcPr>
          <w:p>
            <w:pPr>
              <w:pStyle w:val="TableContents"/>
              <w:bidi w:val="0"/>
              <w:spacing w:lineRule="auto" w:line="285" w:before="0" w:after="0"/>
              <w:ind w:left="0" w:right="0" w:hanging="0"/>
              <w:jc w:val="right"/>
              <w:rPr>
                <w:caps w:val="false"/>
                <w:smallCaps w:val="false"/>
              </w:rPr>
            </w:pPr>
            <w:r>
              <w:rPr>
                <w:caps w:val="false"/>
                <w:smallCaps w:val="false"/>
              </w:rPr>
              <w:t>—</w:t>
            </w:r>
          </w:p>
        </w:tc>
        <w:tc>
          <w:tcPr>
            <w:tcW w:w="354" w:type="dxa"/>
            <w:tcBorders/>
            <w:vAlign w:val="center"/>
          </w:tcPr>
          <w:p>
            <w:pPr>
              <w:pStyle w:val="TableContents"/>
              <w:bidi w:val="0"/>
              <w:spacing w:lineRule="auto" w:line="285" w:before="0" w:after="0"/>
              <w:ind w:left="0" w:right="0" w:hanging="0"/>
              <w:jc w:val="left"/>
              <w:rPr/>
            </w:pPr>
            <w:r>
              <w:rPr/>
              <w:t>​</w:t>
            </w:r>
          </w:p>
        </w:tc>
        <w:tc>
          <w:tcPr>
            <w:tcW w:w="55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10"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395</w:t>
            </w:r>
          </w:p>
        </w:tc>
        <w:tc>
          <w:tcPr>
            <w:tcW w:w="354" w:type="dxa"/>
            <w:tcBorders/>
            <w:vAlign w:val="center"/>
          </w:tcPr>
          <w:p>
            <w:pPr>
              <w:pStyle w:val="TableContents"/>
              <w:bidi w:val="0"/>
              <w:spacing w:lineRule="auto" w:line="285" w:before="0" w:after="0"/>
              <w:ind w:left="0" w:right="0" w:hanging="0"/>
              <w:jc w:val="left"/>
              <w:rPr/>
            </w:pPr>
            <w:r>
              <w:rPr/>
              <w:t>​</w:t>
            </w:r>
          </w:p>
        </w:tc>
        <w:tc>
          <w:tcPr>
            <w:tcW w:w="492"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14" w:type="dxa"/>
            <w:tcBorders/>
            <w:vAlign w:val="center"/>
          </w:tcPr>
          <w:p>
            <w:pPr>
              <w:pStyle w:val="TableContents"/>
              <w:bidi w:val="0"/>
              <w:spacing w:lineRule="auto" w:line="285" w:before="0" w:after="0"/>
              <w:ind w:left="0" w:right="0" w:hanging="0"/>
              <w:jc w:val="right"/>
              <w:rPr>
                <w:caps w:val="false"/>
                <w:smallCaps w:val="false"/>
              </w:rPr>
            </w:pPr>
            <w:r>
              <w:rPr>
                <w:caps w:val="false"/>
                <w:smallCaps w:val="false"/>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292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Deferred compensation plan asset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0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29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34,964</w:t>
            </w:r>
          </w:p>
        </w:tc>
        <w:tc>
          <w:tcPr>
            <w:tcW w:w="354" w:type="dxa"/>
            <w:tcBorders/>
            <w:shd w:fill="CCEEFF" w:val="clear"/>
            <w:vAlign w:val="center"/>
          </w:tcPr>
          <w:p>
            <w:pPr>
              <w:pStyle w:val="TableContents"/>
              <w:bidi w:val="0"/>
              <w:spacing w:lineRule="auto" w:line="285" w:before="0" w:after="0"/>
              <w:ind w:left="0" w:right="0" w:hanging="0"/>
              <w:jc w:val="left"/>
              <w:rPr/>
            </w:pPr>
            <w:r>
              <w:rPr/>
              <w:t>​</w:t>
            </w:r>
          </w:p>
        </w:tc>
        <w:tc>
          <w:tcPr>
            <w:tcW w:w="55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11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caps w:val="false"/>
                <w:smallCaps w:val="false"/>
              </w:rPr>
            </w:pPr>
            <w:r>
              <w:rPr>
                <w:caps w:val="false"/>
                <w:smallCaps w:val="false"/>
              </w:rPr>
              <w:t>—</w:t>
            </w:r>
          </w:p>
        </w:tc>
        <w:tc>
          <w:tcPr>
            <w:tcW w:w="354" w:type="dxa"/>
            <w:tcBorders/>
            <w:shd w:fill="CCEEFF" w:val="clear"/>
            <w:vAlign w:val="center"/>
          </w:tcPr>
          <w:p>
            <w:pPr>
              <w:pStyle w:val="TableContents"/>
              <w:bidi w:val="0"/>
              <w:spacing w:lineRule="auto" w:line="285" w:before="0" w:after="0"/>
              <w:ind w:left="0" w:right="0" w:hanging="0"/>
              <w:jc w:val="left"/>
              <w:rPr/>
            </w:pPr>
            <w:r>
              <w:rPr/>
              <w:t>​</w:t>
            </w:r>
          </w:p>
        </w:tc>
        <w:tc>
          <w:tcPr>
            <w:tcW w:w="49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1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caps w:val="false"/>
                <w:smallCaps w:val="false"/>
              </w:rPr>
            </w:pPr>
            <w:r>
              <w:rPr>
                <w:caps w:val="false"/>
                <w:smallCaps w:val="false"/>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2926" w:type="dxa"/>
            <w:tcBorders/>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Total assets</w:t>
            </w:r>
          </w:p>
        </w:tc>
        <w:tc>
          <w:tcPr>
            <w:tcW w:w="346" w:type="dxa"/>
            <w:tcBorders/>
            <w:vAlign w:val="center"/>
          </w:tcPr>
          <w:p>
            <w:pPr>
              <w:pStyle w:val="TableContents"/>
              <w:bidi w:val="0"/>
              <w:spacing w:lineRule="auto" w:line="285" w:before="0" w:after="0"/>
              <w:ind w:left="0" w:right="0" w:hanging="0"/>
              <w:jc w:val="left"/>
              <w:rPr/>
            </w:pPr>
            <w:r>
              <w:rPr/>
              <w:t>​</w:t>
            </w:r>
          </w:p>
        </w:tc>
        <w:tc>
          <w:tcPr>
            <w:tcW w:w="40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29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34,964</w:t>
            </w:r>
          </w:p>
        </w:tc>
        <w:tc>
          <w:tcPr>
            <w:tcW w:w="354" w:type="dxa"/>
            <w:tcBorders/>
            <w:vAlign w:val="center"/>
          </w:tcPr>
          <w:p>
            <w:pPr>
              <w:pStyle w:val="TableContents"/>
              <w:bidi w:val="0"/>
              <w:spacing w:lineRule="auto" w:line="285" w:before="0" w:after="0"/>
              <w:ind w:left="0" w:right="0" w:hanging="0"/>
              <w:jc w:val="left"/>
              <w:rPr/>
            </w:pPr>
            <w:r>
              <w:rPr/>
              <w:t>​</w:t>
            </w:r>
          </w:p>
        </w:tc>
        <w:tc>
          <w:tcPr>
            <w:tcW w:w="55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1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395</w:t>
            </w:r>
          </w:p>
        </w:tc>
        <w:tc>
          <w:tcPr>
            <w:tcW w:w="354" w:type="dxa"/>
            <w:tcBorders/>
            <w:vAlign w:val="center"/>
          </w:tcPr>
          <w:p>
            <w:pPr>
              <w:pStyle w:val="TableContents"/>
              <w:bidi w:val="0"/>
              <w:spacing w:lineRule="auto" w:line="285" w:before="0" w:after="0"/>
              <w:ind w:left="0" w:right="0" w:hanging="0"/>
              <w:jc w:val="left"/>
              <w:rPr/>
            </w:pPr>
            <w:r>
              <w:rPr/>
              <w:t>​</w:t>
            </w:r>
          </w:p>
        </w:tc>
        <w:tc>
          <w:tcPr>
            <w:tcW w:w="49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1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caps w:val="false"/>
                <w:smallCaps w:val="false"/>
              </w:rPr>
            </w:pPr>
            <w:r>
              <w:rPr>
                <w:caps w:val="false"/>
                <w:smallCaps w:val="false"/>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292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02" w:type="dxa"/>
            <w:tcBorders/>
            <w:shd w:fill="CCEEFF" w:val="clear"/>
            <w:vAlign w:val="center"/>
          </w:tcPr>
          <w:p>
            <w:pPr>
              <w:pStyle w:val="TableContents"/>
              <w:bidi w:val="0"/>
              <w:spacing w:lineRule="auto" w:line="285" w:before="0" w:after="0"/>
              <w:ind w:left="0" w:right="0" w:hanging="0"/>
              <w:jc w:val="right"/>
              <w:rPr/>
            </w:pPr>
            <w:r>
              <w:rPr/>
              <w:t>​</w:t>
            </w:r>
          </w:p>
        </w:tc>
        <w:tc>
          <w:tcPr>
            <w:tcW w:w="1294" w:type="dxa"/>
            <w:tcBorders/>
            <w:shd w:fill="CCEEFF" w:val="clear"/>
            <w:vAlign w:val="center"/>
          </w:tcPr>
          <w:p>
            <w:pPr>
              <w:pStyle w:val="TableContents"/>
              <w:bidi w:val="0"/>
              <w:spacing w:lineRule="auto" w:line="285" w:before="0" w:after="0"/>
              <w:ind w:left="0" w:right="0" w:hanging="0"/>
              <w:jc w:val="right"/>
              <w:rPr/>
            </w:pPr>
            <w:r>
              <w:rPr/>
              <w:t>​</w:t>
            </w:r>
          </w:p>
        </w:tc>
        <w:tc>
          <w:tcPr>
            <w:tcW w:w="354" w:type="dxa"/>
            <w:tcBorders/>
            <w:shd w:fill="CCEEFF" w:val="clear"/>
            <w:vAlign w:val="center"/>
          </w:tcPr>
          <w:p>
            <w:pPr>
              <w:pStyle w:val="TableContents"/>
              <w:bidi w:val="0"/>
              <w:spacing w:lineRule="auto" w:line="285" w:before="0" w:after="0"/>
              <w:ind w:left="0" w:right="0" w:hanging="0"/>
              <w:jc w:val="left"/>
              <w:rPr/>
            </w:pPr>
            <w:r>
              <w:rPr/>
              <w:t>​</w:t>
            </w:r>
          </w:p>
        </w:tc>
        <w:tc>
          <w:tcPr>
            <w:tcW w:w="556" w:type="dxa"/>
            <w:tcBorders/>
            <w:shd w:fill="CCEEFF" w:val="clear"/>
            <w:vAlign w:val="center"/>
          </w:tcPr>
          <w:p>
            <w:pPr>
              <w:pStyle w:val="TableContents"/>
              <w:bidi w:val="0"/>
              <w:spacing w:lineRule="auto" w:line="285" w:before="0" w:after="0"/>
              <w:ind w:left="0" w:right="0" w:hanging="0"/>
              <w:jc w:val="right"/>
              <w:rPr/>
            </w:pPr>
            <w:r>
              <w:rPr/>
              <w:t>​</w:t>
            </w:r>
          </w:p>
        </w:tc>
        <w:tc>
          <w:tcPr>
            <w:tcW w:w="1110" w:type="dxa"/>
            <w:tcBorders/>
            <w:shd w:fill="CCEEFF" w:val="clear"/>
            <w:vAlign w:val="center"/>
          </w:tcPr>
          <w:p>
            <w:pPr>
              <w:pStyle w:val="TableContents"/>
              <w:bidi w:val="0"/>
              <w:spacing w:lineRule="auto" w:line="285" w:before="0" w:after="0"/>
              <w:ind w:left="0" w:right="0" w:hanging="0"/>
              <w:jc w:val="right"/>
              <w:rPr/>
            </w:pPr>
            <w:r>
              <w:rPr/>
              <w:t>​</w:t>
            </w:r>
          </w:p>
        </w:tc>
        <w:tc>
          <w:tcPr>
            <w:tcW w:w="354" w:type="dxa"/>
            <w:tcBorders/>
            <w:shd w:fill="CCEEFF" w:val="clear"/>
            <w:vAlign w:val="center"/>
          </w:tcPr>
          <w:p>
            <w:pPr>
              <w:pStyle w:val="TableContents"/>
              <w:bidi w:val="0"/>
              <w:spacing w:lineRule="auto" w:line="285" w:before="0" w:after="0"/>
              <w:ind w:left="0" w:right="0" w:hanging="0"/>
              <w:jc w:val="left"/>
              <w:rPr/>
            </w:pPr>
            <w:r>
              <w:rPr/>
              <w:t>​</w:t>
            </w:r>
          </w:p>
        </w:tc>
        <w:tc>
          <w:tcPr>
            <w:tcW w:w="492" w:type="dxa"/>
            <w:tcBorders/>
            <w:shd w:fill="CCEEFF" w:val="clear"/>
            <w:vAlign w:val="center"/>
          </w:tcPr>
          <w:p>
            <w:pPr>
              <w:pStyle w:val="TableContents"/>
              <w:bidi w:val="0"/>
              <w:spacing w:lineRule="auto" w:line="285" w:before="0" w:after="0"/>
              <w:ind w:left="0" w:right="0" w:hanging="0"/>
              <w:jc w:val="right"/>
              <w:rPr/>
            </w:pPr>
            <w:r>
              <w:rPr/>
              <w:t>​</w:t>
            </w:r>
          </w:p>
        </w:tc>
        <w:tc>
          <w:tcPr>
            <w:tcW w:w="814"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2926" w:type="dxa"/>
            <w:tcBorders/>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Liabilities</w:t>
            </w:r>
          </w:p>
        </w:tc>
        <w:tc>
          <w:tcPr>
            <w:tcW w:w="346" w:type="dxa"/>
            <w:tcBorders/>
            <w:vAlign w:val="center"/>
          </w:tcPr>
          <w:p>
            <w:pPr>
              <w:pStyle w:val="TableContents"/>
              <w:bidi w:val="0"/>
              <w:spacing w:lineRule="auto" w:line="285" w:before="0" w:after="0"/>
              <w:ind w:left="0" w:right="0" w:hanging="0"/>
              <w:jc w:val="left"/>
              <w:rPr/>
            </w:pPr>
            <w:r>
              <w:rPr/>
              <w:t>​</w:t>
            </w:r>
          </w:p>
        </w:tc>
        <w:tc>
          <w:tcPr>
            <w:tcW w:w="402" w:type="dxa"/>
            <w:tcBorders/>
            <w:vAlign w:val="center"/>
          </w:tcPr>
          <w:p>
            <w:pPr>
              <w:pStyle w:val="TableContents"/>
              <w:bidi w:val="0"/>
              <w:spacing w:lineRule="auto" w:line="285" w:before="0" w:after="0"/>
              <w:ind w:left="0" w:right="0" w:hanging="0"/>
              <w:jc w:val="right"/>
              <w:rPr/>
            </w:pPr>
            <w:r>
              <w:rPr/>
              <w:t>​</w:t>
            </w:r>
          </w:p>
        </w:tc>
        <w:tc>
          <w:tcPr>
            <w:tcW w:w="1294" w:type="dxa"/>
            <w:tcBorders/>
            <w:vAlign w:val="center"/>
          </w:tcPr>
          <w:p>
            <w:pPr>
              <w:pStyle w:val="TableContents"/>
              <w:bidi w:val="0"/>
              <w:spacing w:lineRule="auto" w:line="285" w:before="0" w:after="0"/>
              <w:ind w:left="0" w:right="0" w:hanging="0"/>
              <w:jc w:val="right"/>
              <w:rPr/>
            </w:pPr>
            <w:r>
              <w:rPr/>
              <w:t>​</w:t>
            </w:r>
          </w:p>
        </w:tc>
        <w:tc>
          <w:tcPr>
            <w:tcW w:w="354" w:type="dxa"/>
            <w:tcBorders/>
            <w:vAlign w:val="center"/>
          </w:tcPr>
          <w:p>
            <w:pPr>
              <w:pStyle w:val="TableContents"/>
              <w:bidi w:val="0"/>
              <w:spacing w:lineRule="auto" w:line="285" w:before="0" w:after="0"/>
              <w:ind w:left="0" w:right="0" w:hanging="0"/>
              <w:jc w:val="left"/>
              <w:rPr/>
            </w:pPr>
            <w:r>
              <w:rPr/>
              <w:t>​</w:t>
            </w:r>
          </w:p>
        </w:tc>
        <w:tc>
          <w:tcPr>
            <w:tcW w:w="556" w:type="dxa"/>
            <w:tcBorders/>
            <w:vAlign w:val="center"/>
          </w:tcPr>
          <w:p>
            <w:pPr>
              <w:pStyle w:val="TableContents"/>
              <w:bidi w:val="0"/>
              <w:spacing w:lineRule="auto" w:line="285" w:before="0" w:after="0"/>
              <w:ind w:left="0" w:right="0" w:hanging="0"/>
              <w:jc w:val="right"/>
              <w:rPr/>
            </w:pPr>
            <w:r>
              <w:rPr/>
              <w:t>​</w:t>
            </w:r>
          </w:p>
        </w:tc>
        <w:tc>
          <w:tcPr>
            <w:tcW w:w="1110" w:type="dxa"/>
            <w:tcBorders/>
            <w:vAlign w:val="center"/>
          </w:tcPr>
          <w:p>
            <w:pPr>
              <w:pStyle w:val="TableContents"/>
              <w:bidi w:val="0"/>
              <w:spacing w:lineRule="auto" w:line="285" w:before="0" w:after="0"/>
              <w:ind w:left="0" w:right="0" w:hanging="0"/>
              <w:jc w:val="right"/>
              <w:rPr/>
            </w:pPr>
            <w:r>
              <w:rPr/>
              <w:t>​</w:t>
            </w:r>
          </w:p>
        </w:tc>
        <w:tc>
          <w:tcPr>
            <w:tcW w:w="354" w:type="dxa"/>
            <w:tcBorders/>
            <w:vAlign w:val="center"/>
          </w:tcPr>
          <w:p>
            <w:pPr>
              <w:pStyle w:val="TableContents"/>
              <w:bidi w:val="0"/>
              <w:spacing w:lineRule="auto" w:line="285" w:before="0" w:after="0"/>
              <w:ind w:left="0" w:right="0" w:hanging="0"/>
              <w:jc w:val="left"/>
              <w:rPr/>
            </w:pPr>
            <w:r>
              <w:rPr/>
              <w:t>​</w:t>
            </w:r>
          </w:p>
        </w:tc>
        <w:tc>
          <w:tcPr>
            <w:tcW w:w="492" w:type="dxa"/>
            <w:tcBorders/>
            <w:vAlign w:val="center"/>
          </w:tcPr>
          <w:p>
            <w:pPr>
              <w:pStyle w:val="TableContents"/>
              <w:bidi w:val="0"/>
              <w:spacing w:lineRule="auto" w:line="285" w:before="0" w:after="0"/>
              <w:ind w:left="0" w:right="0" w:hanging="0"/>
              <w:jc w:val="right"/>
              <w:rPr/>
            </w:pPr>
            <w:r>
              <w:rPr/>
              <w:t>​</w:t>
            </w:r>
          </w:p>
        </w:tc>
        <w:tc>
          <w:tcPr>
            <w:tcW w:w="814"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292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Derivative instruments,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0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29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54" w:type="dxa"/>
            <w:tcBorders/>
            <w:shd w:fill="CCEEFF" w:val="clear"/>
            <w:vAlign w:val="center"/>
          </w:tcPr>
          <w:p>
            <w:pPr>
              <w:pStyle w:val="TableContents"/>
              <w:bidi w:val="0"/>
              <w:spacing w:lineRule="auto" w:line="285" w:before="0" w:after="0"/>
              <w:ind w:left="0" w:right="0" w:hanging="0"/>
              <w:jc w:val="left"/>
              <w:rPr/>
            </w:pPr>
            <w:r>
              <w:rPr/>
              <w:t>​</w:t>
            </w:r>
          </w:p>
        </w:tc>
        <w:tc>
          <w:tcPr>
            <w:tcW w:w="55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1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54" w:type="dxa"/>
            <w:tcBorders/>
            <w:shd w:fill="CCEEFF" w:val="clear"/>
            <w:vAlign w:val="center"/>
          </w:tcPr>
          <w:p>
            <w:pPr>
              <w:pStyle w:val="TableContents"/>
              <w:bidi w:val="0"/>
              <w:spacing w:lineRule="auto" w:line="285" w:before="0" w:after="0"/>
              <w:ind w:left="0" w:right="0" w:hanging="0"/>
              <w:jc w:val="left"/>
              <w:rPr/>
            </w:pPr>
            <w:r>
              <w:rPr/>
              <w:t>​</w:t>
            </w:r>
          </w:p>
        </w:tc>
        <w:tc>
          <w:tcPr>
            <w:tcW w:w="49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1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2926" w:type="dxa"/>
            <w:tcBorders/>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Total liabilities</w:t>
            </w:r>
          </w:p>
        </w:tc>
        <w:tc>
          <w:tcPr>
            <w:tcW w:w="346" w:type="dxa"/>
            <w:tcBorders/>
            <w:vAlign w:val="center"/>
          </w:tcPr>
          <w:p>
            <w:pPr>
              <w:pStyle w:val="TableContents"/>
              <w:bidi w:val="0"/>
              <w:spacing w:lineRule="auto" w:line="285" w:before="0" w:after="0"/>
              <w:ind w:left="0" w:right="0" w:hanging="0"/>
              <w:jc w:val="left"/>
              <w:rPr/>
            </w:pPr>
            <w:r>
              <w:rPr/>
              <w:t>​</w:t>
            </w:r>
          </w:p>
        </w:tc>
        <w:tc>
          <w:tcPr>
            <w:tcW w:w="40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29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54" w:type="dxa"/>
            <w:tcBorders/>
            <w:vAlign w:val="center"/>
          </w:tcPr>
          <w:p>
            <w:pPr>
              <w:pStyle w:val="TableContents"/>
              <w:bidi w:val="0"/>
              <w:spacing w:lineRule="auto" w:line="285" w:before="0" w:after="0"/>
              <w:ind w:left="0" w:right="0" w:hanging="0"/>
              <w:jc w:val="left"/>
              <w:rPr/>
            </w:pPr>
            <w:r>
              <w:rPr/>
              <w:t>​</w:t>
            </w:r>
          </w:p>
        </w:tc>
        <w:tc>
          <w:tcPr>
            <w:tcW w:w="55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1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54" w:type="dxa"/>
            <w:tcBorders/>
            <w:vAlign w:val="center"/>
          </w:tcPr>
          <w:p>
            <w:pPr>
              <w:pStyle w:val="TableContents"/>
              <w:bidi w:val="0"/>
              <w:spacing w:lineRule="auto" w:line="285" w:before="0" w:after="0"/>
              <w:ind w:left="0" w:right="0" w:hanging="0"/>
              <w:jc w:val="left"/>
              <w:rPr/>
            </w:pPr>
            <w:r>
              <w:rPr/>
              <w:t>​</w:t>
            </w:r>
          </w:p>
        </w:tc>
        <w:tc>
          <w:tcPr>
            <w:tcW w:w="49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1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i/>
          <w:sz w:val="20"/>
        </w:rPr>
        <w:t>Deferred Compensation Plan</w:t>
      </w:r>
      <w:r>
        <w:rPr>
          <w:rFonts w:ascii="Arial;Helvetica;sans-serif" w:hAnsi="Arial;Helvetica;sans-serif"/>
          <w:sz w:val="20"/>
        </w:rPr>
        <w:t xml:space="preserve"> — The Company maintains a non-qualified deferred compensation plan for certain eligible employees. The deferred compensation asset represents the combined fair value of all the funds based on quoted values and market observable inputs.</w:t>
      </w:r>
    </w:p>
    <w:p>
      <w:pPr>
        <w:pStyle w:val="TextBody"/>
        <w:bidi w:val="0"/>
        <w:spacing w:lineRule="auto" w:line="285" w:before="0" w:after="0"/>
        <w:ind w:left="0" w:right="0" w:hanging="0"/>
        <w:jc w:val="both"/>
        <w:rPr/>
      </w:pPr>
      <w:bookmarkStart w:id="1559" w:name="_Hlk519691510"/>
      <w:bookmarkEnd w:id="1559"/>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120"/>
        <w:ind w:left="0" w:right="0" w:hanging="0"/>
        <w:jc w:val="left"/>
        <w:rPr>
          <w:rFonts w:ascii="Arial;Helvetica;sans-serif" w:hAnsi="Arial;Helvetica;sans-serif"/>
          <w:sz w:val="20"/>
        </w:rPr>
      </w:pPr>
      <w:bookmarkStart w:id="1560" w:name="Tc_5qWP59zg30ujtUu_X9468A_6_11"/>
      <w:bookmarkStart w:id="1561" w:name="Tc_8YOrBMoG6UOKqrXPb5V52w_6_8"/>
      <w:bookmarkStart w:id="1562" w:name="Tc_COBEAIjmzEedxTuZ-pGKGg_6_5"/>
      <w:bookmarkStart w:id="1563" w:name="Tc_ZHt8_4x7bUOWlQY1SZWhtQ_6_2"/>
      <w:bookmarkStart w:id="1564" w:name="Tc_7usIb8tGJ0207YjJODgn-A_6_0"/>
      <w:bookmarkStart w:id="1565" w:name="Tc_P9WyDtYbaEaFRK0fmwJ9DA_5_0"/>
      <w:bookmarkStart w:id="1566" w:name="Tc_czv6WCd950mjnKZMPczzsg_4_11"/>
      <w:bookmarkStart w:id="1567" w:name="Tc_rkociSsbrEinHXMTJ_sNow_4_8"/>
      <w:bookmarkStart w:id="1568" w:name="Tc_mjG_ZPtX6UOpy1iqe0j1eg_4_5"/>
      <w:bookmarkStart w:id="1569" w:name="Tc_wA1V69G-ckmxkHSVtQEFjg_4_2"/>
      <w:bookmarkStart w:id="1570" w:name="Tc_KTqbUPtWQU68gOwZPLj8Bg_4_0"/>
      <w:bookmarkStart w:id="1571" w:name="Tc_-zHFxCeVBEWhyOBKC5Qn_g_3_11"/>
      <w:bookmarkStart w:id="1572" w:name="Tc_9YsevtEz2kKTIIq7AmtzTg_3_8"/>
      <w:bookmarkStart w:id="1573" w:name="Tc_FIwtzUDUxEeegcrH-8H1qA_3_5"/>
      <w:bookmarkStart w:id="1574" w:name="Tc_UmtV3OuZtE-15XM-_ATRew_3_2"/>
      <w:bookmarkStart w:id="1575" w:name="Tc_rMa2-cRiRkmJ533YDZaxHQ_2_8"/>
      <w:bookmarkStart w:id="1576" w:name="Tc_zzKD9cRRt0qTyjcZR9WsqQ_2_2"/>
      <w:bookmarkStart w:id="1577" w:name="Tc_Vd31Dt7VFkKFzVbWFs1VIw_1_8"/>
      <w:bookmarkStart w:id="1578" w:name="Tc_fl075LT5NUGkgCzNKDjGaA_1_2"/>
      <w:bookmarkStart w:id="1579" w:name="_8d14db14_f40f_4a93_89c8_b2023ad04d38"/>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r>
        <w:rPr>
          <w:rFonts w:ascii="Arial;Helvetica;sans-serif" w:hAnsi="Arial;Helvetica;sans-serif"/>
          <w:b/>
          <w:i w:val="false"/>
          <w:caps w:val="false"/>
          <w:smallCaps w:val="false"/>
          <w:sz w:val="20"/>
        </w:rPr>
        <w:t>(7)</w:t>
      </w:r>
      <w:r>
        <w:rPr>
          <w:rFonts w:ascii="Arial;Helvetica;sans-serif" w:hAnsi="Arial;Helvetica;sans-serif"/>
          <w:b/>
          <w:sz w:val="20"/>
        </w:rPr>
        <w:t>IMPAIRMENT OF ASSETS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Company evaluated the recoverability of its leasehold improvement assets at certain customer engagement centers, building and land assets, as well as all internally developed software projects. An asset group is considered to be impaired when the anticipated undiscounted future cash flows of its asset group is estimated to be less than the asset group’s carrying value. The amount of impairment recognized is the difference between the carrying value of the asset group and its fair value. To determine fair value, the Company used Level 3 inputs in its discounted cash flows analysis. Assumptions included the amount and timing of estimated future cash flows and assumed discount rates.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During the three and six months ended June 30, 2026 and 2025, the Company recognized impairment losses related to leasehold improvements assets, right of use lease assets, capitalized software and certain computer equipment within each reportable segment as follows (in thousands):</w:t>
      </w:r>
    </w:p>
    <w:tbl>
      <w:tblPr>
        <w:tblW w:w="5735" w:type="dxa"/>
        <w:jc w:val="left"/>
        <w:tblInd w:w="0" w:type="dxa"/>
        <w:tblLayout w:type="fixed"/>
        <w:tblCellMar>
          <w:top w:w="0" w:type="dxa"/>
          <w:left w:w="0" w:type="dxa"/>
          <w:bottom w:w="0" w:type="dxa"/>
          <w:right w:w="0" w:type="dxa"/>
        </w:tblCellMar>
      </w:tblPr>
      <w:tblGrid>
        <w:gridCol w:w="1276"/>
        <w:gridCol w:w="109"/>
        <w:gridCol w:w="228"/>
        <w:gridCol w:w="618"/>
        <w:gridCol w:w="374"/>
        <w:gridCol w:w="228"/>
        <w:gridCol w:w="455"/>
        <w:gridCol w:w="346"/>
        <w:gridCol w:w="211"/>
        <w:gridCol w:w="571"/>
        <w:gridCol w:w="346"/>
        <w:gridCol w:w="211"/>
        <w:gridCol w:w="571"/>
        <w:gridCol w:w="191"/>
      </w:tblGrid>
      <w:tr>
        <w:trPr/>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810260" cy="175260"/>
                      <wp:effectExtent l="0" t="0" r="0" b="0"/>
                      <wp:wrapNone/>
                      <wp:docPr id="354" name="Frame354"/>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9215" cy="175260"/>
                      <wp:effectExtent l="0" t="0" r="0" b="0"/>
                      <wp:wrapNone/>
                      <wp:docPr id="355" name="Frame3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44780" cy="175260"/>
                      <wp:effectExtent l="0" t="0" r="0" b="0"/>
                      <wp:wrapNone/>
                      <wp:docPr id="356" name="Frame356"/>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392430" cy="175260"/>
                      <wp:effectExtent l="0" t="0" r="0" b="0"/>
                      <wp:wrapNone/>
                      <wp:docPr id="357" name="Frame357"/>
                      <a:graphic xmlns:a="http://schemas.openxmlformats.org/drawingml/2006/main">
                        <a:graphicData uri="http://schemas.microsoft.com/office/word/2010/wordprocessingShape">
                          <wps:wsp>
                            <wps:cNvSpPr txBox="1"/>
                            <wps:spPr>
                              <a:xfrm>
                                <a:off x="0" y="0"/>
                                <a:ext cx="3924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37490" cy="175260"/>
                      <wp:effectExtent l="0" t="0" r="0" b="0"/>
                      <wp:wrapNone/>
                      <wp:docPr id="358" name="Frame358"/>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144780" cy="175260"/>
                      <wp:effectExtent l="0" t="0" r="0" b="0"/>
                      <wp:wrapNone/>
                      <wp:docPr id="359" name="Frame359"/>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88925" cy="175260"/>
                      <wp:effectExtent l="0" t="0" r="0" b="0"/>
                      <wp:wrapNone/>
                      <wp:docPr id="360" name="Frame360"/>
                      <a:graphic xmlns:a="http://schemas.openxmlformats.org/drawingml/2006/main">
                        <a:graphicData uri="http://schemas.microsoft.com/office/word/2010/wordprocessingShape">
                          <wps:wsp>
                            <wps:cNvSpPr txBox="1"/>
                            <wps:spPr>
                              <a:xfrm>
                                <a:off x="0" y="0"/>
                                <a:ext cx="2889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19710" cy="175260"/>
                      <wp:effectExtent l="0" t="0" r="0" b="0"/>
                      <wp:wrapNone/>
                      <wp:docPr id="361" name="Frame3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133985" cy="175260"/>
                      <wp:effectExtent l="0" t="0" r="0" b="0"/>
                      <wp:wrapNone/>
                      <wp:docPr id="362" name="Frame3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362585" cy="175260"/>
                      <wp:effectExtent l="0" t="0" r="0" b="0"/>
                      <wp:wrapNone/>
                      <wp:docPr id="363" name="Frame36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19710" cy="175260"/>
                      <wp:effectExtent l="0" t="0" r="0" b="0"/>
                      <wp:wrapNone/>
                      <wp:docPr id="364" name="Frame3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33985" cy="175260"/>
                      <wp:effectExtent l="0" t="0" r="0" b="0"/>
                      <wp:wrapNone/>
                      <wp:docPr id="365" name="Frame3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362585" cy="175260"/>
                      <wp:effectExtent l="0" t="0" r="0" b="0"/>
                      <wp:wrapNone/>
                      <wp:docPr id="366" name="Frame36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21285" cy="175260"/>
                      <wp:effectExtent l="0" t="0" r="0" b="0"/>
                      <wp:wrapNone/>
                      <wp:docPr id="367" name="Frame367"/>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27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903" w:type="dxa"/>
            <w:gridSpan w:val="5"/>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Three Months Ended </w:t>
            </w:r>
          </w:p>
        </w:tc>
        <w:tc>
          <w:tcPr>
            <w:tcW w:w="346" w:type="dxa"/>
            <w:tcBorders/>
            <w:vAlign w:val="center"/>
          </w:tcPr>
          <w:p>
            <w:pPr>
              <w:pStyle w:val="TableContents"/>
              <w:bidi w:val="0"/>
              <w:spacing w:lineRule="auto" w:line="285" w:before="0" w:after="0"/>
              <w:ind w:left="0" w:right="0" w:hanging="0"/>
              <w:jc w:val="left"/>
              <w:rPr/>
            </w:pPr>
            <w:r>
              <w:rPr/>
              <w:t>​</w:t>
            </w:r>
          </w:p>
        </w:tc>
        <w:tc>
          <w:tcPr>
            <w:tcW w:w="1910" w:type="dxa"/>
            <w:gridSpan w:val="5"/>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Six Months Ended </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127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903"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c>
          <w:tcPr>
            <w:tcW w:w="346" w:type="dxa"/>
            <w:tcBorders/>
            <w:vAlign w:val="center"/>
          </w:tcPr>
          <w:p>
            <w:pPr>
              <w:pStyle w:val="TableContents"/>
              <w:bidi w:val="0"/>
              <w:spacing w:lineRule="auto" w:line="285" w:before="0" w:after="0"/>
              <w:ind w:left="0" w:right="0" w:hanging="0"/>
              <w:jc w:val="center"/>
              <w:rPr/>
            </w:pPr>
            <w:r>
              <w:rPr/>
              <w:t>​</w:t>
            </w:r>
          </w:p>
        </w:tc>
        <w:tc>
          <w:tcPr>
            <w:tcW w:w="191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c>
          <w:tcPr>
            <w:tcW w:w="191" w:type="dxa"/>
            <w:tcBorders/>
            <w:vAlign w:val="center"/>
          </w:tcPr>
          <w:p>
            <w:pPr>
              <w:pStyle w:val="TableContents"/>
              <w:bidi w:val="0"/>
              <w:spacing w:lineRule="auto" w:line="285" w:before="0" w:after="0"/>
              <w:ind w:left="0" w:right="0" w:hanging="0"/>
              <w:jc w:val="center"/>
              <w:rPr/>
            </w:pPr>
            <w:r>
              <w:rPr/>
              <w:t>​</w:t>
            </w:r>
          </w:p>
        </w:tc>
      </w:tr>
      <w:tr>
        <w:trPr/>
        <w:tc>
          <w:tcPr>
            <w:tcW w:w="127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84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374" w:type="dxa"/>
            <w:tcBorders/>
            <w:vAlign w:val="center"/>
          </w:tcPr>
          <w:p>
            <w:pPr>
              <w:pStyle w:val="TableContents"/>
              <w:bidi w:val="0"/>
              <w:spacing w:lineRule="auto" w:line="285" w:before="0" w:after="0"/>
              <w:ind w:left="0" w:right="0" w:hanging="0"/>
              <w:jc w:val="center"/>
              <w:rPr/>
            </w:pPr>
            <w:r>
              <w:rPr/>
              <w:t>  ​ ​ ​</w:t>
            </w:r>
          </w:p>
        </w:tc>
        <w:tc>
          <w:tcPr>
            <w:tcW w:w="68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46" w:type="dxa"/>
            <w:tcBorders/>
            <w:vAlign w:val="center"/>
          </w:tcPr>
          <w:p>
            <w:pPr>
              <w:pStyle w:val="TableContents"/>
              <w:bidi w:val="0"/>
              <w:spacing w:lineRule="auto" w:line="285"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346" w:type="dxa"/>
            <w:tcBorders/>
            <w:vAlign w:val="center"/>
          </w:tcPr>
          <w:p>
            <w:pPr>
              <w:pStyle w:val="TableContents"/>
              <w:bidi w:val="0"/>
              <w:spacing w:lineRule="auto" w:line="285"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127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TTEC Digital</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8"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18" w:type="dxa"/>
            <w:tcBorders/>
            <w:shd w:fill="CCEEFF" w:val="clear"/>
            <w:vAlign w:val="center"/>
          </w:tcPr>
          <w:p>
            <w:pPr>
              <w:pStyle w:val="TableContents"/>
              <w:bidi w:val="0"/>
              <w:spacing w:lineRule="auto" w:line="285" w:before="0" w:after="0"/>
              <w:ind w:left="0" w:right="0" w:hanging="0"/>
              <w:jc w:val="right"/>
              <w:rPr/>
            </w:pPr>
            <w:r>
              <w:rPr/>
              <w:t>—</w:t>
            </w:r>
          </w:p>
        </w:tc>
        <w:tc>
          <w:tcPr>
            <w:tcW w:w="374" w:type="dxa"/>
            <w:tcBorders/>
            <w:shd w:fill="CCEEFF" w:val="clear"/>
            <w:vAlign w:val="center"/>
          </w:tcPr>
          <w:p>
            <w:pPr>
              <w:pStyle w:val="TableContents"/>
              <w:bidi w:val="0"/>
              <w:spacing w:lineRule="auto" w:line="285" w:before="0" w:after="0"/>
              <w:ind w:left="0" w:right="0" w:hanging="0"/>
              <w:jc w:val="left"/>
              <w:rPr/>
            </w:pPr>
            <w:r>
              <w:rPr/>
              <w:t> </w:t>
            </w:r>
          </w:p>
        </w:tc>
        <w:tc>
          <w:tcPr>
            <w:tcW w:w="228"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455"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197</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57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57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238</w:t>
            </w:r>
          </w:p>
        </w:tc>
        <w:tc>
          <w:tcPr>
            <w:tcW w:w="191" w:type="dxa"/>
            <w:tcBorders/>
            <w:shd w:fill="CCEEFF" w:val="clear"/>
            <w:vAlign w:val="center"/>
          </w:tcPr>
          <w:p>
            <w:pPr>
              <w:pStyle w:val="TableContents"/>
              <w:bidi w:val="0"/>
              <w:spacing w:lineRule="auto" w:line="285" w:before="0" w:after="0"/>
              <w:ind w:left="0" w:right="0" w:hanging="0"/>
              <w:jc w:val="right"/>
              <w:rPr/>
            </w:pPr>
            <w:r>
              <w:rPr/>
              <w:t>​</w:t>
            </w:r>
          </w:p>
        </w:tc>
      </w:tr>
      <w:tr>
        <w:trPr/>
        <w:tc>
          <w:tcPr>
            <w:tcW w:w="127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TTEC Engage</w:t>
            </w:r>
          </w:p>
        </w:tc>
        <w:tc>
          <w:tcPr>
            <w:tcW w:w="109" w:type="dxa"/>
            <w:tcBorders/>
            <w:vAlign w:val="center"/>
          </w:tcPr>
          <w:p>
            <w:pPr>
              <w:pStyle w:val="TableContents"/>
              <w:bidi w:val="0"/>
              <w:spacing w:lineRule="auto" w:line="285"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61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1,894</w:t>
            </w:r>
          </w:p>
        </w:tc>
        <w:tc>
          <w:tcPr>
            <w:tcW w:w="374" w:type="dxa"/>
            <w:tcBorders/>
            <w:vAlign w:val="center"/>
          </w:tcPr>
          <w:p>
            <w:pPr>
              <w:pStyle w:val="TableContents"/>
              <w:bidi w:val="0"/>
              <w:spacing w:lineRule="auto" w:line="285"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45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567</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2,414</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1,287</w:t>
            </w:r>
          </w:p>
        </w:tc>
        <w:tc>
          <w:tcPr>
            <w:tcW w:w="191" w:type="dxa"/>
            <w:tcBorders/>
            <w:vAlign w:val="center"/>
          </w:tcPr>
          <w:p>
            <w:pPr>
              <w:pStyle w:val="TableContents"/>
              <w:bidi w:val="0"/>
              <w:spacing w:lineRule="auto" w:line="285" w:before="0" w:after="0"/>
              <w:ind w:left="0" w:right="0" w:hanging="0"/>
              <w:jc w:val="right"/>
              <w:rPr/>
            </w:pPr>
            <w:r>
              <w:rPr/>
              <w:t>​</w:t>
            </w:r>
          </w:p>
        </w:tc>
      </w:tr>
      <w:tr>
        <w:trPr/>
        <w:tc>
          <w:tcPr>
            <w:tcW w:w="127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Total</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1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1,894</w:t>
            </w:r>
          </w:p>
        </w:tc>
        <w:tc>
          <w:tcPr>
            <w:tcW w:w="374" w:type="dxa"/>
            <w:tcBorders/>
            <w:shd w:fill="CCEEFF" w:val="clear"/>
            <w:vAlign w:val="center"/>
          </w:tcPr>
          <w:p>
            <w:pPr>
              <w:pStyle w:val="TableContents"/>
              <w:bidi w:val="0"/>
              <w:spacing w:lineRule="auto" w:line="285" w:before="0" w:after="0"/>
              <w:ind w:left="0" w:right="0" w:hanging="0"/>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45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764</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5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2,414</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5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1,525</w:t>
            </w:r>
          </w:p>
        </w:tc>
        <w:tc>
          <w:tcPr>
            <w:tcW w:w="191" w:type="dxa"/>
            <w:tcBorders/>
            <w:shd w:fill="CCEEFF" w:val="clear"/>
            <w:vAlign w:val="center"/>
          </w:tcPr>
          <w:p>
            <w:pPr>
              <w:pStyle w:val="TableContents"/>
              <w:bidi w:val="0"/>
              <w:spacing w:lineRule="auto" w:line="285" w:before="0" w:after="0"/>
              <w:ind w:left="0" w:right="0" w:hanging="0"/>
              <w:jc w:val="right"/>
              <w:rPr/>
            </w:pPr>
            <w:r>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18</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TTEC HOLDINGS, INC. AND SUBSIDIARIES</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Notes to Consolidated Financial Statements</w:t>
      </w:r>
    </w:p>
    <w:p>
      <w:pPr>
        <w:pStyle w:val="TextBody"/>
        <w:bidi w:val="0"/>
        <w:spacing w:lineRule="auto" w:line="285" w:before="0" w:after="24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lineRule="auto" w:line="285" w:before="0" w:after="120"/>
        <w:ind w:left="0" w:right="0" w:hanging="0"/>
        <w:jc w:val="left"/>
        <w:rPr>
          <w:rFonts w:ascii="Arial;Helvetica;sans-serif" w:hAnsi="Arial;Helvetica;sans-serif"/>
          <w:sz w:val="20"/>
        </w:rPr>
      </w:pPr>
      <w:bookmarkStart w:id="1580" w:name="_Hlk173921939"/>
      <w:bookmarkStart w:id="1581" w:name="_Hlk519691496"/>
      <w:bookmarkEnd w:id="1580"/>
      <w:bookmarkEnd w:id="1581"/>
      <w:r>
        <w:rPr>
          <w:rFonts w:ascii="Arial;Helvetica;sans-serif" w:hAnsi="Arial;Helvetica;sans-serif"/>
          <w:b/>
          <w:i w:val="false"/>
          <w:caps w:val="false"/>
          <w:smallCaps w:val="false"/>
          <w:sz w:val="20"/>
        </w:rPr>
        <w:t>(8)</w:t>
      </w:r>
      <w:r>
        <w:rPr>
          <w:rFonts w:ascii="Arial;Helvetica;sans-serif" w:hAnsi="Arial;Helvetica;sans-serif"/>
          <w:b/>
          <w:sz w:val="20"/>
        </w:rPr>
        <w:t>INCOME TAXES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Company accounts for income taxes in accordance with the accounting literature for income taxes, which requires recognition of deferred tax assets and liabilities for the expected future income tax consequences of transactions that have been included in the Consolidated Financial Statements. Under this method, deferred tax assets and liabilities are determined based on the difference between the financial statement and tax basis of assets and liabilities using tax rates in effect for the year in which the differences are expected to reverse. Quarterly, the Company assesses the likelihood that its net deferred tax assets will be recovered. Based on the weight of all available evidence, both positive and negative, the Company records a valuation allowance against deferred tax assets when it is more-likely-than-not that a future tax benefit will not be realized. The Company’s selection of an accounting policy with respect to both the Net CFC Tested Income (“NCTI”) and base erosion and anti-abuse tax (“BEAT”) rules is to compute the related taxes in the period the entity becomes subject to either NCTI or BEAT.</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On July 4, 2025, the One Big Beautiful Bill Act (“OBBBA”) was signed into law, extending key provisions of the 2017 Tax Cuts and Jobs Act. The Company has evaluated the provisions of the new law and determined there was no material impact on the Company’s consolidated financial statements.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At the end of each interim period, the Company is required to estimate its annual effective tax rate for the fiscal year and to use that rate to provide for income taxes for the current year-to-date reporting period. The Company’s 2026 estimated annual effective tax rate of 25.6%, before discrete items, is driven by the distribution of forecasted income between the U.S. and international tax jurisdictions, earnings in international jurisdictions currently under an income tax holiday, and the impact of valuation allowances in the United States and several other jurisdictions. The Company’s effective tax rate for the six months ended June 30, 2026 was 920.4%. This rate was the result of the jurisdictional mix of year-to-date income, foreign currency gains and losses and the impact of the exclusion of losses related to entities with a full valuation allowance.</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Company’s U.S. income tax returns filed for the tax years ending December 31, 2020 to present, remain open tax years. The Company has been notified of the intent to audit or is currently under audit with respect to income taxes for the Philippines for tax year 2024, Canada for tax year 2021, and India for tax years 2017 through 2023. Although the outcome of examinations by taxing authorities are always uncertain, it is the opinion of management that the resolution of these audits will not have a material effect on the Company’s Consolidated Financial Statements.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Organization for Economic Co-operation and Development (OECD), supported by 140 of their member countries, have agreed to implement a minimum 15% tax rate on certain multinational enterprises and have released model guidance. This global minimum tax, known as the Pillar 2 framework, became effective across various countries in 2024, as each country works to enact legislation influenced by the OECD Pillar 2 rules. The Company does not expect the adoption of the Pillar 2 framework to have a material impact on its effective tax rate and the Company continues to evaluate additional guidance released by the OECD, along with the pending and adopted legislation in each of the countries in which it operates.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Company has been granted “Tax Holidays” as an incentive to attract foreign investment by the governments of the Philippines. Generally, a Tax Holiday is an agreement between the Company and a foreign government under which the Company receives certain tax benefits in that country, such as exemption from taxation on profits derived from export-related activities. In the Philippines, the Company has been granted multiple agreements under local laws which result in an overall reduced tax rate. These incentives have varying benefit year over year and expire at various times beginning in 2031. The aggregate benefit to income tax expense for the three months ended June 30, 2026 and 2025 was approximately $0.6 million and $0.6 million, respectively, which had an impact on diluted net income per share of $0.01 and $0.01, respectively. The aggregate benefit to income tax expense for the six months ended June 30, 2026 and 2025 was approximately $1.2 million and $1.2 million, respectively, which had an impact on diluted net income per share of $0.02 and $0.02, respectively.</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19</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TTEC HOLDINGS, INC. AND SUBSIDIARIES</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Notes to Consolidated Financial Statements</w:t>
      </w:r>
    </w:p>
    <w:p>
      <w:pPr>
        <w:pStyle w:val="TextBody"/>
        <w:bidi w:val="0"/>
        <w:spacing w:lineRule="auto" w:line="285" w:before="0" w:after="24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lineRule="auto" w:line="285" w:before="0" w:after="0"/>
        <w:ind w:left="0" w:right="0" w:hanging="0"/>
        <w:jc w:val="left"/>
        <w:rPr/>
      </w:pPr>
      <w:r>
        <w:rPr/>
        <w:t>​</w:t>
      </w:r>
    </w:p>
    <w:p>
      <w:pPr>
        <w:pStyle w:val="TextBody"/>
        <w:bidi w:val="0"/>
        <w:spacing w:lineRule="auto" w:line="285" w:before="0" w:after="120"/>
        <w:ind w:left="0" w:right="0" w:hanging="0"/>
        <w:jc w:val="left"/>
        <w:rPr>
          <w:rFonts w:ascii="Arial;Helvetica;sans-serif" w:hAnsi="Arial;Helvetica;sans-serif"/>
          <w:sz w:val="20"/>
        </w:rPr>
      </w:pPr>
      <w:bookmarkStart w:id="1582" w:name="_Hlk519691531"/>
      <w:bookmarkEnd w:id="1582"/>
      <w:r>
        <w:rPr>
          <w:rFonts w:ascii="Arial;Helvetica;sans-serif" w:hAnsi="Arial;Helvetica;sans-serif"/>
          <w:b/>
          <w:i w:val="false"/>
          <w:caps w:val="false"/>
          <w:smallCaps w:val="false"/>
          <w:sz w:val="20"/>
        </w:rPr>
        <w:t>(9)</w:t>
      </w:r>
      <w:r>
        <w:rPr>
          <w:rFonts w:ascii="Arial;Helvetica;sans-serif" w:hAnsi="Arial;Helvetica;sans-serif"/>
          <w:b/>
          <w:sz w:val="20"/>
        </w:rPr>
        <w:t>COMMITMENTS AND CONTINGENCIES</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Credit Facility</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On July 15, 2026, the Company secured a waiver on its net leverage ratio covenant for the period ended June 30, 2026. On August 7, 2026, the Company entered into an Eleventh Amendment to the Credit Agreement that modified certain material terms including sizing, pricing, and certain covenants of the Credit Facility on a going-forward basis. The Eleventh Amendment is discussed in more detail in Note 16.</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On November 5, 2025, the Company entered into the Tenth Amendment, which extended the maturity date to November 23, 2027 (the “New Maturity Date”) and modified certain other material terms of the Credit Facility, including the size of the facility, pricing and certain covenants. The aggregate revolving commitment was reduced from $1.2 billion to $1.05 billion, with further reductions of $25 million each on April 1, 2026 and July 1, 2026. The letter of credit sublimit was reduced from $100 million to $50 million. Base rate loans bear interest at a rate equal to the highest of (a) the prime rate, (b) the federal funds rate plus 0.50%, and (c) SOFR in effect on such day plus 1.0%. Base rate loans shall be based on the base rate, plus the applicable credit margin of 2.0% through September 30, 2026, increasing to 5.0% thereafter. SOFR loans bear interest at a rate equal to the applicable spread adjusted SOFR plus applicable credit margin of 3.0% through September 30, 2026, increasing to spread adjusted SOFR plus 6.0% thereafter. Alternative currency loans (not denominated in U.S. Dollars) bear interest at rates applicable to their respective currencies. A one-time extension fee of 1.5% of the aggregate revolving credit commitment will be payable if the Credit Facility is still in effect on October 1, 2026. Limits on certain indebtedness, liens, investments and mergers were reduced by 50%, while acquisitions and restricted payments (subject to limited exceptions) were reduced by 100%. Certain other uses of cash were also restricted, subject to limited exceptions. Under the terms of the Tenth Amendment, the maximum permitted net leverage ratio was set at 3.75, specifically for the fiscal quarters ended March 31, 2026 and June 30, 2026, before generally stepping down from 4.00 to 3.00 by the third quarter of fiscal 2027.</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 xml:space="preserve">Letter of credit fees are one eighth of 1% of the stated amount of the letter of credit on the date of issuance, renewal or amendment, plus an annual fee equal to the borrowing margin for SOFR loans. </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 xml:space="preserve">Failure to comply with the financial covenants and operating restrictions set forth in the Credit Agreement could result in a default. As of the issuance of these unaudited Consolidated Financial Statements, the Company believes it has sufficient cash on hand, positive working capital, and availability to access additional cash under the Credit Facility to meet its business operating requirements and make its capital expenditures and to continue to comply with the financial covenants under the Credit Agreement for the next 12 months. The Company has the ability to reduce discretionary spending, if necessary, to maintain compliance with the financial covenants under the Credit Agreement. In the event the Company does not remain in compliance with such financial covenants, it may be required to negotiate additional amendments to, or waivers of, the terms of Credit Facility, refinance its debt, or raise additional capital. </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As of June 30, 2026 and December 31, 2025, the Company had borrowings of $855.0 million and $905.0 million, respectively, under its Credit Facility, and its average daily utilization was $926.6 million and $1,020.7 million for the six months ended June 30, 2026 and 2025, respectively. After giving effect to the waiver obtained on July 15, 2026, the Company is in compliance with all covenants and conditions under its Credit Agreement. The financial covenants set forth in the Credit Facility are discussed in more detail in Note 16.</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Letters of Credit</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As of June 30, 2026, outstanding letters of credit under the Credit Facility totaled $55.0 thousand. As of June 30, 2026, letters of credit and contract performance guarantees issued outside of the Credit Agreement totaled zero.</w:t>
      </w:r>
    </w:p>
    <w:p>
      <w:pPr>
        <w:pStyle w:val="TextBody"/>
        <w:bidi w:val="0"/>
        <w:spacing w:lineRule="auto" w:line="285" w:before="0" w:after="120"/>
        <w:ind w:left="0" w:right="0" w:hanging="0"/>
        <w:jc w:val="left"/>
        <w:rPr>
          <w:rFonts w:ascii="Arial;Helvetica;sans-serif" w:hAnsi="Arial;Helvetica;sans-serif"/>
          <w:b/>
          <w:sz w:val="20"/>
        </w:rPr>
      </w:pPr>
      <w:r>
        <w:rPr>
          <w:rFonts w:ascii="Arial;Helvetica;sans-serif" w:hAnsi="Arial;Helvetica;sans-serif"/>
          <w:b/>
          <w:sz w:val="20"/>
        </w:rPr>
        <w:t>Guarantees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Indebtedness under the Credit Agreement is guaranteed by the Company’s present and future subsidiaries.</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20</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TTEC HOLDINGS, INC. AND SUBSIDIARIES</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Notes to Consolidated Financial Statements</w:t>
      </w:r>
    </w:p>
    <w:p>
      <w:pPr>
        <w:pStyle w:val="TextBody"/>
        <w:bidi w:val="0"/>
        <w:spacing w:lineRule="auto" w:line="285" w:before="0" w:after="24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Legal Proceedings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From time to time, the Company has been involved in legal actions, both as plaintiff and defendant, which arise in the ordinary course of business. The Company accrues for exposures associated with such legal actions to the extent that losses are deemed both probable and reasonably estimable. To the extent specific reserves have not been made for certain legal proceedings, their ultimate outcome, and consequently, an estimate of possible loss, if any, cannot reasonably be determined at this time.</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Based on currently available information and advice received from counsel, the Company believes that the disposition or ultimate resolution of any current legal proceedings, except as otherwise specifically reserved for in its financial statements, will not have a material adverse effect on the Company’s financial position, cash flows or results of operations. In the event of unexpected further developments, however, it is possible that the ultimate resolution of these matters, or other similar matters, if unfavorable, may be materially adverse to the Company’s financial position, cash flows, or results of operations.</w:t>
      </w:r>
    </w:p>
    <w:p>
      <w:pPr>
        <w:pStyle w:val="TextBody"/>
        <w:bidi w:val="0"/>
        <w:spacing w:lineRule="auto" w:line="285" w:before="0" w:after="0"/>
        <w:ind w:left="0" w:right="0" w:hanging="0"/>
        <w:jc w:val="left"/>
        <w:rPr/>
      </w:pPr>
      <w:r>
        <w:rPr/>
        <w:t>​</w:t>
      </w:r>
    </w:p>
    <w:p>
      <w:pPr>
        <w:pStyle w:val="TextBody"/>
        <w:bidi w:val="0"/>
        <w:spacing w:lineRule="auto" w:line="285" w:before="0" w:after="12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(10)</w:t>
      </w:r>
      <w:r>
        <w:rPr>
          <w:rFonts w:ascii="Arial;Helvetica;sans-serif" w:hAnsi="Arial;Helvetica;sans-serif"/>
          <w:b/>
          <w:sz w:val="20"/>
        </w:rPr>
        <w:t>DEFERRED REVENUE AND REMAINING PERFORMANCE OBLIGATIONS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Revenue recognized for the six months ended June 30, 2026 from amounts included in deferred revenue as of December 31, 2025 was $46.9 million. Revenue recognized for the six months ended June 30, 2025 from amounts included in deferred revenue as of December 31, 2024 was $50.4 million.</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Remaining performance obligations (“RPO”) represent the amount of contracted future revenue that has not yet been recognized, including both deferred revenue and non-cancelable contracted amounts that will be invoiced and recognized as revenue in future periods. The Company’s RPO excludes performance obligations from on-demand arrangements as there are no minimum purchase commitments associated with these arrangements, and certain time and materials contracts that are billed in arrears.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 xml:space="preserve">As of June 30, 2026, the Company’s RPO was $338.5 million, which will primarily be delivered and recognized within the next five years. The Company expects to recognize approximately 61% of the RPO over the next 12 months, 24% of the RPO over the subsequent </w:t>
      </w:r>
      <w:r>
        <w:rPr>
          <w:rFonts w:ascii="Arial;Helvetica;sans-serif" w:hAnsi="Arial;Helvetica;sans-serif"/>
          <w:b w:val="false"/>
          <w:i w:val="false"/>
          <w:caps w:val="false"/>
          <w:smallCaps w:val="false"/>
          <w:sz w:val="20"/>
        </w:rPr>
        <w:t>13</w:t>
      </w:r>
      <w:r>
        <w:rPr>
          <w:rFonts w:ascii="Arial;Helvetica;sans-serif" w:hAnsi="Arial;Helvetica;sans-serif"/>
          <w:sz w:val="20"/>
        </w:rPr>
        <w:t xml:space="preserve"> to 24 months, and the </w:t>
      </w:r>
      <w:r>
        <w:rPr>
          <w:rFonts w:ascii="Arial;Helvetica;sans-serif" w:hAnsi="Arial;Helvetica;sans-serif"/>
          <w:b w:val="false"/>
          <w:i w:val="false"/>
          <w:caps w:val="false"/>
          <w:smallCaps w:val="false"/>
          <w:sz w:val="20"/>
        </w:rPr>
        <w:t>remainder</w:t>
      </w:r>
      <w:r>
        <w:rPr>
          <w:rFonts w:ascii="Arial;Helvetica;sans-serif" w:hAnsi="Arial;Helvetica;sans-serif"/>
          <w:sz w:val="20"/>
        </w:rPr>
        <w:t xml:space="preserve"> thereafter. </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21</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TTEC HOLDINGS, INC. AND SUBSIDIARIES</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Notes to Consolidated Financial Statements</w:t>
      </w:r>
    </w:p>
    <w:p>
      <w:pPr>
        <w:pStyle w:val="TextBody"/>
        <w:bidi w:val="0"/>
        <w:spacing w:lineRule="auto" w:line="285" w:before="0" w:after="24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lineRule="auto" w:line="285" w:before="0" w:after="0"/>
        <w:ind w:left="0" w:right="0" w:hanging="0"/>
        <w:jc w:val="left"/>
        <w:rPr>
          <w:rFonts w:ascii="Arial;Helvetica;sans-serif" w:hAnsi="Arial;Helvetica;sans-serif"/>
          <w:sz w:val="20"/>
        </w:rPr>
      </w:pPr>
      <w:bookmarkStart w:id="1583" w:name="Tc_INGuSnEaZEySEE43CUyleQ_13_8"/>
      <w:bookmarkStart w:id="1584" w:name="Tc_cwt1Q3IcDEWbclHw_3ivLQ_13_5"/>
      <w:bookmarkStart w:id="1585" w:name="Tc_53_HSvsEZ0mzuiDI1ABoxw_13_2"/>
      <w:bookmarkStart w:id="1586" w:name="Tc_3LJF2RL9NEG4I63g9vZf1w_12_8"/>
      <w:bookmarkStart w:id="1587" w:name="Tc_5wdJho5-GkisLMIJefFWrQ_12_0"/>
      <w:bookmarkStart w:id="1588" w:name="Tc_VcROMtiKNkGNHYJWDHhkpQ_11_8"/>
      <w:bookmarkStart w:id="1589" w:name="Tc_OzPzDDdCKU-xh3wq7vKP7Q_11_5"/>
      <w:bookmarkStart w:id="1590" w:name="Tc_0xpRoR2dR0Okw6eDXjP4Aw_11_2"/>
      <w:bookmarkStart w:id="1591" w:name="Tc_rhqnlmY3G0miELUk0RWrxA_11_0"/>
      <w:bookmarkStart w:id="1592" w:name="Tc_OoVlk7TzCEOW2UaffSwMLQ_10_0"/>
      <w:bookmarkStart w:id="1593" w:name="Tc_EGLgHUpEeUu388MKX1KCHg_8_8"/>
      <w:bookmarkStart w:id="1594" w:name="Tc_7RRN5rGWKE-kSsCdVg-KaQ_8_5"/>
      <w:bookmarkStart w:id="1595" w:name="Tc_llIf-ptGHkaCtKUhDoG3eg_8_2"/>
      <w:bookmarkStart w:id="1596" w:name="Tc_1HJ-usutfUG3ghzwd2Uykg_7_8"/>
      <w:bookmarkStart w:id="1597" w:name="Tc_uLgIEhHG30qmYc-qimGxsQ_7_0"/>
      <w:bookmarkStart w:id="1598" w:name="Tc_2uCaHXz6g0aOeCzEkA-hUA_6_8"/>
      <w:bookmarkStart w:id="1599" w:name="Tc_7zkTCeYN90OyuBuaDa65YQ_6_5"/>
      <w:bookmarkStart w:id="1600" w:name="Tc_hFBel9XfB0asOb0-LtduQQ_6_2"/>
      <w:bookmarkStart w:id="1601" w:name="Tc_eKaqA_AsFkWKIKTe7lIwkA_6_0"/>
      <w:bookmarkStart w:id="1602" w:name="Tc_eO_kbSYDE0Cwaz14JD-NKQ_5_0"/>
      <w:bookmarkStart w:id="1603" w:name="Tc_haUL_UOX2kif9CJCaVw8_w_3_8"/>
      <w:bookmarkStart w:id="1604" w:name="Tc_IiWoHd9EY0er52fETZ91jA_3_5"/>
      <w:bookmarkStart w:id="1605" w:name="Tc_-Wq5HHX24ESyNDnvBojgbw_3_2"/>
      <w:bookmarkStart w:id="1606" w:name="Tc_A0tfYQX1ik2QGj2Zj5aVgQ_2_8"/>
      <w:bookmarkStart w:id="1607" w:name="Tc_TeCJ5HUo7U2Z-mH031Ij4A_2_2"/>
      <w:bookmarkStart w:id="1608" w:name="Tc_RzmNUju1VUa0xGZ0rZRqFQ_1_8"/>
      <w:bookmarkStart w:id="1609" w:name="_ef3b373c_4fb2_4ed7_918b_aa47297799e6"/>
      <w:bookmarkStart w:id="1610" w:name="_Hlk519691467"/>
      <w:bookmarkStart w:id="1611" w:name="Tc_6GS92gI-HUCuAsiqNnRhug_20_11"/>
      <w:bookmarkStart w:id="1612" w:name="Tc_8Q0ODjA_r0ePrR4mZP2nvA_20_8"/>
      <w:bookmarkStart w:id="1613" w:name="Tc_z3GjGMkgb0a-ILQMKc1ytg_20_5"/>
      <w:bookmarkStart w:id="1614" w:name="Tc_1iRFHzPv9EqEGxQaYV6BfA_20_2"/>
      <w:bookmarkStart w:id="1615" w:name="Tc_XOjpTwtXw0qQC_hKIJFpOg_20_0"/>
      <w:bookmarkStart w:id="1616" w:name="Tc_eF5ICqblDEWme3z4guQf-g_18_0"/>
      <w:bookmarkStart w:id="1617" w:name="Tc_s_Bg-X5XxUSwnbM0mNIqhw_17_0"/>
      <w:bookmarkStart w:id="1618" w:name="Tc_dcEPSCKloUC5aWpWNxJjlw_16_0"/>
      <w:bookmarkStart w:id="1619" w:name="Tc_A4FhrucZdk6mriJUiNKoQA_14_11"/>
      <w:bookmarkStart w:id="1620" w:name="Tc_yNiii3iHdUaooT9ohg9-cw_14_8"/>
      <w:bookmarkStart w:id="1621" w:name="Tc_A2Ruy-hj3keS1KyNrM3kTg_14_5"/>
      <w:bookmarkStart w:id="1622" w:name="Tc_G0U9hrqz8kmUNMdXITh2gQ_14_2"/>
      <w:bookmarkStart w:id="1623" w:name="Tc_vIbUnoNZkECx2FHP9lb6zg_14_0"/>
      <w:bookmarkStart w:id="1624" w:name="Tc_dCWhfIFCREGEBgzYb69RHA_12_11"/>
      <w:bookmarkStart w:id="1625" w:name="Tc_39HRNZHuy06GTN2O25Y4LA_12_8"/>
      <w:bookmarkStart w:id="1626" w:name="Tc_eZFQTn6uhEu8WXacHR5RaA_12_5"/>
      <w:bookmarkStart w:id="1627" w:name="Tc_w1zufKVd9EiXaNsuSh3Mrw_12_2"/>
      <w:bookmarkStart w:id="1628" w:name="Tc_-HOlGSQoUE-VQbuMZBLirA_12_0"/>
      <w:bookmarkStart w:id="1629" w:name="Tc_Zn_tTHr3SEiDNxceJYqtlw_10_0"/>
      <w:bookmarkStart w:id="1630" w:name="Tc_9P8QQRBvdESUy8BQcRp5kA_9_0"/>
      <w:bookmarkStart w:id="1631" w:name="Tc_FUmOVcCe50eDO7S161zy3g_8_0"/>
      <w:bookmarkStart w:id="1632" w:name="Tc_4LIAAaGOtUSw2Xy0zEY2iA_6_11"/>
      <w:bookmarkStart w:id="1633" w:name="Tc_qHiSyDMQuke9TSsfSmNFVg_6_8"/>
      <w:bookmarkStart w:id="1634" w:name="Tc_gfG8euGIwUmlLUHWCs0UAw_6_5"/>
      <w:bookmarkStart w:id="1635" w:name="Tc_Isv-WAQZbE6SrUp7cyUOBg_6_2"/>
      <w:bookmarkStart w:id="1636" w:name="Tc_Npg53Y3TqkuJZ72bUOACFA_6_0"/>
      <w:bookmarkStart w:id="1637" w:name="Tc_Uk9BEh-4rUiTSJJKGd7OfQ_4_11"/>
      <w:bookmarkStart w:id="1638" w:name="Tc_UBJgL61SKEGWUv2TnoPXUA_4_8"/>
      <w:bookmarkStart w:id="1639" w:name="Tc_OX8Zbu11GEuxgXxRw1AI8g_4_5"/>
      <w:bookmarkStart w:id="1640" w:name="Tc_dXg7Q7XvaEefNrshoHQgoA_4_2"/>
      <w:bookmarkStart w:id="1641" w:name="Tc_il8AF-a6L06LhkjLGD8Zgg_3_8"/>
      <w:bookmarkStart w:id="1642" w:name="Tc_nHSozOK5-U-UaPjrPZpgYg_3_5"/>
      <w:bookmarkStart w:id="1643" w:name="Tc_jRohKTiZbEqy3Dn2SKD-Cg_3_2"/>
      <w:bookmarkStart w:id="1644" w:name="Tc_dk4N_LgwnU-KQKqLo2XzNA_2_5"/>
      <w:bookmarkStart w:id="1645" w:name="Tc_Bi1VfR3mMk-n7JOUAh_LZA_2_2"/>
      <w:bookmarkStart w:id="1646" w:name="Tc_89SRFNmQ9kaS3tiJO9cS6A_1_2"/>
      <w:bookmarkStart w:id="1647" w:name="_3c8b305b_77eb_4ee1_809b_e1ddd68e0431"/>
      <w:bookmarkStart w:id="1648" w:name="_Hlk519691507"/>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r>
        <w:rPr>
          <w:rFonts w:ascii="Arial;Helvetica;sans-serif" w:hAnsi="Arial;Helvetica;sans-serif"/>
          <w:b/>
          <w:i w:val="false"/>
          <w:caps w:val="false"/>
          <w:smallCaps w:val="false"/>
          <w:sz w:val="20"/>
        </w:rPr>
        <w:t>(11)</w:t>
      </w:r>
      <w:r>
        <w:rPr>
          <w:rFonts w:ascii="Arial;Helvetica;sans-serif" w:hAnsi="Arial;Helvetica;sans-serif"/>
          <w:b/>
          <w:sz w:val="20"/>
        </w:rPr>
        <w:t>ACCUMULATED OTHER COMPREHENSIVE INCOME (LOSS)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 following table presents changes in the accumulated balance for each component of Other comprehensive income (loss), including current period other comprehensive income (loss) and reclassifications out of Accumulated other comprehensive income (loss) (in thousands):</w:t>
      </w:r>
    </w:p>
    <w:tbl>
      <w:tblPr>
        <w:tblW w:w="10205" w:type="dxa"/>
        <w:jc w:val="left"/>
        <w:tblInd w:w="0" w:type="dxa"/>
        <w:tblLayout w:type="fixed"/>
        <w:tblCellMar>
          <w:top w:w="0" w:type="dxa"/>
          <w:left w:w="0" w:type="dxa"/>
          <w:bottom w:w="0" w:type="dxa"/>
          <w:right w:w="0" w:type="dxa"/>
        </w:tblCellMar>
      </w:tblPr>
      <w:tblGrid>
        <w:gridCol w:w="4171"/>
        <w:gridCol w:w="346"/>
        <w:gridCol w:w="211"/>
        <w:gridCol w:w="894"/>
        <w:gridCol w:w="346"/>
        <w:gridCol w:w="323"/>
        <w:gridCol w:w="968"/>
        <w:gridCol w:w="346"/>
        <w:gridCol w:w="244"/>
        <w:gridCol w:w="732"/>
        <w:gridCol w:w="346"/>
        <w:gridCol w:w="211"/>
        <w:gridCol w:w="874"/>
        <w:gridCol w:w="193"/>
      </w:tblGrid>
      <w:tr>
        <w:trPr/>
        <w:tc>
          <w:tcPr>
            <w:tcW w:w="4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648585" cy="175260"/>
                      <wp:effectExtent l="0" t="0" r="0" b="0"/>
                      <wp:wrapNone/>
                      <wp:docPr id="368" name="Frame368"/>
                      <a:graphic xmlns:a="http://schemas.openxmlformats.org/drawingml/2006/main">
                        <a:graphicData uri="http://schemas.microsoft.com/office/word/2010/wordprocessingShape">
                          <wps:wsp>
                            <wps:cNvSpPr txBox="1"/>
                            <wps:spPr>
                              <a:xfrm>
                                <a:off x="0" y="0"/>
                                <a:ext cx="2648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19710" cy="175260"/>
                      <wp:effectExtent l="0" t="0" r="0" b="0"/>
                      <wp:wrapNone/>
                      <wp:docPr id="369" name="Frame3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133985" cy="175260"/>
                      <wp:effectExtent l="0" t="0" r="0" b="0"/>
                      <wp:wrapNone/>
                      <wp:docPr id="370" name="Frame3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567690" cy="175260"/>
                      <wp:effectExtent l="0" t="0" r="0" b="0"/>
                      <wp:wrapNone/>
                      <wp:docPr id="371" name="Frame371"/>
                      <a:graphic xmlns:a="http://schemas.openxmlformats.org/drawingml/2006/main">
                        <a:graphicData uri="http://schemas.microsoft.com/office/word/2010/wordprocessingShape">
                          <wps:wsp>
                            <wps:cNvSpPr txBox="1"/>
                            <wps:spPr>
                              <a:xfrm>
                                <a:off x="0" y="0"/>
                                <a:ext cx="5676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19710" cy="175260"/>
                      <wp:effectExtent l="0" t="0" r="0" b="0"/>
                      <wp:wrapNone/>
                      <wp:docPr id="372" name="Frame3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05105" cy="175260"/>
                      <wp:effectExtent l="0" t="0" r="0" b="0"/>
                      <wp:wrapNone/>
                      <wp:docPr id="373" name="Frame373"/>
                      <a:graphic xmlns:a="http://schemas.openxmlformats.org/drawingml/2006/main">
                        <a:graphicData uri="http://schemas.microsoft.com/office/word/2010/wordprocessingShape">
                          <wps:wsp>
                            <wps:cNvSpPr txBox="1"/>
                            <wps:spPr>
                              <a:xfrm>
                                <a:off x="0" y="0"/>
                                <a:ext cx="2051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14680" cy="175260"/>
                      <wp:effectExtent l="0" t="0" r="0" b="0"/>
                      <wp:wrapNone/>
                      <wp:docPr id="374" name="Frame374"/>
                      <a:graphic xmlns:a="http://schemas.openxmlformats.org/drawingml/2006/main">
                        <a:graphicData uri="http://schemas.microsoft.com/office/word/2010/wordprocessingShape">
                          <wps:wsp>
                            <wps:cNvSpPr txBox="1"/>
                            <wps:spPr>
                              <a:xfrm>
                                <a:off x="0" y="0"/>
                                <a:ext cx="6146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19710" cy="175260"/>
                      <wp:effectExtent l="0" t="0" r="0" b="0"/>
                      <wp:wrapNone/>
                      <wp:docPr id="375" name="Frame3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154940" cy="175260"/>
                      <wp:effectExtent l="0" t="0" r="0" b="0"/>
                      <wp:wrapNone/>
                      <wp:docPr id="376" name="Frame376"/>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464820" cy="175260"/>
                      <wp:effectExtent l="0" t="0" r="0" b="0"/>
                      <wp:wrapNone/>
                      <wp:docPr id="377" name="Frame377"/>
                      <a:graphic xmlns:a="http://schemas.openxmlformats.org/drawingml/2006/main">
                        <a:graphicData uri="http://schemas.microsoft.com/office/word/2010/wordprocessingShape">
                          <wps:wsp>
                            <wps:cNvSpPr txBox="1"/>
                            <wps:spPr>
                              <a:xfrm>
                                <a:off x="0" y="0"/>
                                <a:ext cx="4648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19710" cy="175260"/>
                      <wp:effectExtent l="0" t="0" r="0" b="0"/>
                      <wp:wrapNone/>
                      <wp:docPr id="378" name="Frame3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133985" cy="175260"/>
                      <wp:effectExtent l="0" t="0" r="0" b="0"/>
                      <wp:wrapNone/>
                      <wp:docPr id="379" name="Frame3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554990" cy="175260"/>
                      <wp:effectExtent l="0" t="0" r="0" b="0"/>
                      <wp:wrapNone/>
                      <wp:docPr id="380" name="Frame380"/>
                      <a:graphic xmlns:a="http://schemas.openxmlformats.org/drawingml/2006/main">
                        <a:graphicData uri="http://schemas.microsoft.com/office/word/2010/wordprocessingShape">
                          <wps:wsp>
                            <wps:cNvSpPr txBox="1"/>
                            <wps:spPr>
                              <a:xfrm>
                                <a:off x="0" y="0"/>
                                <a:ext cx="5549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122555" cy="175260"/>
                      <wp:effectExtent l="0" t="0" r="0" b="0"/>
                      <wp:wrapNone/>
                      <wp:docPr id="381" name="Frame381"/>
                      <a:graphic xmlns:a="http://schemas.openxmlformats.org/drawingml/2006/main">
                        <a:graphicData uri="http://schemas.microsoft.com/office/word/2010/wordprocessingShape">
                          <wps:wsp>
                            <wps:cNvSpPr txBox="1"/>
                            <wps:spPr>
                              <a:xfrm>
                                <a:off x="0" y="0"/>
                                <a:ext cx="122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17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105"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Foreign</w:t>
            </w:r>
          </w:p>
        </w:tc>
        <w:tc>
          <w:tcPr>
            <w:tcW w:w="346" w:type="dxa"/>
            <w:tcBorders/>
            <w:vAlign w:val="center"/>
          </w:tcPr>
          <w:p>
            <w:pPr>
              <w:pStyle w:val="TableContents"/>
              <w:bidi w:val="0"/>
              <w:spacing w:lineRule="auto" w:line="285" w:before="0" w:after="0"/>
              <w:ind w:left="0" w:right="0" w:hanging="0"/>
              <w:jc w:val="center"/>
              <w:rPr/>
            </w:pPr>
            <w:r>
              <w:rPr/>
              <w:t>  ​ ​ ​</w:t>
            </w:r>
          </w:p>
        </w:tc>
        <w:tc>
          <w:tcPr>
            <w:tcW w:w="323" w:type="dxa"/>
            <w:tcBorders/>
            <w:vAlign w:val="center"/>
          </w:tcPr>
          <w:p>
            <w:pPr>
              <w:pStyle w:val="TableContents"/>
              <w:bidi w:val="0"/>
              <w:spacing w:lineRule="auto" w:line="285" w:before="0" w:after="0"/>
              <w:ind w:left="0" w:right="0" w:hanging="0"/>
              <w:jc w:val="center"/>
              <w:rPr/>
            </w:pPr>
            <w:r>
              <w:rPr/>
              <w:t>​</w:t>
            </w:r>
          </w:p>
        </w:tc>
        <w:tc>
          <w:tcPr>
            <w:tcW w:w="968"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244" w:type="dxa"/>
            <w:tcBorders/>
            <w:vAlign w:val="center"/>
          </w:tcPr>
          <w:p>
            <w:pPr>
              <w:pStyle w:val="TableContents"/>
              <w:bidi w:val="0"/>
              <w:spacing w:lineRule="auto" w:line="285" w:before="0" w:after="0"/>
              <w:ind w:left="0" w:right="0" w:hanging="0"/>
              <w:jc w:val="center"/>
              <w:rPr/>
            </w:pPr>
            <w:r>
              <w:rPr/>
              <w:t>​</w:t>
            </w:r>
          </w:p>
        </w:tc>
        <w:tc>
          <w:tcPr>
            <w:tcW w:w="732"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211" w:type="dxa"/>
            <w:tcBorders/>
            <w:vAlign w:val="center"/>
          </w:tcPr>
          <w:p>
            <w:pPr>
              <w:pStyle w:val="TableContents"/>
              <w:bidi w:val="0"/>
              <w:spacing w:lineRule="auto" w:line="285" w:before="0" w:after="0"/>
              <w:ind w:left="0" w:right="0" w:hanging="0"/>
              <w:jc w:val="center"/>
              <w:rPr/>
            </w:pPr>
            <w:r>
              <w:rPr/>
              <w:t>​</w:t>
            </w:r>
          </w:p>
        </w:tc>
        <w:tc>
          <w:tcPr>
            <w:tcW w:w="874" w:type="dxa"/>
            <w:tcBorders/>
            <w:vAlign w:val="center"/>
          </w:tcPr>
          <w:p>
            <w:pPr>
              <w:pStyle w:val="TableContents"/>
              <w:bidi w:val="0"/>
              <w:spacing w:lineRule="auto" w:line="285" w:before="0" w:after="0"/>
              <w:ind w:left="0" w:right="0" w:hanging="0"/>
              <w:jc w:val="center"/>
              <w:rPr/>
            </w:pPr>
            <w:r>
              <w:rPr/>
              <w:t>​</w:t>
            </w:r>
          </w:p>
        </w:tc>
        <w:tc>
          <w:tcPr>
            <w:tcW w:w="193" w:type="dxa"/>
            <w:tcBorders/>
            <w:vAlign w:val="center"/>
          </w:tcPr>
          <w:p>
            <w:pPr>
              <w:pStyle w:val="TableContents"/>
              <w:bidi w:val="0"/>
              <w:spacing w:lineRule="auto" w:line="285" w:before="0" w:after="0"/>
              <w:ind w:left="0" w:right="0" w:hanging="0"/>
              <w:jc w:val="center"/>
              <w:rPr/>
            </w:pPr>
            <w:r>
              <w:rPr/>
              <w:t> </w:t>
            </w:r>
          </w:p>
        </w:tc>
      </w:tr>
      <w:tr>
        <w:trPr/>
        <w:tc>
          <w:tcPr>
            <w:tcW w:w="417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105"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Currency</w:t>
            </w:r>
          </w:p>
        </w:tc>
        <w:tc>
          <w:tcPr>
            <w:tcW w:w="346" w:type="dxa"/>
            <w:tcBorders/>
            <w:vAlign w:val="center"/>
          </w:tcPr>
          <w:p>
            <w:pPr>
              <w:pStyle w:val="TableContents"/>
              <w:bidi w:val="0"/>
              <w:spacing w:lineRule="auto" w:line="285" w:before="0" w:after="0"/>
              <w:ind w:left="0" w:right="0" w:hanging="0"/>
              <w:jc w:val="center"/>
              <w:rPr/>
            </w:pPr>
            <w:r>
              <w:rPr/>
              <w:t>​</w:t>
            </w:r>
          </w:p>
        </w:tc>
        <w:tc>
          <w:tcPr>
            <w:tcW w:w="1291"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Derivative</w:t>
            </w:r>
          </w:p>
        </w:tc>
        <w:tc>
          <w:tcPr>
            <w:tcW w:w="346" w:type="dxa"/>
            <w:tcBorders/>
            <w:vAlign w:val="center"/>
          </w:tcPr>
          <w:p>
            <w:pPr>
              <w:pStyle w:val="TableContents"/>
              <w:bidi w:val="0"/>
              <w:spacing w:lineRule="auto" w:line="285" w:before="0" w:after="0"/>
              <w:ind w:left="0" w:right="0" w:hanging="0"/>
              <w:jc w:val="center"/>
              <w:rPr/>
            </w:pPr>
            <w:r>
              <w:rPr/>
              <w:t>​</w:t>
            </w:r>
          </w:p>
        </w:tc>
        <w:tc>
          <w:tcPr>
            <w:tcW w:w="244" w:type="dxa"/>
            <w:tcBorders/>
            <w:vAlign w:val="center"/>
          </w:tcPr>
          <w:p>
            <w:pPr>
              <w:pStyle w:val="TableContents"/>
              <w:bidi w:val="0"/>
              <w:spacing w:lineRule="auto" w:line="285" w:before="0" w:after="0"/>
              <w:ind w:left="0" w:right="0" w:hanging="0"/>
              <w:jc w:val="center"/>
              <w:rPr/>
            </w:pPr>
            <w:r>
              <w:rPr/>
              <w:t>​</w:t>
            </w:r>
          </w:p>
        </w:tc>
        <w:tc>
          <w:tcPr>
            <w:tcW w:w="732"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211" w:type="dxa"/>
            <w:tcBorders/>
            <w:vAlign w:val="center"/>
          </w:tcPr>
          <w:p>
            <w:pPr>
              <w:pStyle w:val="TableContents"/>
              <w:bidi w:val="0"/>
              <w:spacing w:lineRule="auto" w:line="285" w:before="0" w:after="0"/>
              <w:ind w:left="0" w:right="0" w:hanging="0"/>
              <w:jc w:val="center"/>
              <w:rPr/>
            </w:pPr>
            <w:r>
              <w:rPr/>
              <w:t>​</w:t>
            </w:r>
          </w:p>
        </w:tc>
        <w:tc>
          <w:tcPr>
            <w:tcW w:w="874" w:type="dxa"/>
            <w:tcBorders/>
            <w:vAlign w:val="center"/>
          </w:tcPr>
          <w:p>
            <w:pPr>
              <w:pStyle w:val="TableContents"/>
              <w:bidi w:val="0"/>
              <w:spacing w:lineRule="auto" w:line="285" w:before="0" w:after="0"/>
              <w:ind w:left="0" w:right="0" w:hanging="0"/>
              <w:jc w:val="center"/>
              <w:rPr/>
            </w:pPr>
            <w:r>
              <w:rPr/>
              <w:t>​</w:t>
            </w:r>
          </w:p>
        </w:tc>
        <w:tc>
          <w:tcPr>
            <w:tcW w:w="193" w:type="dxa"/>
            <w:tcBorders/>
            <w:vAlign w:val="center"/>
          </w:tcPr>
          <w:p>
            <w:pPr>
              <w:pStyle w:val="TableContents"/>
              <w:bidi w:val="0"/>
              <w:spacing w:lineRule="auto" w:line="285" w:before="0" w:after="0"/>
              <w:ind w:left="0" w:right="0" w:hanging="0"/>
              <w:jc w:val="center"/>
              <w:rPr/>
            </w:pPr>
            <w:r>
              <w:rPr/>
              <w:t> </w:t>
            </w:r>
          </w:p>
        </w:tc>
      </w:tr>
      <w:tr>
        <w:trPr/>
        <w:tc>
          <w:tcPr>
            <w:tcW w:w="417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105"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Translation</w:t>
            </w:r>
          </w:p>
        </w:tc>
        <w:tc>
          <w:tcPr>
            <w:tcW w:w="346" w:type="dxa"/>
            <w:tcBorders/>
            <w:vAlign w:val="center"/>
          </w:tcPr>
          <w:p>
            <w:pPr>
              <w:pStyle w:val="TableContents"/>
              <w:bidi w:val="0"/>
              <w:spacing w:lineRule="auto" w:line="285" w:before="0" w:after="0"/>
              <w:ind w:left="0" w:right="0" w:hanging="0"/>
              <w:jc w:val="center"/>
              <w:rPr/>
            </w:pPr>
            <w:r>
              <w:rPr/>
              <w:t>​</w:t>
            </w:r>
          </w:p>
        </w:tc>
        <w:tc>
          <w:tcPr>
            <w:tcW w:w="1291"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Valuation, Net</w:t>
            </w:r>
          </w:p>
        </w:tc>
        <w:tc>
          <w:tcPr>
            <w:tcW w:w="346" w:type="dxa"/>
            <w:tcBorders/>
            <w:vAlign w:val="center"/>
          </w:tcPr>
          <w:p>
            <w:pPr>
              <w:pStyle w:val="TableContents"/>
              <w:bidi w:val="0"/>
              <w:spacing w:lineRule="auto" w:line="285" w:before="0" w:after="0"/>
              <w:ind w:left="0" w:right="0" w:hanging="0"/>
              <w:jc w:val="center"/>
              <w:rPr/>
            </w:pPr>
            <w:r>
              <w:rPr/>
              <w:t>​</w:t>
            </w:r>
          </w:p>
        </w:tc>
        <w:tc>
          <w:tcPr>
            <w:tcW w:w="97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Other, Net</w:t>
            </w:r>
          </w:p>
        </w:tc>
        <w:tc>
          <w:tcPr>
            <w:tcW w:w="346" w:type="dxa"/>
            <w:tcBorders/>
            <w:vAlign w:val="center"/>
          </w:tcPr>
          <w:p>
            <w:pPr>
              <w:pStyle w:val="TableContents"/>
              <w:bidi w:val="0"/>
              <w:spacing w:lineRule="auto" w:line="285" w:before="0" w:after="0"/>
              <w:ind w:left="0" w:right="0" w:hanging="0"/>
              <w:jc w:val="center"/>
              <w:rPr/>
            </w:pPr>
            <w:r>
              <w:rPr/>
              <w:t>​</w:t>
            </w:r>
          </w:p>
        </w:tc>
        <w:tc>
          <w:tcPr>
            <w:tcW w:w="211" w:type="dxa"/>
            <w:tcBorders/>
            <w:vAlign w:val="center"/>
          </w:tcPr>
          <w:p>
            <w:pPr>
              <w:pStyle w:val="TableContents"/>
              <w:bidi w:val="0"/>
              <w:spacing w:lineRule="auto" w:line="285" w:before="0" w:after="0"/>
              <w:ind w:left="0" w:right="0" w:hanging="0"/>
              <w:jc w:val="center"/>
              <w:rPr/>
            </w:pPr>
            <w:r>
              <w:rPr/>
              <w:t>​</w:t>
            </w:r>
          </w:p>
        </w:tc>
        <w:tc>
          <w:tcPr>
            <w:tcW w:w="874" w:type="dxa"/>
            <w:tcBorders/>
            <w:vAlign w:val="center"/>
          </w:tcPr>
          <w:p>
            <w:pPr>
              <w:pStyle w:val="TableContents"/>
              <w:bidi w:val="0"/>
              <w:spacing w:lineRule="auto" w:line="285" w:before="0" w:after="0"/>
              <w:ind w:left="0" w:right="0" w:hanging="0"/>
              <w:jc w:val="center"/>
              <w:rPr/>
            </w:pPr>
            <w:r>
              <w:rPr/>
              <w:t>​</w:t>
            </w:r>
          </w:p>
        </w:tc>
        <w:tc>
          <w:tcPr>
            <w:tcW w:w="193" w:type="dxa"/>
            <w:tcBorders/>
            <w:vAlign w:val="center"/>
          </w:tcPr>
          <w:p>
            <w:pPr>
              <w:pStyle w:val="TableContents"/>
              <w:bidi w:val="0"/>
              <w:spacing w:lineRule="auto" w:line="285" w:before="0" w:after="0"/>
              <w:ind w:left="0" w:right="0" w:hanging="0"/>
              <w:jc w:val="center"/>
              <w:rPr/>
            </w:pPr>
            <w:r>
              <w:rPr/>
              <w:t> </w:t>
            </w:r>
          </w:p>
        </w:tc>
      </w:tr>
      <w:tr>
        <w:trPr/>
        <w:tc>
          <w:tcPr>
            <w:tcW w:w="417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10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Adjustment</w:t>
            </w:r>
          </w:p>
        </w:tc>
        <w:tc>
          <w:tcPr>
            <w:tcW w:w="346" w:type="dxa"/>
            <w:tcBorders/>
            <w:vAlign w:val="center"/>
          </w:tcPr>
          <w:p>
            <w:pPr>
              <w:pStyle w:val="TableContents"/>
              <w:bidi w:val="0"/>
              <w:spacing w:lineRule="auto" w:line="285" w:before="0" w:after="0"/>
              <w:ind w:left="0" w:right="0" w:hanging="0"/>
              <w:jc w:val="center"/>
              <w:rPr/>
            </w:pPr>
            <w:r>
              <w:rPr/>
              <w:t>​</w:t>
            </w:r>
          </w:p>
        </w:tc>
        <w:tc>
          <w:tcPr>
            <w:tcW w:w="129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of Tax</w:t>
            </w:r>
          </w:p>
        </w:tc>
        <w:tc>
          <w:tcPr>
            <w:tcW w:w="346" w:type="dxa"/>
            <w:tcBorders/>
            <w:vAlign w:val="center"/>
          </w:tcPr>
          <w:p>
            <w:pPr>
              <w:pStyle w:val="TableContents"/>
              <w:bidi w:val="0"/>
              <w:spacing w:lineRule="auto" w:line="285" w:before="0" w:after="0"/>
              <w:ind w:left="0" w:right="0" w:hanging="0"/>
              <w:jc w:val="center"/>
              <w:rPr/>
            </w:pPr>
            <w:r>
              <w:rPr/>
              <w:t>​</w:t>
            </w:r>
          </w:p>
        </w:tc>
        <w:tc>
          <w:tcPr>
            <w:tcW w:w="97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of Tax</w:t>
            </w:r>
          </w:p>
        </w:tc>
        <w:tc>
          <w:tcPr>
            <w:tcW w:w="346" w:type="dxa"/>
            <w:tcBorders/>
            <w:vAlign w:val="center"/>
          </w:tcPr>
          <w:p>
            <w:pPr>
              <w:pStyle w:val="TableContents"/>
              <w:bidi w:val="0"/>
              <w:spacing w:lineRule="auto" w:line="285" w:before="0" w:after="0"/>
              <w:ind w:left="0" w:right="0" w:hanging="0"/>
              <w:jc w:val="center"/>
              <w:rPr/>
            </w:pPr>
            <w:r>
              <w:rPr/>
              <w:t>​</w:t>
            </w:r>
          </w:p>
        </w:tc>
        <w:tc>
          <w:tcPr>
            <w:tcW w:w="108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Totals</w:t>
            </w:r>
          </w:p>
        </w:tc>
        <w:tc>
          <w:tcPr>
            <w:tcW w:w="193" w:type="dxa"/>
            <w:tcBorders/>
            <w:vAlign w:val="center"/>
          </w:tcPr>
          <w:p>
            <w:pPr>
              <w:pStyle w:val="TableContents"/>
              <w:bidi w:val="0"/>
              <w:spacing w:lineRule="auto" w:line="285" w:before="0" w:after="0"/>
              <w:ind w:left="0" w:right="0" w:hanging="0"/>
              <w:jc w:val="center"/>
              <w:rPr/>
            </w:pPr>
            <w:r>
              <w:rPr/>
              <w:t> </w:t>
            </w:r>
          </w:p>
        </w:tc>
      </w:tr>
      <w:tr>
        <w:trPr/>
        <w:tc>
          <w:tcPr>
            <w:tcW w:w="417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89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23" w:type="dxa"/>
            <w:tcBorders/>
            <w:vAlign w:val="center"/>
          </w:tcPr>
          <w:p>
            <w:pPr>
              <w:pStyle w:val="TableContents"/>
              <w:bidi w:val="0"/>
              <w:spacing w:lineRule="auto" w:line="285" w:before="0" w:after="0"/>
              <w:ind w:left="0" w:right="0" w:hanging="0"/>
              <w:jc w:val="right"/>
              <w:rPr/>
            </w:pPr>
            <w:r>
              <w:rPr/>
              <w:t>​</w:t>
            </w:r>
          </w:p>
        </w:tc>
        <w:tc>
          <w:tcPr>
            <w:tcW w:w="968"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4" w:type="dxa"/>
            <w:tcBorders/>
            <w:vAlign w:val="center"/>
          </w:tcPr>
          <w:p>
            <w:pPr>
              <w:pStyle w:val="TableContents"/>
              <w:bidi w:val="0"/>
              <w:spacing w:lineRule="auto" w:line="285" w:before="0" w:after="0"/>
              <w:ind w:left="0" w:right="0" w:hanging="0"/>
              <w:jc w:val="right"/>
              <w:rPr/>
            </w:pPr>
            <w:r>
              <w:rPr/>
              <w:t>​</w:t>
            </w:r>
          </w:p>
        </w:tc>
        <w:tc>
          <w:tcPr>
            <w:tcW w:w="732"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874" w:type="dxa"/>
            <w:tcBorders/>
            <w:vAlign w:val="center"/>
          </w:tcPr>
          <w:p>
            <w:pPr>
              <w:pStyle w:val="TableContents"/>
              <w:bidi w:val="0"/>
              <w:spacing w:lineRule="auto" w:line="285" w:before="0" w:after="0"/>
              <w:ind w:left="0" w:right="0" w:hanging="0"/>
              <w:jc w:val="right"/>
              <w:rPr/>
            </w:pPr>
            <w:r>
              <w:rPr/>
              <w:t>​</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417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Accumulated other comprehensive income (loss) at December 31, 2024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9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(123,821)</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32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6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(5,583)</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3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(2,717)</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7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(132,121)</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417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89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23" w:type="dxa"/>
            <w:tcBorders/>
            <w:vAlign w:val="center"/>
          </w:tcPr>
          <w:p>
            <w:pPr>
              <w:pStyle w:val="TableContents"/>
              <w:bidi w:val="0"/>
              <w:spacing w:lineRule="auto" w:line="285" w:before="0" w:after="0"/>
              <w:ind w:left="0" w:right="0" w:hanging="0"/>
              <w:jc w:val="right"/>
              <w:rPr/>
            </w:pPr>
            <w:r>
              <w:rPr/>
              <w:t>​</w:t>
            </w:r>
          </w:p>
        </w:tc>
        <w:tc>
          <w:tcPr>
            <w:tcW w:w="968"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4" w:type="dxa"/>
            <w:tcBorders/>
            <w:vAlign w:val="center"/>
          </w:tcPr>
          <w:p>
            <w:pPr>
              <w:pStyle w:val="TableContents"/>
              <w:bidi w:val="0"/>
              <w:spacing w:lineRule="auto" w:line="285" w:before="0" w:after="0"/>
              <w:ind w:left="0" w:right="0" w:hanging="0"/>
              <w:jc w:val="right"/>
              <w:rPr/>
            </w:pPr>
            <w:r>
              <w:rPr/>
              <w:t>​</w:t>
            </w:r>
          </w:p>
        </w:tc>
        <w:tc>
          <w:tcPr>
            <w:tcW w:w="732"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874" w:type="dxa"/>
            <w:tcBorders/>
            <w:vAlign w:val="center"/>
          </w:tcPr>
          <w:p>
            <w:pPr>
              <w:pStyle w:val="TableContents"/>
              <w:bidi w:val="0"/>
              <w:spacing w:lineRule="auto" w:line="285" w:before="0" w:after="0"/>
              <w:ind w:left="0" w:right="0" w:hanging="0"/>
              <w:jc w:val="right"/>
              <w:rPr/>
            </w:pPr>
            <w:r>
              <w:rPr/>
              <w:t>​</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417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Other comprehensive income (loss) before reclassifications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89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22,480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23" w:type="dxa"/>
            <w:tcBorders/>
            <w:shd w:fill="CCEEFF" w:val="clear"/>
            <w:vAlign w:val="center"/>
          </w:tcPr>
          <w:p>
            <w:pPr>
              <w:pStyle w:val="TableContents"/>
              <w:bidi w:val="0"/>
              <w:spacing w:lineRule="auto" w:line="285" w:before="0" w:after="0"/>
              <w:ind w:left="0" w:right="0" w:hanging="0"/>
              <w:jc w:val="right"/>
              <w:rPr/>
            </w:pPr>
            <w:r>
              <w:rPr/>
              <w:t> </w:t>
            </w:r>
          </w:p>
        </w:tc>
        <w:tc>
          <w:tcPr>
            <w:tcW w:w="968"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5,580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4" w:type="dxa"/>
            <w:tcBorders/>
            <w:shd w:fill="CCEEFF" w:val="clear"/>
            <w:vAlign w:val="center"/>
          </w:tcPr>
          <w:p>
            <w:pPr>
              <w:pStyle w:val="TableContents"/>
              <w:bidi w:val="0"/>
              <w:spacing w:lineRule="auto" w:line="285" w:before="0" w:after="0"/>
              <w:ind w:left="0" w:right="0" w:hanging="0"/>
              <w:jc w:val="right"/>
              <w:rPr/>
            </w:pPr>
            <w:r>
              <w:rPr/>
              <w:t> </w:t>
            </w:r>
          </w:p>
        </w:tc>
        <w:tc>
          <w:tcPr>
            <w:tcW w:w="732"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87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28,087</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417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Amounts reclassified from accumulated other comprehensive income (loss)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89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2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96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(359)</w:t>
            </w:r>
          </w:p>
        </w:tc>
        <w:tc>
          <w:tcPr>
            <w:tcW w:w="346" w:type="dxa"/>
            <w:tcBorders/>
            <w:vAlign w:val="center"/>
          </w:tcPr>
          <w:p>
            <w:pPr>
              <w:pStyle w:val="TableContents"/>
              <w:bidi w:val="0"/>
              <w:spacing w:lineRule="auto" w:line="285" w:before="0" w:after="0"/>
              <w:ind w:left="0" w:right="0" w:hanging="0"/>
              <w:jc w:val="left"/>
              <w:rPr/>
            </w:pPr>
            <w:r>
              <w:rPr/>
              <w:t>​</w:t>
            </w:r>
          </w:p>
        </w:tc>
        <w:tc>
          <w:tcPr>
            <w:tcW w:w="24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73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244</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87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(115)</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417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Net current period other comprehensive income (loss)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89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22,480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2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6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5,221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73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271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87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27,972</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417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89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23" w:type="dxa"/>
            <w:tcBorders/>
            <w:vAlign w:val="center"/>
          </w:tcPr>
          <w:p>
            <w:pPr>
              <w:pStyle w:val="TableContents"/>
              <w:bidi w:val="0"/>
              <w:spacing w:lineRule="auto" w:line="285" w:before="0" w:after="0"/>
              <w:ind w:left="0" w:right="0" w:hanging="0"/>
              <w:jc w:val="right"/>
              <w:rPr/>
            </w:pPr>
            <w:r>
              <w:rPr/>
              <w:t>​</w:t>
            </w:r>
          </w:p>
        </w:tc>
        <w:tc>
          <w:tcPr>
            <w:tcW w:w="968"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4" w:type="dxa"/>
            <w:tcBorders/>
            <w:vAlign w:val="center"/>
          </w:tcPr>
          <w:p>
            <w:pPr>
              <w:pStyle w:val="TableContents"/>
              <w:bidi w:val="0"/>
              <w:spacing w:lineRule="auto" w:line="285" w:before="0" w:after="0"/>
              <w:ind w:left="0" w:right="0" w:hanging="0"/>
              <w:jc w:val="right"/>
              <w:rPr/>
            </w:pPr>
            <w:r>
              <w:rPr/>
              <w:t>​</w:t>
            </w:r>
          </w:p>
        </w:tc>
        <w:tc>
          <w:tcPr>
            <w:tcW w:w="732"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874" w:type="dxa"/>
            <w:tcBorders/>
            <w:vAlign w:val="center"/>
          </w:tcPr>
          <w:p>
            <w:pPr>
              <w:pStyle w:val="TableContents"/>
              <w:bidi w:val="0"/>
              <w:spacing w:lineRule="auto" w:line="285" w:before="0" w:after="0"/>
              <w:ind w:left="0" w:right="0" w:hanging="0"/>
              <w:jc w:val="right"/>
              <w:rPr/>
            </w:pPr>
            <w:r>
              <w:rPr/>
              <w:t>​</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417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Accumulated other comprehensive income (loss) at June 30, 2025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9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(101,341)</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32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6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(362)</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3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(2,446)</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7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(104,149)</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417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89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23" w:type="dxa"/>
            <w:tcBorders/>
            <w:vAlign w:val="center"/>
          </w:tcPr>
          <w:p>
            <w:pPr>
              <w:pStyle w:val="TableContents"/>
              <w:bidi w:val="0"/>
              <w:spacing w:lineRule="auto" w:line="285" w:before="0" w:after="0"/>
              <w:ind w:left="0" w:right="0" w:hanging="0"/>
              <w:jc w:val="right"/>
              <w:rPr/>
            </w:pPr>
            <w:r>
              <w:rPr/>
              <w:t>​</w:t>
            </w:r>
          </w:p>
        </w:tc>
        <w:tc>
          <w:tcPr>
            <w:tcW w:w="968"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4" w:type="dxa"/>
            <w:tcBorders/>
            <w:vAlign w:val="center"/>
          </w:tcPr>
          <w:p>
            <w:pPr>
              <w:pStyle w:val="TableContents"/>
              <w:bidi w:val="0"/>
              <w:spacing w:lineRule="auto" w:line="285" w:before="0" w:after="0"/>
              <w:ind w:left="0" w:right="0" w:hanging="0"/>
              <w:jc w:val="right"/>
              <w:rPr/>
            </w:pPr>
            <w:r>
              <w:rPr/>
              <w:t>​</w:t>
            </w:r>
          </w:p>
        </w:tc>
        <w:tc>
          <w:tcPr>
            <w:tcW w:w="732"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874" w:type="dxa"/>
            <w:tcBorders/>
            <w:vAlign w:val="center"/>
          </w:tcPr>
          <w:p>
            <w:pPr>
              <w:pStyle w:val="TableContents"/>
              <w:bidi w:val="0"/>
              <w:spacing w:lineRule="auto" w:line="285" w:before="0" w:after="0"/>
              <w:ind w:left="0" w:right="0" w:hanging="0"/>
              <w:jc w:val="right"/>
              <w:rPr/>
            </w:pPr>
            <w:r>
              <w:rPr/>
              <w:t>​</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417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Accumulated other comprehensive income (loss) at December 31, 2025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9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(102,275)</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32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6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(1,874)</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3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(2,789)</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7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(106,938)</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417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89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23" w:type="dxa"/>
            <w:tcBorders/>
            <w:vAlign w:val="center"/>
          </w:tcPr>
          <w:p>
            <w:pPr>
              <w:pStyle w:val="TableContents"/>
              <w:bidi w:val="0"/>
              <w:spacing w:lineRule="auto" w:line="285" w:before="0" w:after="0"/>
              <w:ind w:left="0" w:right="0" w:hanging="0"/>
              <w:jc w:val="right"/>
              <w:rPr/>
            </w:pPr>
            <w:r>
              <w:rPr/>
              <w:t>​</w:t>
            </w:r>
          </w:p>
        </w:tc>
        <w:tc>
          <w:tcPr>
            <w:tcW w:w="968"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4" w:type="dxa"/>
            <w:tcBorders/>
            <w:vAlign w:val="center"/>
          </w:tcPr>
          <w:p>
            <w:pPr>
              <w:pStyle w:val="TableContents"/>
              <w:bidi w:val="0"/>
              <w:spacing w:lineRule="auto" w:line="285" w:before="0" w:after="0"/>
              <w:ind w:left="0" w:right="0" w:hanging="0"/>
              <w:jc w:val="right"/>
              <w:rPr/>
            </w:pPr>
            <w:r>
              <w:rPr/>
              <w:t>​</w:t>
            </w:r>
          </w:p>
        </w:tc>
        <w:tc>
          <w:tcPr>
            <w:tcW w:w="732"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874" w:type="dxa"/>
            <w:tcBorders/>
            <w:vAlign w:val="center"/>
          </w:tcPr>
          <w:p>
            <w:pPr>
              <w:pStyle w:val="TableContents"/>
              <w:bidi w:val="0"/>
              <w:spacing w:lineRule="auto" w:line="285" w:before="0" w:after="0"/>
              <w:ind w:left="0" w:right="0" w:hanging="0"/>
              <w:jc w:val="right"/>
              <w:rPr/>
            </w:pPr>
            <w:r>
              <w:rPr/>
              <w:t>​</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417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Other comprehensive income (loss) before reclassifications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89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(3,700)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23" w:type="dxa"/>
            <w:tcBorders/>
            <w:shd w:fill="CCEEFF" w:val="clear"/>
            <w:vAlign w:val="center"/>
          </w:tcPr>
          <w:p>
            <w:pPr>
              <w:pStyle w:val="TableContents"/>
              <w:bidi w:val="0"/>
              <w:spacing w:lineRule="auto" w:line="285" w:before="0" w:after="0"/>
              <w:ind w:left="0" w:right="0" w:hanging="0"/>
              <w:jc w:val="right"/>
              <w:rPr/>
            </w:pPr>
            <w:r>
              <w:rPr/>
              <w:t>​</w:t>
            </w:r>
          </w:p>
        </w:tc>
        <w:tc>
          <w:tcPr>
            <w:tcW w:w="968"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(1,352)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4" w:type="dxa"/>
            <w:tcBorders/>
            <w:shd w:fill="CCEEFF" w:val="clear"/>
            <w:vAlign w:val="center"/>
          </w:tcPr>
          <w:p>
            <w:pPr>
              <w:pStyle w:val="TableContents"/>
              <w:bidi w:val="0"/>
              <w:spacing w:lineRule="auto" w:line="285" w:before="0" w:after="0"/>
              <w:ind w:left="0" w:right="0" w:hanging="0"/>
              <w:jc w:val="right"/>
              <w:rPr/>
            </w:pPr>
            <w:r>
              <w:rPr/>
              <w:t>​</w:t>
            </w:r>
          </w:p>
        </w:tc>
        <w:tc>
          <w:tcPr>
            <w:tcW w:w="732"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87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(5,026)</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417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Amounts reclassified from accumulated other comprehensive income (loss)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89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(102)</w:t>
            </w:r>
          </w:p>
        </w:tc>
        <w:tc>
          <w:tcPr>
            <w:tcW w:w="346" w:type="dxa"/>
            <w:tcBorders/>
            <w:vAlign w:val="center"/>
          </w:tcPr>
          <w:p>
            <w:pPr>
              <w:pStyle w:val="TableContents"/>
              <w:bidi w:val="0"/>
              <w:spacing w:lineRule="auto" w:line="285" w:before="0" w:after="0"/>
              <w:ind w:left="0" w:right="0" w:hanging="0"/>
              <w:jc w:val="left"/>
              <w:rPr/>
            </w:pPr>
            <w:r>
              <w:rPr/>
              <w:t>​</w:t>
            </w:r>
          </w:p>
        </w:tc>
        <w:tc>
          <w:tcPr>
            <w:tcW w:w="32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96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500</w:t>
            </w:r>
          </w:p>
        </w:tc>
        <w:tc>
          <w:tcPr>
            <w:tcW w:w="346" w:type="dxa"/>
            <w:tcBorders/>
            <w:vAlign w:val="center"/>
          </w:tcPr>
          <w:p>
            <w:pPr>
              <w:pStyle w:val="TableContents"/>
              <w:bidi w:val="0"/>
              <w:spacing w:lineRule="auto" w:line="285" w:before="0" w:after="0"/>
              <w:ind w:left="0" w:right="0" w:hanging="0"/>
              <w:jc w:val="left"/>
              <w:rPr/>
            </w:pPr>
            <w:r>
              <w:rPr/>
              <w:t>​</w:t>
            </w:r>
          </w:p>
        </w:tc>
        <w:tc>
          <w:tcPr>
            <w:tcW w:w="24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73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235</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87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633</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417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Net current period other comprehensive income (loss)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89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(3,802)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2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6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(852)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73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261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87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(4,393)</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417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89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23" w:type="dxa"/>
            <w:tcBorders/>
            <w:vAlign w:val="center"/>
          </w:tcPr>
          <w:p>
            <w:pPr>
              <w:pStyle w:val="TableContents"/>
              <w:bidi w:val="0"/>
              <w:spacing w:lineRule="auto" w:line="285" w:before="0" w:after="0"/>
              <w:ind w:left="0" w:right="0" w:hanging="0"/>
              <w:jc w:val="right"/>
              <w:rPr/>
            </w:pPr>
            <w:r>
              <w:rPr/>
              <w:t>​</w:t>
            </w:r>
          </w:p>
        </w:tc>
        <w:tc>
          <w:tcPr>
            <w:tcW w:w="968"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4" w:type="dxa"/>
            <w:tcBorders/>
            <w:vAlign w:val="center"/>
          </w:tcPr>
          <w:p>
            <w:pPr>
              <w:pStyle w:val="TableContents"/>
              <w:bidi w:val="0"/>
              <w:spacing w:lineRule="auto" w:line="285" w:before="0" w:after="0"/>
              <w:ind w:left="0" w:right="0" w:hanging="0"/>
              <w:jc w:val="right"/>
              <w:rPr/>
            </w:pPr>
            <w:r>
              <w:rPr/>
              <w:t>​</w:t>
            </w:r>
          </w:p>
        </w:tc>
        <w:tc>
          <w:tcPr>
            <w:tcW w:w="732"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874" w:type="dxa"/>
            <w:tcBorders/>
            <w:vAlign w:val="center"/>
          </w:tcPr>
          <w:p>
            <w:pPr>
              <w:pStyle w:val="TableContents"/>
              <w:bidi w:val="0"/>
              <w:spacing w:lineRule="auto" w:line="285" w:before="0" w:after="0"/>
              <w:ind w:left="0" w:right="0" w:hanging="0"/>
              <w:jc w:val="right"/>
              <w:rPr/>
            </w:pPr>
            <w:r>
              <w:rPr/>
              <w:t>​</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417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Accumulated other comprehensive income (loss) at June 30, 2026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9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(106,077)</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32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6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(2,726)</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3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(2,528)</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7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(111,331)</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following table presents the classification and amount of the reclassifications from Accumulated other comprehensive income (loss) to the Statement of Comprehensive Income (Loss) (in thousands):</w:t>
      </w:r>
    </w:p>
    <w:tbl>
      <w:tblPr>
        <w:tblW w:w="10205" w:type="dxa"/>
        <w:jc w:val="left"/>
        <w:tblInd w:w="0" w:type="dxa"/>
        <w:tblLayout w:type="fixed"/>
        <w:tblCellMar>
          <w:top w:w="0" w:type="dxa"/>
          <w:left w:w="0" w:type="dxa"/>
          <w:bottom w:w="0" w:type="dxa"/>
          <w:right w:w="0" w:type="dxa"/>
        </w:tblCellMar>
      </w:tblPr>
      <w:tblGrid>
        <w:gridCol w:w="3976"/>
        <w:gridCol w:w="346"/>
        <w:gridCol w:w="381"/>
        <w:gridCol w:w="874"/>
        <w:gridCol w:w="628"/>
        <w:gridCol w:w="381"/>
        <w:gridCol w:w="879"/>
        <w:gridCol w:w="346"/>
        <w:gridCol w:w="2237"/>
        <w:gridCol w:w="157"/>
      </w:tblGrid>
      <w:tr>
        <w:trPr/>
        <w:tc>
          <w:tcPr>
            <w:tcW w:w="3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524760" cy="175260"/>
                      <wp:effectExtent l="0" t="0" r="0" b="0"/>
                      <wp:wrapNone/>
                      <wp:docPr id="382" name="Frame382"/>
                      <a:graphic xmlns:a="http://schemas.openxmlformats.org/drawingml/2006/main">
                        <a:graphicData uri="http://schemas.microsoft.com/office/word/2010/wordprocessingShape">
                          <wps:wsp>
                            <wps:cNvSpPr txBox="1"/>
                            <wps:spPr>
                              <a:xfrm>
                                <a:off x="0" y="0"/>
                                <a:ext cx="25247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19710" cy="175260"/>
                      <wp:effectExtent l="0" t="0" r="0" b="0"/>
                      <wp:wrapNone/>
                      <wp:docPr id="383" name="Frame3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41935" cy="175260"/>
                      <wp:effectExtent l="0" t="0" r="0" b="0"/>
                      <wp:wrapNone/>
                      <wp:docPr id="384" name="Frame384"/>
                      <a:graphic xmlns:a="http://schemas.openxmlformats.org/drawingml/2006/main">
                        <a:graphicData uri="http://schemas.microsoft.com/office/word/2010/wordprocessingShape">
                          <wps:wsp>
                            <wps:cNvSpPr txBox="1"/>
                            <wps:spPr>
                              <a:xfrm>
                                <a:off x="0" y="0"/>
                                <a:ext cx="241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554990" cy="175260"/>
                      <wp:effectExtent l="0" t="0" r="0" b="0"/>
                      <wp:wrapNone/>
                      <wp:docPr id="385" name="Frame385"/>
                      <a:graphic xmlns:a="http://schemas.openxmlformats.org/drawingml/2006/main">
                        <a:graphicData uri="http://schemas.microsoft.com/office/word/2010/wordprocessingShape">
                          <wps:wsp>
                            <wps:cNvSpPr txBox="1"/>
                            <wps:spPr>
                              <a:xfrm>
                                <a:off x="0" y="0"/>
                                <a:ext cx="5549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398780" cy="175260"/>
                      <wp:effectExtent l="0" t="0" r="0" b="0"/>
                      <wp:wrapNone/>
                      <wp:docPr id="386" name="Frame386"/>
                      <a:graphic xmlns:a="http://schemas.openxmlformats.org/drawingml/2006/main">
                        <a:graphicData uri="http://schemas.microsoft.com/office/word/2010/wordprocessingShape">
                          <wps:wsp>
                            <wps:cNvSpPr txBox="1"/>
                            <wps:spPr>
                              <a:xfrm>
                                <a:off x="0" y="0"/>
                                <a:ext cx="3987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41935" cy="175260"/>
                      <wp:effectExtent l="0" t="0" r="0" b="0"/>
                      <wp:wrapNone/>
                      <wp:docPr id="387" name="Frame387"/>
                      <a:graphic xmlns:a="http://schemas.openxmlformats.org/drawingml/2006/main">
                        <a:graphicData uri="http://schemas.microsoft.com/office/word/2010/wordprocessingShape">
                          <wps:wsp>
                            <wps:cNvSpPr txBox="1"/>
                            <wps:spPr>
                              <a:xfrm>
                                <a:off x="0" y="0"/>
                                <a:ext cx="241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558165" cy="175260"/>
                      <wp:effectExtent l="0" t="0" r="0" b="0"/>
                      <wp:wrapNone/>
                      <wp:docPr id="388" name="Frame388"/>
                      <a:graphic xmlns:a="http://schemas.openxmlformats.org/drawingml/2006/main">
                        <a:graphicData uri="http://schemas.microsoft.com/office/word/2010/wordprocessingShape">
                          <wps:wsp>
                            <wps:cNvSpPr txBox="1"/>
                            <wps:spPr>
                              <a:xfrm>
                                <a:off x="0" y="0"/>
                                <a:ext cx="5581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19710" cy="175260"/>
                      <wp:effectExtent l="0" t="0" r="0" b="0"/>
                      <wp:wrapNone/>
                      <wp:docPr id="389" name="Frame3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420495" cy="175260"/>
                      <wp:effectExtent l="0" t="0" r="0" b="0"/>
                      <wp:wrapNone/>
                      <wp:docPr id="390" name="Frame390"/>
                      <a:graphic xmlns:a="http://schemas.openxmlformats.org/drawingml/2006/main">
                        <a:graphicData uri="http://schemas.microsoft.com/office/word/2010/wordprocessingShape">
                          <wps:wsp>
                            <wps:cNvSpPr txBox="1"/>
                            <wps:spPr>
                              <a:xfrm>
                                <a:off x="0" y="0"/>
                                <a:ext cx="14204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99695" cy="175260"/>
                      <wp:effectExtent l="0" t="0" r="0" b="0"/>
                      <wp:wrapNone/>
                      <wp:docPr id="391" name="Frame391"/>
                      <a:graphic xmlns:a="http://schemas.openxmlformats.org/drawingml/2006/main">
                        <a:graphicData uri="http://schemas.microsoft.com/office/word/2010/wordprocessingShape">
                          <wps:wsp>
                            <wps:cNvSpPr txBox="1"/>
                            <wps:spPr>
                              <a:xfrm>
                                <a:off x="0" y="0"/>
                                <a:ext cx="996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9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381" w:type="dxa"/>
            <w:tcBorders/>
            <w:vAlign w:val="center"/>
          </w:tcPr>
          <w:p>
            <w:pPr>
              <w:pStyle w:val="TableContents"/>
              <w:bidi w:val="0"/>
              <w:spacing w:lineRule="auto" w:line="285" w:before="0" w:after="0"/>
              <w:ind w:left="0" w:right="0" w:hanging="0"/>
              <w:jc w:val="center"/>
              <w:rPr/>
            </w:pPr>
            <w:r>
              <w:rPr/>
              <w:t>​</w:t>
            </w:r>
          </w:p>
        </w:tc>
        <w:tc>
          <w:tcPr>
            <w:tcW w:w="874" w:type="dxa"/>
            <w:tcBorders/>
            <w:vAlign w:val="center"/>
          </w:tcPr>
          <w:p>
            <w:pPr>
              <w:pStyle w:val="TableContents"/>
              <w:bidi w:val="0"/>
              <w:spacing w:lineRule="auto" w:line="285" w:before="0" w:after="0"/>
              <w:ind w:left="0" w:right="0" w:hanging="0"/>
              <w:jc w:val="center"/>
              <w:rPr/>
            </w:pPr>
            <w:r>
              <w:rPr/>
              <w:t>​</w:t>
            </w:r>
          </w:p>
        </w:tc>
        <w:tc>
          <w:tcPr>
            <w:tcW w:w="628" w:type="dxa"/>
            <w:tcBorders/>
            <w:vAlign w:val="center"/>
          </w:tcPr>
          <w:p>
            <w:pPr>
              <w:pStyle w:val="TableContents"/>
              <w:bidi w:val="0"/>
              <w:spacing w:lineRule="auto" w:line="285" w:before="0" w:after="0"/>
              <w:ind w:left="0" w:right="0" w:hanging="0"/>
              <w:jc w:val="center"/>
              <w:rPr/>
            </w:pPr>
            <w:r>
              <w:rPr/>
              <w:t>​</w:t>
            </w:r>
          </w:p>
        </w:tc>
        <w:tc>
          <w:tcPr>
            <w:tcW w:w="381" w:type="dxa"/>
            <w:tcBorders/>
            <w:vAlign w:val="center"/>
          </w:tcPr>
          <w:p>
            <w:pPr>
              <w:pStyle w:val="TableContents"/>
              <w:bidi w:val="0"/>
              <w:spacing w:lineRule="auto" w:line="285" w:before="0" w:after="0"/>
              <w:ind w:left="0" w:right="0" w:hanging="0"/>
              <w:jc w:val="center"/>
              <w:rPr/>
            </w:pPr>
            <w:r>
              <w:rPr/>
              <w:t>​</w:t>
            </w:r>
          </w:p>
        </w:tc>
        <w:tc>
          <w:tcPr>
            <w:tcW w:w="879"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2237"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Statement of</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39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3143"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xml:space="preserve">For the Three Months Ended June 30, </w:t>
            </w:r>
          </w:p>
        </w:tc>
        <w:tc>
          <w:tcPr>
            <w:tcW w:w="346" w:type="dxa"/>
            <w:tcBorders/>
            <w:vAlign w:val="center"/>
          </w:tcPr>
          <w:p>
            <w:pPr>
              <w:pStyle w:val="TableContents"/>
              <w:bidi w:val="0"/>
              <w:spacing w:lineRule="auto" w:line="285" w:before="0" w:after="0"/>
              <w:ind w:left="0" w:right="0" w:hanging="0"/>
              <w:jc w:val="center"/>
              <w:rPr/>
            </w:pPr>
            <w:r>
              <w:rPr/>
              <w:t>​</w:t>
            </w:r>
          </w:p>
        </w:tc>
        <w:tc>
          <w:tcPr>
            <w:tcW w:w="2237"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Comprehensive Income</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39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25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628" w:type="dxa"/>
            <w:tcBorders/>
            <w:vAlign w:val="center"/>
          </w:tcPr>
          <w:p>
            <w:pPr>
              <w:pStyle w:val="TableContents"/>
              <w:bidi w:val="0"/>
              <w:spacing w:lineRule="auto" w:line="285" w:before="0" w:after="0"/>
              <w:ind w:left="0" w:right="0" w:hanging="0"/>
              <w:jc w:val="center"/>
              <w:rPr/>
            </w:pPr>
            <w:r>
              <w:rPr/>
              <w:t>  ​ ​ ​</w:t>
            </w:r>
          </w:p>
        </w:tc>
        <w:tc>
          <w:tcPr>
            <w:tcW w:w="126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46" w:type="dxa"/>
            <w:tcBorders/>
            <w:vAlign w:val="center"/>
          </w:tcPr>
          <w:p>
            <w:pPr>
              <w:pStyle w:val="TableContents"/>
              <w:bidi w:val="0"/>
              <w:spacing w:lineRule="auto" w:line="285" w:before="0" w:after="0"/>
              <w:ind w:left="0" w:right="0" w:hanging="0"/>
              <w:jc w:val="center"/>
              <w:rPr/>
            </w:pPr>
            <w:r>
              <w:rPr/>
              <w:t>  ​ ​ ​</w:t>
            </w:r>
          </w:p>
        </w:tc>
        <w:tc>
          <w:tcPr>
            <w:tcW w:w="2237"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(Loss) Classification</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39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81" w:type="dxa"/>
            <w:tcBorders/>
            <w:vAlign w:val="center"/>
          </w:tcPr>
          <w:p>
            <w:pPr>
              <w:pStyle w:val="TableContents"/>
              <w:bidi w:val="0"/>
              <w:spacing w:lineRule="auto" w:line="285" w:before="0" w:after="0"/>
              <w:ind w:left="0" w:right="0" w:hanging="0"/>
              <w:jc w:val="right"/>
              <w:rPr/>
            </w:pPr>
            <w:r>
              <w:rPr/>
              <w:t>​</w:t>
            </w:r>
          </w:p>
        </w:tc>
        <w:tc>
          <w:tcPr>
            <w:tcW w:w="874" w:type="dxa"/>
            <w:tcBorders/>
            <w:vAlign w:val="center"/>
          </w:tcPr>
          <w:p>
            <w:pPr>
              <w:pStyle w:val="TableContents"/>
              <w:bidi w:val="0"/>
              <w:spacing w:lineRule="auto" w:line="285" w:before="0" w:after="0"/>
              <w:ind w:left="0" w:right="0" w:hanging="0"/>
              <w:jc w:val="right"/>
              <w:rPr/>
            </w:pPr>
            <w:r>
              <w:rPr/>
              <w:t>​</w:t>
            </w:r>
          </w:p>
        </w:tc>
        <w:tc>
          <w:tcPr>
            <w:tcW w:w="628" w:type="dxa"/>
            <w:tcBorders/>
            <w:vAlign w:val="center"/>
          </w:tcPr>
          <w:p>
            <w:pPr>
              <w:pStyle w:val="TableContents"/>
              <w:bidi w:val="0"/>
              <w:spacing w:lineRule="auto" w:line="285" w:before="0" w:after="0"/>
              <w:ind w:left="0" w:right="0" w:hanging="0"/>
              <w:jc w:val="left"/>
              <w:rPr/>
            </w:pPr>
            <w:r>
              <w:rPr/>
              <w:t>​</w:t>
            </w:r>
          </w:p>
        </w:tc>
        <w:tc>
          <w:tcPr>
            <w:tcW w:w="381" w:type="dxa"/>
            <w:tcBorders/>
            <w:vAlign w:val="center"/>
          </w:tcPr>
          <w:p>
            <w:pPr>
              <w:pStyle w:val="TableContents"/>
              <w:bidi w:val="0"/>
              <w:spacing w:lineRule="auto" w:line="285" w:before="0" w:after="0"/>
              <w:ind w:left="0" w:right="0" w:hanging="0"/>
              <w:jc w:val="right"/>
              <w:rPr/>
            </w:pPr>
            <w:r>
              <w:rPr/>
              <w:t>​</w:t>
            </w:r>
          </w:p>
        </w:tc>
        <w:tc>
          <w:tcPr>
            <w:tcW w:w="879"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37" w:type="dxa"/>
            <w:tcBorders/>
            <w:vAlign w:val="center"/>
          </w:tcPr>
          <w:p>
            <w:pPr>
              <w:pStyle w:val="TableContents"/>
              <w:bidi w:val="0"/>
              <w:spacing w:lineRule="auto" w:line="285" w:before="0" w:after="0"/>
              <w:ind w:left="0" w:right="0" w:hanging="0"/>
              <w:jc w:val="left"/>
              <w:rPr/>
            </w:pPr>
            <w:r>
              <w:rPr/>
              <w:t>​</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397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Derivative valuation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81" w:type="dxa"/>
            <w:tcBorders/>
            <w:shd w:fill="CCEEFF" w:val="clear"/>
            <w:vAlign w:val="center"/>
          </w:tcPr>
          <w:p>
            <w:pPr>
              <w:pStyle w:val="TableContents"/>
              <w:bidi w:val="0"/>
              <w:spacing w:lineRule="auto" w:line="285" w:before="0" w:after="0"/>
              <w:ind w:left="0" w:right="0" w:hanging="0"/>
              <w:jc w:val="right"/>
              <w:rPr/>
            </w:pPr>
            <w:r>
              <w:rPr/>
              <w:t>​</w:t>
            </w:r>
          </w:p>
        </w:tc>
        <w:tc>
          <w:tcPr>
            <w:tcW w:w="874" w:type="dxa"/>
            <w:tcBorders/>
            <w:shd w:fill="CCEEFF" w:val="clear"/>
            <w:vAlign w:val="center"/>
          </w:tcPr>
          <w:p>
            <w:pPr>
              <w:pStyle w:val="TableContents"/>
              <w:bidi w:val="0"/>
              <w:spacing w:lineRule="auto" w:line="285" w:before="0" w:after="0"/>
              <w:ind w:left="0" w:right="0" w:hanging="0"/>
              <w:jc w:val="right"/>
              <w:rPr/>
            </w:pPr>
            <w:r>
              <w:rPr/>
              <w:t>​</w:t>
            </w:r>
          </w:p>
        </w:tc>
        <w:tc>
          <w:tcPr>
            <w:tcW w:w="628" w:type="dxa"/>
            <w:tcBorders/>
            <w:shd w:fill="CCEEFF" w:val="clear"/>
            <w:vAlign w:val="center"/>
          </w:tcPr>
          <w:p>
            <w:pPr>
              <w:pStyle w:val="TableContents"/>
              <w:bidi w:val="0"/>
              <w:spacing w:lineRule="auto" w:line="285" w:before="0" w:after="0"/>
              <w:ind w:left="0" w:right="0" w:hanging="0"/>
              <w:jc w:val="left"/>
              <w:rPr/>
            </w:pPr>
            <w:r>
              <w:rPr/>
              <w:t>​</w:t>
            </w:r>
          </w:p>
        </w:tc>
        <w:tc>
          <w:tcPr>
            <w:tcW w:w="381" w:type="dxa"/>
            <w:tcBorders/>
            <w:shd w:fill="CCEEFF" w:val="clear"/>
            <w:vAlign w:val="center"/>
          </w:tcPr>
          <w:p>
            <w:pPr>
              <w:pStyle w:val="TableContents"/>
              <w:bidi w:val="0"/>
              <w:spacing w:lineRule="auto" w:line="285" w:before="0" w:after="0"/>
              <w:ind w:left="0" w:right="0" w:hanging="0"/>
              <w:jc w:val="right"/>
              <w:rPr/>
            </w:pPr>
            <w:r>
              <w:rPr/>
              <w:t>​</w:t>
            </w:r>
          </w:p>
        </w:tc>
        <w:tc>
          <w:tcPr>
            <w:tcW w:w="879"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7" w:type="dxa"/>
            <w:tcBorders/>
            <w:shd w:fill="CCEEFF" w:val="clear"/>
            <w:vAlign w:val="center"/>
          </w:tcPr>
          <w:p>
            <w:pPr>
              <w:pStyle w:val="TableContents"/>
              <w:bidi w:val="0"/>
              <w:spacing w:lineRule="auto" w:line="285" w:before="0" w:after="0"/>
              <w:ind w:left="0" w:right="0" w:hanging="0"/>
              <w:jc w:val="left"/>
              <w:rPr/>
            </w:pPr>
            <w:r>
              <w:rPr/>
              <w:t>​</w:t>
            </w:r>
          </w:p>
        </w:tc>
        <w:tc>
          <w:tcPr>
            <w:tcW w:w="157" w:type="dxa"/>
            <w:tcBorders/>
            <w:shd w:fill="CCEEFF" w:val="clear"/>
            <w:vAlign w:val="center"/>
          </w:tcPr>
          <w:p>
            <w:pPr>
              <w:pStyle w:val="TableContents"/>
              <w:bidi w:val="0"/>
              <w:spacing w:lineRule="auto" w:line="285" w:before="0" w:after="0"/>
              <w:ind w:left="0" w:right="0" w:hanging="0"/>
              <w:jc w:val="left"/>
              <w:rPr/>
            </w:pPr>
            <w:r>
              <w:rPr/>
              <w:t>​</w:t>
            </w:r>
          </w:p>
        </w:tc>
      </w:tr>
      <w:tr>
        <w:trPr/>
        <w:tc>
          <w:tcPr>
            <w:tcW w:w="397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Gain on foreign currency forward exchange contracts</w:t>
            </w:r>
          </w:p>
        </w:tc>
        <w:tc>
          <w:tcPr>
            <w:tcW w:w="346" w:type="dxa"/>
            <w:tcBorders/>
            <w:vAlign w:val="center"/>
          </w:tcPr>
          <w:p>
            <w:pPr>
              <w:pStyle w:val="TableContents"/>
              <w:bidi w:val="0"/>
              <w:spacing w:lineRule="auto" w:line="285" w:before="0" w:after="0"/>
              <w:ind w:left="0" w:right="0" w:hanging="0"/>
              <w:jc w:val="left"/>
              <w:rPr/>
            </w:pPr>
            <w:r>
              <w:rPr/>
              <w:t>​</w:t>
            </w:r>
          </w:p>
        </w:tc>
        <w:tc>
          <w:tcPr>
            <w:tcW w:w="38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74"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(785)</w:t>
            </w:r>
          </w:p>
        </w:tc>
        <w:tc>
          <w:tcPr>
            <w:tcW w:w="628" w:type="dxa"/>
            <w:tcBorders/>
            <w:vAlign w:val="center"/>
          </w:tcPr>
          <w:p>
            <w:pPr>
              <w:pStyle w:val="TableContents"/>
              <w:bidi w:val="0"/>
              <w:spacing w:lineRule="auto" w:line="285" w:before="0" w:after="0"/>
              <w:ind w:left="0" w:right="0" w:hanging="0"/>
              <w:jc w:val="left"/>
              <w:rPr/>
            </w:pPr>
            <w:r>
              <w:rPr/>
              <w:t>​</w:t>
            </w:r>
          </w:p>
        </w:tc>
        <w:tc>
          <w:tcPr>
            <w:tcW w:w="38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79"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659</w:t>
            </w:r>
          </w:p>
        </w:tc>
        <w:tc>
          <w:tcPr>
            <w:tcW w:w="346" w:type="dxa"/>
            <w:tcBorders/>
            <w:vAlign w:val="center"/>
          </w:tcPr>
          <w:p>
            <w:pPr>
              <w:pStyle w:val="TableContents"/>
              <w:bidi w:val="0"/>
              <w:spacing w:lineRule="auto" w:line="285" w:before="0" w:after="0"/>
              <w:ind w:left="0" w:right="0" w:hanging="0"/>
              <w:jc w:val="left"/>
              <w:rPr/>
            </w:pPr>
            <w:r>
              <w:rPr/>
              <w:t> </w:t>
            </w:r>
          </w:p>
        </w:tc>
        <w:tc>
          <w:tcPr>
            <w:tcW w:w="2237"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Revenue</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397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Tax effect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87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204</w:t>
            </w:r>
          </w:p>
        </w:tc>
        <w:tc>
          <w:tcPr>
            <w:tcW w:w="628" w:type="dxa"/>
            <w:tcBorders/>
            <w:shd w:fill="CCEEFF" w:val="clear"/>
            <w:vAlign w:val="center"/>
          </w:tcPr>
          <w:p>
            <w:pPr>
              <w:pStyle w:val="TableContents"/>
              <w:bidi w:val="0"/>
              <w:spacing w:lineRule="auto" w:line="285" w:before="0" w:after="0"/>
              <w:ind w:left="0" w:right="0" w:hanging="0"/>
              <w:jc w:val="left"/>
              <w:rPr/>
            </w:pPr>
            <w:r>
              <w:rPr/>
              <w:t>​</w:t>
            </w:r>
          </w:p>
        </w:tc>
        <w:tc>
          <w:tcPr>
            <w:tcW w:w="3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87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(171)</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237"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Provision for income taxes</w:t>
            </w:r>
          </w:p>
        </w:tc>
        <w:tc>
          <w:tcPr>
            <w:tcW w:w="157" w:type="dxa"/>
            <w:tcBorders/>
            <w:shd w:fill="CCEEFF" w:val="clear"/>
            <w:vAlign w:val="center"/>
          </w:tcPr>
          <w:p>
            <w:pPr>
              <w:pStyle w:val="TableContents"/>
              <w:bidi w:val="0"/>
              <w:spacing w:lineRule="auto" w:line="285" w:before="0" w:after="0"/>
              <w:ind w:left="0" w:right="0" w:hanging="0"/>
              <w:jc w:val="left"/>
              <w:rPr/>
            </w:pPr>
            <w:r>
              <w:rPr/>
              <w:t>​</w:t>
            </w:r>
          </w:p>
        </w:tc>
      </w:tr>
      <w:tr>
        <w:trPr/>
        <w:tc>
          <w:tcPr>
            <w:tcW w:w="39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8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7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(581)</w:t>
            </w:r>
          </w:p>
        </w:tc>
        <w:tc>
          <w:tcPr>
            <w:tcW w:w="628" w:type="dxa"/>
            <w:tcBorders/>
            <w:vAlign w:val="center"/>
          </w:tcPr>
          <w:p>
            <w:pPr>
              <w:pStyle w:val="TableContents"/>
              <w:bidi w:val="0"/>
              <w:spacing w:lineRule="auto" w:line="285" w:before="0" w:after="0"/>
              <w:ind w:left="0" w:right="0" w:hanging="0"/>
              <w:jc w:val="left"/>
              <w:rPr/>
            </w:pPr>
            <w:r>
              <w:rPr/>
              <w:t>​</w:t>
            </w:r>
          </w:p>
        </w:tc>
        <w:tc>
          <w:tcPr>
            <w:tcW w:w="38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7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488</w:t>
            </w:r>
          </w:p>
        </w:tc>
        <w:tc>
          <w:tcPr>
            <w:tcW w:w="346" w:type="dxa"/>
            <w:tcBorders/>
            <w:vAlign w:val="center"/>
          </w:tcPr>
          <w:p>
            <w:pPr>
              <w:pStyle w:val="TableContents"/>
              <w:bidi w:val="0"/>
              <w:spacing w:lineRule="auto" w:line="285" w:before="0" w:after="0"/>
              <w:ind w:left="0" w:right="0" w:hanging="0"/>
              <w:jc w:val="left"/>
              <w:rPr/>
            </w:pPr>
            <w:r>
              <w:rPr/>
              <w:t> </w:t>
            </w:r>
          </w:p>
        </w:tc>
        <w:tc>
          <w:tcPr>
            <w:tcW w:w="2237"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Net income (loss)</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397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81" w:type="dxa"/>
            <w:tcBorders/>
            <w:shd w:fill="CCEEFF" w:val="clear"/>
            <w:vAlign w:val="center"/>
          </w:tcPr>
          <w:p>
            <w:pPr>
              <w:pStyle w:val="TableContents"/>
              <w:bidi w:val="0"/>
              <w:spacing w:lineRule="auto" w:line="285" w:before="0" w:after="0"/>
              <w:ind w:left="0" w:right="0" w:hanging="0"/>
              <w:jc w:val="right"/>
              <w:rPr/>
            </w:pPr>
            <w:r>
              <w:rPr/>
              <w:t>​</w:t>
            </w:r>
          </w:p>
        </w:tc>
        <w:tc>
          <w:tcPr>
            <w:tcW w:w="874" w:type="dxa"/>
            <w:tcBorders/>
            <w:shd w:fill="CCEEFF" w:val="clear"/>
            <w:vAlign w:val="center"/>
          </w:tcPr>
          <w:p>
            <w:pPr>
              <w:pStyle w:val="TableContents"/>
              <w:bidi w:val="0"/>
              <w:spacing w:lineRule="auto" w:line="285" w:before="0" w:after="0"/>
              <w:ind w:left="0" w:right="0" w:hanging="0"/>
              <w:jc w:val="right"/>
              <w:rPr/>
            </w:pPr>
            <w:r>
              <w:rPr/>
              <w:t>​</w:t>
            </w:r>
          </w:p>
        </w:tc>
        <w:tc>
          <w:tcPr>
            <w:tcW w:w="628" w:type="dxa"/>
            <w:tcBorders/>
            <w:shd w:fill="CCEEFF" w:val="clear"/>
            <w:vAlign w:val="center"/>
          </w:tcPr>
          <w:p>
            <w:pPr>
              <w:pStyle w:val="TableContents"/>
              <w:bidi w:val="0"/>
              <w:spacing w:lineRule="auto" w:line="285" w:before="0" w:after="0"/>
              <w:ind w:left="0" w:right="0" w:hanging="0"/>
              <w:jc w:val="left"/>
              <w:rPr/>
            </w:pPr>
            <w:r>
              <w:rPr/>
              <w:t>​</w:t>
            </w:r>
          </w:p>
        </w:tc>
        <w:tc>
          <w:tcPr>
            <w:tcW w:w="381" w:type="dxa"/>
            <w:tcBorders/>
            <w:shd w:fill="CCEEFF" w:val="clear"/>
            <w:vAlign w:val="center"/>
          </w:tcPr>
          <w:p>
            <w:pPr>
              <w:pStyle w:val="TableContents"/>
              <w:bidi w:val="0"/>
              <w:spacing w:lineRule="auto" w:line="285" w:before="0" w:after="0"/>
              <w:ind w:left="0" w:right="0" w:hanging="0"/>
              <w:jc w:val="right"/>
              <w:rPr/>
            </w:pPr>
            <w:r>
              <w:rPr/>
              <w:t>​</w:t>
            </w:r>
          </w:p>
        </w:tc>
        <w:tc>
          <w:tcPr>
            <w:tcW w:w="879"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7" w:type="dxa"/>
            <w:tcBorders/>
            <w:shd w:fill="CCEEFF" w:val="clear"/>
            <w:vAlign w:val="center"/>
          </w:tcPr>
          <w:p>
            <w:pPr>
              <w:pStyle w:val="TableContents"/>
              <w:bidi w:val="0"/>
              <w:spacing w:lineRule="auto" w:line="285" w:before="0" w:after="0"/>
              <w:ind w:left="0" w:right="0" w:hanging="0"/>
              <w:jc w:val="left"/>
              <w:rPr/>
            </w:pPr>
            <w:r>
              <w:rPr/>
              <w:t>​</w:t>
            </w:r>
          </w:p>
        </w:tc>
        <w:tc>
          <w:tcPr>
            <w:tcW w:w="157" w:type="dxa"/>
            <w:tcBorders/>
            <w:shd w:fill="CCEEFF" w:val="clear"/>
            <w:vAlign w:val="center"/>
          </w:tcPr>
          <w:p>
            <w:pPr>
              <w:pStyle w:val="TableContents"/>
              <w:bidi w:val="0"/>
              <w:spacing w:lineRule="auto" w:line="285" w:before="0" w:after="0"/>
              <w:ind w:left="0" w:right="0" w:hanging="0"/>
              <w:jc w:val="left"/>
              <w:rPr/>
            </w:pPr>
            <w:r>
              <w:rPr/>
              <w:t>​</w:t>
            </w:r>
          </w:p>
        </w:tc>
      </w:tr>
      <w:tr>
        <w:trPr/>
        <w:tc>
          <w:tcPr>
            <w:tcW w:w="3976" w:type="dxa"/>
            <w:tcBorders/>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Other</w:t>
            </w:r>
          </w:p>
        </w:tc>
        <w:tc>
          <w:tcPr>
            <w:tcW w:w="346" w:type="dxa"/>
            <w:tcBorders/>
            <w:vAlign w:val="center"/>
          </w:tcPr>
          <w:p>
            <w:pPr>
              <w:pStyle w:val="TableContents"/>
              <w:bidi w:val="0"/>
              <w:spacing w:lineRule="auto" w:line="285" w:before="0" w:after="0"/>
              <w:ind w:left="0" w:right="0" w:hanging="0"/>
              <w:jc w:val="left"/>
              <w:rPr/>
            </w:pPr>
            <w:r>
              <w:rPr/>
              <w:t>​</w:t>
            </w:r>
          </w:p>
        </w:tc>
        <w:tc>
          <w:tcPr>
            <w:tcW w:w="381" w:type="dxa"/>
            <w:tcBorders/>
            <w:vAlign w:val="center"/>
          </w:tcPr>
          <w:p>
            <w:pPr>
              <w:pStyle w:val="TableContents"/>
              <w:bidi w:val="0"/>
              <w:spacing w:lineRule="auto" w:line="285" w:before="0" w:after="0"/>
              <w:ind w:left="0" w:right="0" w:hanging="0"/>
              <w:jc w:val="right"/>
              <w:rPr/>
            </w:pPr>
            <w:r>
              <w:rPr/>
              <w:t>​</w:t>
            </w:r>
          </w:p>
        </w:tc>
        <w:tc>
          <w:tcPr>
            <w:tcW w:w="874" w:type="dxa"/>
            <w:tcBorders/>
            <w:vAlign w:val="center"/>
          </w:tcPr>
          <w:p>
            <w:pPr>
              <w:pStyle w:val="TableContents"/>
              <w:bidi w:val="0"/>
              <w:spacing w:lineRule="auto" w:line="285" w:before="0" w:after="0"/>
              <w:ind w:left="0" w:right="0" w:hanging="0"/>
              <w:jc w:val="right"/>
              <w:rPr/>
            </w:pPr>
            <w:r>
              <w:rPr/>
              <w:t>​</w:t>
            </w:r>
          </w:p>
        </w:tc>
        <w:tc>
          <w:tcPr>
            <w:tcW w:w="628" w:type="dxa"/>
            <w:tcBorders/>
            <w:vAlign w:val="center"/>
          </w:tcPr>
          <w:p>
            <w:pPr>
              <w:pStyle w:val="TableContents"/>
              <w:bidi w:val="0"/>
              <w:spacing w:lineRule="auto" w:line="285" w:before="0" w:after="0"/>
              <w:ind w:left="0" w:right="0" w:hanging="0"/>
              <w:jc w:val="left"/>
              <w:rPr/>
            </w:pPr>
            <w:r>
              <w:rPr/>
              <w:t>​</w:t>
            </w:r>
          </w:p>
        </w:tc>
        <w:tc>
          <w:tcPr>
            <w:tcW w:w="381" w:type="dxa"/>
            <w:tcBorders/>
            <w:vAlign w:val="center"/>
          </w:tcPr>
          <w:p>
            <w:pPr>
              <w:pStyle w:val="TableContents"/>
              <w:bidi w:val="0"/>
              <w:spacing w:lineRule="auto" w:line="285" w:before="0" w:after="0"/>
              <w:ind w:left="0" w:right="0" w:hanging="0"/>
              <w:jc w:val="right"/>
              <w:rPr/>
            </w:pPr>
            <w:r>
              <w:rPr/>
              <w:t>​</w:t>
            </w:r>
          </w:p>
        </w:tc>
        <w:tc>
          <w:tcPr>
            <w:tcW w:w="879"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37" w:type="dxa"/>
            <w:tcBorders/>
            <w:vAlign w:val="center"/>
          </w:tcPr>
          <w:p>
            <w:pPr>
              <w:pStyle w:val="TableContents"/>
              <w:bidi w:val="0"/>
              <w:spacing w:lineRule="auto" w:line="285" w:before="0" w:after="0"/>
              <w:ind w:left="0" w:right="0" w:hanging="0"/>
              <w:jc w:val="left"/>
              <w:rPr/>
            </w:pPr>
            <w:r>
              <w:rPr/>
              <w:t>​</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397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Actuarial loss on defined benefit plan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8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7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(198)</w:t>
            </w:r>
          </w:p>
        </w:tc>
        <w:tc>
          <w:tcPr>
            <w:tcW w:w="628" w:type="dxa"/>
            <w:tcBorders/>
            <w:shd w:fill="CCEEFF" w:val="clear"/>
            <w:vAlign w:val="center"/>
          </w:tcPr>
          <w:p>
            <w:pPr>
              <w:pStyle w:val="TableContents"/>
              <w:bidi w:val="0"/>
              <w:spacing w:lineRule="auto" w:line="285" w:before="0" w:after="0"/>
              <w:ind w:left="0" w:right="0" w:hanging="0"/>
              <w:jc w:val="left"/>
              <w:rPr/>
            </w:pPr>
            <w:r>
              <w:rPr/>
              <w:t>​</w:t>
            </w:r>
          </w:p>
        </w:tc>
        <w:tc>
          <w:tcPr>
            <w:tcW w:w="38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79"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(213)</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237"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Cost of services</w:t>
            </w:r>
          </w:p>
        </w:tc>
        <w:tc>
          <w:tcPr>
            <w:tcW w:w="157" w:type="dxa"/>
            <w:tcBorders/>
            <w:shd w:fill="CCEEFF" w:val="clear"/>
            <w:vAlign w:val="center"/>
          </w:tcPr>
          <w:p>
            <w:pPr>
              <w:pStyle w:val="TableContents"/>
              <w:bidi w:val="0"/>
              <w:spacing w:lineRule="auto" w:line="285" w:before="0" w:after="0"/>
              <w:ind w:left="0" w:right="0" w:hanging="0"/>
              <w:jc w:val="left"/>
              <w:rPr/>
            </w:pPr>
            <w:r>
              <w:rPr/>
              <w:t>​</w:t>
            </w:r>
          </w:p>
        </w:tc>
      </w:tr>
      <w:tr>
        <w:trPr/>
        <w:tc>
          <w:tcPr>
            <w:tcW w:w="397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Tax effect</w:t>
            </w:r>
          </w:p>
        </w:tc>
        <w:tc>
          <w:tcPr>
            <w:tcW w:w="346" w:type="dxa"/>
            <w:tcBorders/>
            <w:vAlign w:val="center"/>
          </w:tcPr>
          <w:p>
            <w:pPr>
              <w:pStyle w:val="TableContents"/>
              <w:bidi w:val="0"/>
              <w:spacing w:lineRule="auto" w:line="285" w:before="0" w:after="0"/>
              <w:ind w:left="0" w:right="0" w:hanging="0"/>
              <w:jc w:val="left"/>
              <w:rPr/>
            </w:pPr>
            <w:r>
              <w:rPr/>
              <w:t>​</w:t>
            </w:r>
          </w:p>
        </w:tc>
        <w:tc>
          <w:tcPr>
            <w:tcW w:w="3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87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20</w:t>
            </w:r>
          </w:p>
        </w:tc>
        <w:tc>
          <w:tcPr>
            <w:tcW w:w="628" w:type="dxa"/>
            <w:tcBorders/>
            <w:vAlign w:val="center"/>
          </w:tcPr>
          <w:p>
            <w:pPr>
              <w:pStyle w:val="TableContents"/>
              <w:bidi w:val="0"/>
              <w:spacing w:lineRule="auto" w:line="285" w:before="0" w:after="0"/>
              <w:ind w:left="0" w:right="0" w:hanging="0"/>
              <w:jc w:val="left"/>
              <w:rPr/>
            </w:pPr>
            <w:r>
              <w:rPr/>
              <w:t>​</w:t>
            </w:r>
          </w:p>
        </w:tc>
        <w:tc>
          <w:tcPr>
            <w:tcW w:w="3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87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21</w:t>
            </w:r>
          </w:p>
        </w:tc>
        <w:tc>
          <w:tcPr>
            <w:tcW w:w="346" w:type="dxa"/>
            <w:tcBorders/>
            <w:vAlign w:val="center"/>
          </w:tcPr>
          <w:p>
            <w:pPr>
              <w:pStyle w:val="TableContents"/>
              <w:bidi w:val="0"/>
              <w:spacing w:lineRule="auto" w:line="285" w:before="0" w:after="0"/>
              <w:ind w:left="0" w:right="0" w:hanging="0"/>
              <w:jc w:val="left"/>
              <w:rPr/>
            </w:pPr>
            <w:r>
              <w:rPr/>
              <w:t> </w:t>
            </w:r>
          </w:p>
        </w:tc>
        <w:tc>
          <w:tcPr>
            <w:tcW w:w="2237"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Provision for income taxes</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397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7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(178)</w:t>
            </w:r>
          </w:p>
        </w:tc>
        <w:tc>
          <w:tcPr>
            <w:tcW w:w="628" w:type="dxa"/>
            <w:tcBorders/>
            <w:shd w:fill="CCEEFF" w:val="clear"/>
            <w:vAlign w:val="center"/>
          </w:tcPr>
          <w:p>
            <w:pPr>
              <w:pStyle w:val="TableContents"/>
              <w:bidi w:val="0"/>
              <w:spacing w:lineRule="auto" w:line="285" w:before="0" w:after="0"/>
              <w:ind w:left="0" w:right="0" w:hanging="0"/>
              <w:jc w:val="left"/>
              <w:rPr/>
            </w:pPr>
            <w:r>
              <w:rPr/>
              <w:t>​</w:t>
            </w:r>
          </w:p>
        </w:tc>
        <w:tc>
          <w:tcPr>
            <w:tcW w:w="3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7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(192)</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237"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Net income (loss)</w:t>
            </w:r>
          </w:p>
        </w:tc>
        <w:tc>
          <w:tcPr>
            <w:tcW w:w="157"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22</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TTEC HOLDINGS, INC. AND SUBSIDIARIES</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Notes to Consolidated Financial Statements</w:t>
      </w:r>
    </w:p>
    <w:p>
      <w:pPr>
        <w:pStyle w:val="TextBody"/>
        <w:bidi w:val="0"/>
        <w:spacing w:lineRule="auto" w:line="285" w:before="0" w:after="240"/>
        <w:ind w:left="0" w:right="0" w:hanging="0"/>
        <w:jc w:val="center"/>
        <w:rPr>
          <w:rFonts w:ascii="Arial;Helvetica;sans-serif" w:hAnsi="Arial;Helvetica;sans-serif"/>
          <w:b/>
          <w:sz w:val="20"/>
        </w:rPr>
      </w:pPr>
      <w:r>
        <w:rPr>
          <w:rFonts w:ascii="Arial;Helvetica;sans-serif" w:hAnsi="Arial;Helvetica;sans-serif"/>
          <w:b/>
          <w:sz w:val="20"/>
        </w:rPr>
        <w:t>(Unaudited)</w:t>
      </w:r>
    </w:p>
    <w:p>
      <w:pPr>
        <w:pStyle w:val="Normal"/>
        <w:bidi w:val="0"/>
        <w:spacing w:before="0" w:after="0"/>
        <w:jc w:val="left"/>
        <w:rPr>
          <w:sz w:val="4"/>
          <w:szCs w:val="4"/>
        </w:rPr>
      </w:pPr>
      <w:r>
        <w:rPr>
          <w:sz w:val="4"/>
          <w:szCs w:val="4"/>
        </w:rPr>
      </w:r>
      <w:bookmarkStart w:id="1649" w:name="Tc_7EiL5QeCGU-sON8FBrOdTw_13_8"/>
      <w:bookmarkStart w:id="1650" w:name="Tc_tZeFCIUfH0mBoXDhrcKYeA_13_5"/>
      <w:bookmarkStart w:id="1651" w:name="Tc_ZW1HHfZJU02Q1HkDR-zWDw_13_2"/>
      <w:bookmarkStart w:id="1652" w:name="Tc_9j_Nmnyk_0CugzuXVhzOYw_12_8"/>
      <w:bookmarkStart w:id="1653" w:name="Tc_4_8D3nF8d0KOdNu5PZzFBQ_12_0"/>
      <w:bookmarkStart w:id="1654" w:name="Tc__Fyu5KY-ZEGvRC9QZgmKNw_11_8"/>
      <w:bookmarkStart w:id="1655" w:name="Tc_oQ_GOhDMmEGuUMAAZ5_xLA_11_5"/>
      <w:bookmarkStart w:id="1656" w:name="Tc_YULC_7y89k6FqdyDwgTeMg_11_2"/>
      <w:bookmarkStart w:id="1657" w:name="Tc_Ecz33-XKZkGYokxlHNn24Q_11_0"/>
      <w:bookmarkStart w:id="1658" w:name="Tc_d5K6N3YMMkS5qsxA0BlQ2g_10_0"/>
      <w:bookmarkStart w:id="1659" w:name="Tc_7EyHf88MdUS-YKQVpSIkRA_8_8"/>
      <w:bookmarkStart w:id="1660" w:name="Tc_w3NFGYtaSUGHF9_2cfPIKQ_8_5"/>
      <w:bookmarkStart w:id="1661" w:name="Tc_b7i5ghYbh0KXRbnVByGncg_8_2"/>
      <w:bookmarkStart w:id="1662" w:name="Tc_gOD-lHZyuEOKSLIVmFtzpg_7_8"/>
      <w:bookmarkStart w:id="1663" w:name="Tc_K2-2COPST0uT_2KldMMTgg_7_0"/>
      <w:bookmarkStart w:id="1664" w:name="Tc_SzPZFmGMG0m-Xs_vPViLvQ_6_8"/>
      <w:bookmarkStart w:id="1665" w:name="Tc_pjkbqYM_B0qCaAckYDEkiQ_6_5"/>
      <w:bookmarkStart w:id="1666" w:name="Tc_ct12z3IReUG0AMu34l2kJg_6_2"/>
      <w:bookmarkStart w:id="1667" w:name="Tc_KOAdvcCGlkiU79SXTVyqgw_6_0"/>
      <w:bookmarkStart w:id="1668" w:name="Tc_C1gixxUrj0-NedtuIftAcw_5_0"/>
      <w:bookmarkStart w:id="1669" w:name="Tc_DNttVePjpU66PVgdB83IvA_3_8"/>
      <w:bookmarkStart w:id="1670" w:name="Tc_tKsTCnbGtkG465qUXrbjLA_3_5"/>
      <w:bookmarkStart w:id="1671" w:name="Tc_xI0g0EVgSEGGK5bHwNqaFw_3_2"/>
      <w:bookmarkStart w:id="1672" w:name="Tc_i-IuOd-bzUCejX1y89PiJg_2_8"/>
      <w:bookmarkStart w:id="1673" w:name="Tc_yHKmr4gzy0ya3rxaSyIOlg_2_2"/>
      <w:bookmarkStart w:id="1674" w:name="Tc_B5Q6J2kFQ02N47f7i4habg_1_8"/>
      <w:bookmarkStart w:id="1675" w:name="_61c2c784_4073_430a_95cf_1c1386056c40"/>
      <w:bookmarkStart w:id="1676" w:name="Tc_7EiL5QeCGU-sON8FBrOdTw_13_8"/>
      <w:bookmarkStart w:id="1677" w:name="Tc_tZeFCIUfH0mBoXDhrcKYeA_13_5"/>
      <w:bookmarkStart w:id="1678" w:name="Tc_ZW1HHfZJU02Q1HkDR-zWDw_13_2"/>
      <w:bookmarkStart w:id="1679" w:name="Tc_9j_Nmnyk_0CugzuXVhzOYw_12_8"/>
      <w:bookmarkStart w:id="1680" w:name="Tc_4_8D3nF8d0KOdNu5PZzFBQ_12_0"/>
      <w:bookmarkStart w:id="1681" w:name="Tc__Fyu5KY-ZEGvRC9QZgmKNw_11_8"/>
      <w:bookmarkStart w:id="1682" w:name="Tc_oQ_GOhDMmEGuUMAAZ5_xLA_11_5"/>
      <w:bookmarkStart w:id="1683" w:name="Tc_YULC_7y89k6FqdyDwgTeMg_11_2"/>
      <w:bookmarkStart w:id="1684" w:name="Tc_Ecz33-XKZkGYokxlHNn24Q_11_0"/>
      <w:bookmarkStart w:id="1685" w:name="Tc_d5K6N3YMMkS5qsxA0BlQ2g_10_0"/>
      <w:bookmarkStart w:id="1686" w:name="Tc_7EyHf88MdUS-YKQVpSIkRA_8_8"/>
      <w:bookmarkStart w:id="1687" w:name="Tc_w3NFGYtaSUGHF9_2cfPIKQ_8_5"/>
      <w:bookmarkStart w:id="1688" w:name="Tc_b7i5ghYbh0KXRbnVByGncg_8_2"/>
      <w:bookmarkStart w:id="1689" w:name="Tc_gOD-lHZyuEOKSLIVmFtzpg_7_8"/>
      <w:bookmarkStart w:id="1690" w:name="Tc_K2-2COPST0uT_2KldMMTgg_7_0"/>
      <w:bookmarkStart w:id="1691" w:name="Tc_SzPZFmGMG0m-Xs_vPViLvQ_6_8"/>
      <w:bookmarkStart w:id="1692" w:name="Tc_pjkbqYM_B0qCaAckYDEkiQ_6_5"/>
      <w:bookmarkStart w:id="1693" w:name="Tc_ct12z3IReUG0AMu34l2kJg_6_2"/>
      <w:bookmarkStart w:id="1694" w:name="Tc_KOAdvcCGlkiU79SXTVyqgw_6_0"/>
      <w:bookmarkStart w:id="1695" w:name="Tc_C1gixxUrj0-NedtuIftAcw_5_0"/>
      <w:bookmarkStart w:id="1696" w:name="Tc_DNttVePjpU66PVgdB83IvA_3_8"/>
      <w:bookmarkStart w:id="1697" w:name="Tc_tKsTCnbGtkG465qUXrbjLA_3_5"/>
      <w:bookmarkStart w:id="1698" w:name="Tc_xI0g0EVgSEGGK5bHwNqaFw_3_2"/>
      <w:bookmarkStart w:id="1699" w:name="Tc_i-IuOd-bzUCejX1y89PiJg_2_8"/>
      <w:bookmarkStart w:id="1700" w:name="Tc_yHKmr4gzy0ya3rxaSyIOlg_2_2"/>
      <w:bookmarkStart w:id="1701" w:name="Tc_B5Q6J2kFQ02N47f7i4habg_1_8"/>
      <w:bookmarkStart w:id="1702" w:name="_61c2c784_4073_430a_95cf_1c1386056c40"/>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p>
    <w:tbl>
      <w:tblPr>
        <w:tblW w:w="9868" w:type="dxa"/>
        <w:jc w:val="left"/>
        <w:tblInd w:w="0" w:type="dxa"/>
        <w:tblLayout w:type="fixed"/>
        <w:tblCellMar>
          <w:top w:w="0" w:type="dxa"/>
          <w:left w:w="0" w:type="dxa"/>
          <w:bottom w:w="0" w:type="dxa"/>
          <w:right w:w="0" w:type="dxa"/>
        </w:tblCellMar>
      </w:tblPr>
      <w:tblGrid>
        <w:gridCol w:w="4036"/>
        <w:gridCol w:w="346"/>
        <w:gridCol w:w="353"/>
        <w:gridCol w:w="787"/>
        <w:gridCol w:w="625"/>
        <w:gridCol w:w="353"/>
        <w:gridCol w:w="790"/>
        <w:gridCol w:w="346"/>
        <w:gridCol w:w="2041"/>
        <w:gridCol w:w="191"/>
      </w:tblGrid>
      <w:tr>
        <w:trPr/>
        <w:tc>
          <w:tcPr>
            <w:tcW w:w="4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562860" cy="175260"/>
                      <wp:effectExtent l="0" t="0" r="0" b="0"/>
                      <wp:wrapNone/>
                      <wp:docPr id="392" name="Frame392"/>
                      <a:graphic xmlns:a="http://schemas.openxmlformats.org/drawingml/2006/main">
                        <a:graphicData uri="http://schemas.microsoft.com/office/word/2010/wordprocessingShape">
                          <wps:wsp>
                            <wps:cNvSpPr txBox="1"/>
                            <wps:spPr>
                              <a:xfrm>
                                <a:off x="0" y="0"/>
                                <a:ext cx="2562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219710" cy="175260"/>
                      <wp:effectExtent l="0" t="0" r="0" b="0"/>
                      <wp:wrapNone/>
                      <wp:docPr id="393" name="Frame3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24155" cy="175260"/>
                      <wp:effectExtent l="0" t="0" r="0" b="0"/>
                      <wp:wrapNone/>
                      <wp:docPr id="394" name="Frame394"/>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499745" cy="175260"/>
                      <wp:effectExtent l="0" t="0" r="0" b="0"/>
                      <wp:wrapNone/>
                      <wp:docPr id="395" name="Frame395"/>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396875" cy="175260"/>
                      <wp:effectExtent l="0" t="0" r="0" b="0"/>
                      <wp:wrapNone/>
                      <wp:docPr id="396" name="Frame396"/>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24155" cy="175260"/>
                      <wp:effectExtent l="0" t="0" r="0" b="0"/>
                      <wp:wrapNone/>
                      <wp:docPr id="397" name="Frame397"/>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501650" cy="175260"/>
                      <wp:effectExtent l="0" t="0" r="0" b="0"/>
                      <wp:wrapNone/>
                      <wp:docPr id="398" name="Frame398"/>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19710" cy="175260"/>
                      <wp:effectExtent l="0" t="0" r="0" b="0"/>
                      <wp:wrapNone/>
                      <wp:docPr id="399" name="Frame3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296035" cy="175260"/>
                      <wp:effectExtent l="0" t="0" r="0" b="0"/>
                      <wp:wrapNone/>
                      <wp:docPr id="400" name="Frame400"/>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121285" cy="175260"/>
                      <wp:effectExtent l="0" t="0" r="0" b="0"/>
                      <wp:wrapNone/>
                      <wp:docPr id="401" name="Frame401"/>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0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353" w:type="dxa"/>
            <w:tcBorders/>
            <w:vAlign w:val="center"/>
          </w:tcPr>
          <w:p>
            <w:pPr>
              <w:pStyle w:val="TableContents"/>
              <w:bidi w:val="0"/>
              <w:spacing w:lineRule="auto" w:line="285" w:before="0" w:after="0"/>
              <w:ind w:left="0" w:right="0" w:hanging="0"/>
              <w:jc w:val="center"/>
              <w:rPr/>
            </w:pPr>
            <w:r>
              <w:rPr/>
              <w:t>​</w:t>
            </w:r>
          </w:p>
        </w:tc>
        <w:tc>
          <w:tcPr>
            <w:tcW w:w="787" w:type="dxa"/>
            <w:tcBorders/>
            <w:vAlign w:val="center"/>
          </w:tcPr>
          <w:p>
            <w:pPr>
              <w:pStyle w:val="TableContents"/>
              <w:bidi w:val="0"/>
              <w:spacing w:lineRule="auto" w:line="285" w:before="0" w:after="0"/>
              <w:ind w:left="0" w:right="0" w:hanging="0"/>
              <w:jc w:val="center"/>
              <w:rPr/>
            </w:pPr>
            <w:r>
              <w:rPr/>
              <w:t>​</w:t>
            </w:r>
          </w:p>
        </w:tc>
        <w:tc>
          <w:tcPr>
            <w:tcW w:w="625" w:type="dxa"/>
            <w:tcBorders/>
            <w:vAlign w:val="center"/>
          </w:tcPr>
          <w:p>
            <w:pPr>
              <w:pStyle w:val="TableContents"/>
              <w:bidi w:val="0"/>
              <w:spacing w:lineRule="auto" w:line="285" w:before="0" w:after="0"/>
              <w:ind w:left="0" w:right="0" w:hanging="0"/>
              <w:jc w:val="center"/>
              <w:rPr/>
            </w:pPr>
            <w:r>
              <w:rPr/>
              <w:t>​</w:t>
            </w:r>
          </w:p>
        </w:tc>
        <w:tc>
          <w:tcPr>
            <w:tcW w:w="353" w:type="dxa"/>
            <w:tcBorders/>
            <w:vAlign w:val="center"/>
          </w:tcPr>
          <w:p>
            <w:pPr>
              <w:pStyle w:val="TableContents"/>
              <w:bidi w:val="0"/>
              <w:spacing w:lineRule="auto" w:line="285" w:before="0" w:after="0"/>
              <w:ind w:left="0" w:right="0" w:hanging="0"/>
              <w:jc w:val="center"/>
              <w:rPr/>
            </w:pPr>
            <w:r>
              <w:rPr/>
              <w:t>​</w:t>
            </w:r>
          </w:p>
        </w:tc>
        <w:tc>
          <w:tcPr>
            <w:tcW w:w="790"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2041" w:type="dxa"/>
            <w:tcBorders/>
            <w:vAlign w:val="center"/>
          </w:tcPr>
          <w:p>
            <w:pPr>
              <w:pStyle w:val="TableContents"/>
              <w:bidi w:val="0"/>
              <w:spacing w:lineRule="auto" w:line="285" w:before="0" w:after="0"/>
              <w:ind w:left="0" w:right="0" w:hanging="0"/>
              <w:jc w:val="center"/>
              <w:rPr>
                <w:rFonts w:ascii="Arial;Helvetica;sans-serif" w:hAnsi="Arial;Helvetica;sans-serif"/>
                <w:b/>
                <w:sz w:val="17"/>
              </w:rPr>
            </w:pPr>
            <w:r>
              <w:rPr>
                <w:rFonts w:ascii="Arial;Helvetica;sans-serif" w:hAnsi="Arial;Helvetica;sans-serif"/>
                <w:b/>
                <w:sz w:val="17"/>
              </w:rPr>
              <w:t>Statement of</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40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290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7"/>
              </w:rPr>
            </w:pPr>
            <w:r>
              <w:rPr>
                <w:rFonts w:ascii="Arial;Helvetica;sans-serif" w:hAnsi="Arial;Helvetica;sans-serif"/>
                <w:b/>
                <w:sz w:val="17"/>
              </w:rPr>
              <w:t xml:space="preserve">For the Six Months Ended June 30, </w:t>
            </w:r>
          </w:p>
        </w:tc>
        <w:tc>
          <w:tcPr>
            <w:tcW w:w="346" w:type="dxa"/>
            <w:tcBorders/>
            <w:vAlign w:val="center"/>
          </w:tcPr>
          <w:p>
            <w:pPr>
              <w:pStyle w:val="TableContents"/>
              <w:bidi w:val="0"/>
              <w:spacing w:lineRule="auto" w:line="285" w:before="0" w:after="0"/>
              <w:ind w:left="0" w:right="0" w:hanging="0"/>
              <w:jc w:val="center"/>
              <w:rPr/>
            </w:pPr>
            <w:r>
              <w:rPr/>
              <w:t>​</w:t>
            </w:r>
          </w:p>
        </w:tc>
        <w:tc>
          <w:tcPr>
            <w:tcW w:w="2041" w:type="dxa"/>
            <w:tcBorders/>
            <w:vAlign w:val="center"/>
          </w:tcPr>
          <w:p>
            <w:pPr>
              <w:pStyle w:val="TableContents"/>
              <w:bidi w:val="0"/>
              <w:spacing w:lineRule="auto" w:line="285" w:before="0" w:after="0"/>
              <w:ind w:left="0" w:right="0" w:hanging="0"/>
              <w:jc w:val="center"/>
              <w:rPr>
                <w:rFonts w:ascii="Arial;Helvetica;sans-serif" w:hAnsi="Arial;Helvetica;sans-serif"/>
                <w:b/>
                <w:sz w:val="17"/>
              </w:rPr>
            </w:pPr>
            <w:r>
              <w:rPr>
                <w:rFonts w:ascii="Arial;Helvetica;sans-serif" w:hAnsi="Arial;Helvetica;sans-serif"/>
                <w:b/>
                <w:sz w:val="17"/>
              </w:rPr>
              <w:t>Comprehensive Income</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40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1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7"/>
              </w:rPr>
            </w:pPr>
            <w:r>
              <w:rPr>
                <w:rFonts w:ascii="Arial;Helvetica;sans-serif" w:hAnsi="Arial;Helvetica;sans-serif"/>
                <w:b/>
                <w:sz w:val="17"/>
              </w:rPr>
              <w:t>2026</w:t>
            </w:r>
          </w:p>
        </w:tc>
        <w:tc>
          <w:tcPr>
            <w:tcW w:w="625" w:type="dxa"/>
            <w:tcBorders/>
            <w:vAlign w:val="center"/>
          </w:tcPr>
          <w:p>
            <w:pPr>
              <w:pStyle w:val="TableContents"/>
              <w:bidi w:val="0"/>
              <w:spacing w:lineRule="auto" w:line="285" w:before="0" w:after="0"/>
              <w:ind w:left="0" w:right="0" w:hanging="0"/>
              <w:jc w:val="center"/>
              <w:rPr/>
            </w:pPr>
            <w:r>
              <w:rPr/>
              <w:t>  ​ ​ ​</w:t>
            </w:r>
          </w:p>
        </w:tc>
        <w:tc>
          <w:tcPr>
            <w:tcW w:w="114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7"/>
              </w:rPr>
            </w:pPr>
            <w:r>
              <w:rPr>
                <w:rFonts w:ascii="Arial;Helvetica;sans-serif" w:hAnsi="Arial;Helvetica;sans-serif"/>
                <w:b/>
                <w:sz w:val="17"/>
              </w:rPr>
              <w:t>2025</w:t>
            </w:r>
          </w:p>
        </w:tc>
        <w:tc>
          <w:tcPr>
            <w:tcW w:w="346" w:type="dxa"/>
            <w:tcBorders/>
            <w:vAlign w:val="center"/>
          </w:tcPr>
          <w:p>
            <w:pPr>
              <w:pStyle w:val="TableContents"/>
              <w:bidi w:val="0"/>
              <w:spacing w:lineRule="auto" w:line="285" w:before="0" w:after="0"/>
              <w:ind w:left="0" w:right="0" w:hanging="0"/>
              <w:jc w:val="center"/>
              <w:rPr/>
            </w:pPr>
            <w:r>
              <w:rPr/>
              <w:t>  ​ ​ ​</w:t>
            </w:r>
          </w:p>
        </w:tc>
        <w:tc>
          <w:tcPr>
            <w:tcW w:w="204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7"/>
              </w:rPr>
            </w:pPr>
            <w:r>
              <w:rPr>
                <w:rFonts w:ascii="Arial;Helvetica;sans-serif" w:hAnsi="Arial;Helvetica;sans-serif"/>
                <w:b/>
                <w:sz w:val="17"/>
              </w:rPr>
              <w:t>(Loss) Classification</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40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53" w:type="dxa"/>
            <w:tcBorders/>
            <w:vAlign w:val="center"/>
          </w:tcPr>
          <w:p>
            <w:pPr>
              <w:pStyle w:val="TableContents"/>
              <w:bidi w:val="0"/>
              <w:spacing w:lineRule="auto" w:line="285" w:before="0" w:after="0"/>
              <w:ind w:left="0" w:right="0" w:hanging="0"/>
              <w:jc w:val="right"/>
              <w:rPr/>
            </w:pPr>
            <w:r>
              <w:rPr/>
              <w:t>​</w:t>
            </w:r>
          </w:p>
        </w:tc>
        <w:tc>
          <w:tcPr>
            <w:tcW w:w="787" w:type="dxa"/>
            <w:tcBorders/>
            <w:vAlign w:val="center"/>
          </w:tcPr>
          <w:p>
            <w:pPr>
              <w:pStyle w:val="TableContents"/>
              <w:bidi w:val="0"/>
              <w:spacing w:lineRule="auto" w:line="285" w:before="0" w:after="0"/>
              <w:ind w:left="0" w:right="0" w:hanging="0"/>
              <w:jc w:val="right"/>
              <w:rPr/>
            </w:pPr>
            <w:r>
              <w:rPr/>
              <w:t>​</w:t>
            </w:r>
          </w:p>
        </w:tc>
        <w:tc>
          <w:tcPr>
            <w:tcW w:w="625" w:type="dxa"/>
            <w:tcBorders/>
            <w:vAlign w:val="center"/>
          </w:tcPr>
          <w:p>
            <w:pPr>
              <w:pStyle w:val="TableContents"/>
              <w:bidi w:val="0"/>
              <w:spacing w:lineRule="auto" w:line="285" w:before="0" w:after="0"/>
              <w:ind w:left="0" w:right="0" w:hanging="0"/>
              <w:jc w:val="left"/>
              <w:rPr/>
            </w:pPr>
            <w:r>
              <w:rPr/>
              <w:t>​</w:t>
            </w:r>
          </w:p>
        </w:tc>
        <w:tc>
          <w:tcPr>
            <w:tcW w:w="353" w:type="dxa"/>
            <w:tcBorders/>
            <w:vAlign w:val="center"/>
          </w:tcPr>
          <w:p>
            <w:pPr>
              <w:pStyle w:val="TableContents"/>
              <w:bidi w:val="0"/>
              <w:spacing w:lineRule="auto" w:line="285" w:before="0" w:after="0"/>
              <w:ind w:left="0" w:right="0" w:hanging="0"/>
              <w:jc w:val="right"/>
              <w:rPr/>
            </w:pPr>
            <w:r>
              <w:rPr/>
              <w:t>​</w:t>
            </w:r>
          </w:p>
        </w:tc>
        <w:tc>
          <w:tcPr>
            <w:tcW w:w="790"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41" w:type="dxa"/>
            <w:tcBorders/>
            <w:vAlign w:val="center"/>
          </w:tcPr>
          <w:p>
            <w:pPr>
              <w:pStyle w:val="TableContents"/>
              <w:bidi w:val="0"/>
              <w:spacing w:lineRule="auto" w:line="285" w:before="0" w:after="0"/>
              <w:ind w:left="0" w:right="0" w:hanging="0"/>
              <w:jc w:val="lef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03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7"/>
              </w:rPr>
            </w:pPr>
            <w:r>
              <w:rPr>
                <w:rFonts w:ascii="Arial;Helvetica;sans-serif" w:hAnsi="Arial;Helvetica;sans-serif"/>
                <w:b/>
                <w:sz w:val="17"/>
              </w:rPr>
              <w:t>Derivative valuation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53" w:type="dxa"/>
            <w:tcBorders/>
            <w:shd w:fill="CCEEFF" w:val="clear"/>
            <w:vAlign w:val="center"/>
          </w:tcPr>
          <w:p>
            <w:pPr>
              <w:pStyle w:val="TableContents"/>
              <w:bidi w:val="0"/>
              <w:spacing w:lineRule="auto" w:line="285" w:before="0" w:after="0"/>
              <w:ind w:left="0" w:right="0" w:hanging="0"/>
              <w:jc w:val="right"/>
              <w:rPr/>
            </w:pPr>
            <w:r>
              <w:rPr/>
              <w:t>​</w:t>
            </w:r>
          </w:p>
        </w:tc>
        <w:tc>
          <w:tcPr>
            <w:tcW w:w="787" w:type="dxa"/>
            <w:tcBorders/>
            <w:shd w:fill="CCEEFF" w:val="clear"/>
            <w:vAlign w:val="center"/>
          </w:tcPr>
          <w:p>
            <w:pPr>
              <w:pStyle w:val="TableContents"/>
              <w:bidi w:val="0"/>
              <w:spacing w:lineRule="auto" w:line="285" w:before="0" w:after="0"/>
              <w:ind w:left="0" w:right="0" w:hanging="0"/>
              <w:jc w:val="right"/>
              <w:rPr/>
            </w:pPr>
            <w:r>
              <w:rPr/>
              <w:t>​</w:t>
            </w:r>
          </w:p>
        </w:tc>
        <w:tc>
          <w:tcPr>
            <w:tcW w:w="625" w:type="dxa"/>
            <w:tcBorders/>
            <w:shd w:fill="CCEEFF" w:val="clear"/>
            <w:vAlign w:val="center"/>
          </w:tcPr>
          <w:p>
            <w:pPr>
              <w:pStyle w:val="TableContents"/>
              <w:bidi w:val="0"/>
              <w:spacing w:lineRule="auto" w:line="285" w:before="0" w:after="0"/>
              <w:ind w:left="0" w:right="0" w:hanging="0"/>
              <w:jc w:val="left"/>
              <w:rPr/>
            </w:pPr>
            <w:r>
              <w:rPr/>
              <w:t>​</w:t>
            </w:r>
          </w:p>
        </w:tc>
        <w:tc>
          <w:tcPr>
            <w:tcW w:w="353" w:type="dxa"/>
            <w:tcBorders/>
            <w:shd w:fill="CCEEFF" w:val="clear"/>
            <w:vAlign w:val="center"/>
          </w:tcPr>
          <w:p>
            <w:pPr>
              <w:pStyle w:val="TableContents"/>
              <w:bidi w:val="0"/>
              <w:spacing w:lineRule="auto" w:line="285" w:before="0" w:after="0"/>
              <w:ind w:left="0" w:right="0" w:hanging="0"/>
              <w:jc w:val="right"/>
              <w:rPr/>
            </w:pPr>
            <w:r>
              <w:rPr/>
              <w:t>​</w:t>
            </w:r>
          </w:p>
        </w:tc>
        <w:tc>
          <w:tcPr>
            <w:tcW w:w="790"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41" w:type="dxa"/>
            <w:tcBorders/>
            <w:shd w:fill="CCEEFF" w:val="clear"/>
            <w:vAlign w:val="center"/>
          </w:tcPr>
          <w:p>
            <w:pPr>
              <w:pStyle w:val="TableContents"/>
              <w:bidi w:val="0"/>
              <w:spacing w:lineRule="auto" w:line="285" w:before="0" w:after="0"/>
              <w:ind w:left="0" w:right="0" w:hanging="0"/>
              <w:jc w:val="lef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4036" w:type="dxa"/>
            <w:tcBorders/>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Gain on foreign currency forward exchange contracts</w:t>
            </w:r>
          </w:p>
        </w:tc>
        <w:tc>
          <w:tcPr>
            <w:tcW w:w="346" w:type="dxa"/>
            <w:tcBorders/>
            <w:vAlign w:val="center"/>
          </w:tcPr>
          <w:p>
            <w:pPr>
              <w:pStyle w:val="TableContents"/>
              <w:bidi w:val="0"/>
              <w:spacing w:lineRule="auto" w:line="285" w:before="0" w:after="0"/>
              <w:ind w:left="0" w:right="0" w:hanging="0"/>
              <w:jc w:val="left"/>
              <w:rPr/>
            </w:pPr>
            <w:r>
              <w:rPr/>
              <w:t>​</w:t>
            </w:r>
          </w:p>
        </w:tc>
        <w:tc>
          <w:tcPr>
            <w:tcW w:w="353" w:type="dxa"/>
            <w:tcBorders/>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w:t>
            </w:r>
          </w:p>
        </w:tc>
        <w:tc>
          <w:tcPr>
            <w:tcW w:w="787"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(676)</w:t>
            </w:r>
          </w:p>
        </w:tc>
        <w:tc>
          <w:tcPr>
            <w:tcW w:w="625" w:type="dxa"/>
            <w:tcBorders/>
            <w:vAlign w:val="center"/>
          </w:tcPr>
          <w:p>
            <w:pPr>
              <w:pStyle w:val="TableContents"/>
              <w:bidi w:val="0"/>
              <w:spacing w:lineRule="auto" w:line="285" w:before="0" w:after="0"/>
              <w:ind w:left="0" w:right="0" w:hanging="0"/>
              <w:jc w:val="left"/>
              <w:rPr/>
            </w:pPr>
            <w:r>
              <w:rPr/>
              <w:t>​</w:t>
            </w:r>
          </w:p>
        </w:tc>
        <w:tc>
          <w:tcPr>
            <w:tcW w:w="353" w:type="dxa"/>
            <w:tcBorders/>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w:t>
            </w:r>
          </w:p>
        </w:tc>
        <w:tc>
          <w:tcPr>
            <w:tcW w:w="790"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485</w:t>
            </w:r>
          </w:p>
        </w:tc>
        <w:tc>
          <w:tcPr>
            <w:tcW w:w="346" w:type="dxa"/>
            <w:tcBorders/>
            <w:vAlign w:val="center"/>
          </w:tcPr>
          <w:p>
            <w:pPr>
              <w:pStyle w:val="TableContents"/>
              <w:bidi w:val="0"/>
              <w:spacing w:lineRule="auto" w:line="285" w:before="0" w:after="0"/>
              <w:ind w:left="0" w:right="0" w:hanging="0"/>
              <w:jc w:val="left"/>
              <w:rPr/>
            </w:pPr>
            <w:r>
              <w:rPr/>
              <w:t> </w:t>
            </w:r>
          </w:p>
        </w:tc>
        <w:tc>
          <w:tcPr>
            <w:tcW w:w="2041" w:type="dxa"/>
            <w:tcBorders/>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Revenue</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03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Tax effect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5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78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176</w:t>
            </w:r>
          </w:p>
        </w:tc>
        <w:tc>
          <w:tcPr>
            <w:tcW w:w="625" w:type="dxa"/>
            <w:tcBorders/>
            <w:shd w:fill="CCEEFF" w:val="clear"/>
            <w:vAlign w:val="center"/>
          </w:tcPr>
          <w:p>
            <w:pPr>
              <w:pStyle w:val="TableContents"/>
              <w:bidi w:val="0"/>
              <w:spacing w:lineRule="auto" w:line="285" w:before="0" w:after="0"/>
              <w:ind w:left="0" w:right="0" w:hanging="0"/>
              <w:jc w:val="left"/>
              <w:rPr/>
            </w:pPr>
            <w:r>
              <w:rPr/>
              <w:t>​</w:t>
            </w:r>
          </w:p>
        </w:tc>
        <w:tc>
          <w:tcPr>
            <w:tcW w:w="35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79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(126)</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04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Provision for income taxes</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40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53"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w:t>
            </w:r>
          </w:p>
        </w:tc>
        <w:tc>
          <w:tcPr>
            <w:tcW w:w="787"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(500)</w:t>
            </w:r>
          </w:p>
        </w:tc>
        <w:tc>
          <w:tcPr>
            <w:tcW w:w="625" w:type="dxa"/>
            <w:tcBorders/>
            <w:vAlign w:val="center"/>
          </w:tcPr>
          <w:p>
            <w:pPr>
              <w:pStyle w:val="TableContents"/>
              <w:bidi w:val="0"/>
              <w:spacing w:lineRule="auto" w:line="285" w:before="0" w:after="0"/>
              <w:ind w:left="0" w:right="0" w:hanging="0"/>
              <w:jc w:val="left"/>
              <w:rPr/>
            </w:pPr>
            <w:r>
              <w:rPr/>
              <w:t>​</w:t>
            </w:r>
          </w:p>
        </w:tc>
        <w:tc>
          <w:tcPr>
            <w:tcW w:w="353"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w:t>
            </w:r>
          </w:p>
        </w:tc>
        <w:tc>
          <w:tcPr>
            <w:tcW w:w="79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359</w:t>
            </w:r>
          </w:p>
        </w:tc>
        <w:tc>
          <w:tcPr>
            <w:tcW w:w="346" w:type="dxa"/>
            <w:tcBorders/>
            <w:vAlign w:val="center"/>
          </w:tcPr>
          <w:p>
            <w:pPr>
              <w:pStyle w:val="TableContents"/>
              <w:bidi w:val="0"/>
              <w:spacing w:lineRule="auto" w:line="285" w:before="0" w:after="0"/>
              <w:ind w:left="0" w:right="0" w:hanging="0"/>
              <w:jc w:val="left"/>
              <w:rPr/>
            </w:pPr>
            <w:r>
              <w:rPr/>
              <w:t> </w:t>
            </w:r>
          </w:p>
        </w:tc>
        <w:tc>
          <w:tcPr>
            <w:tcW w:w="2041" w:type="dxa"/>
            <w:tcBorders/>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Net income (loss)</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03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53" w:type="dxa"/>
            <w:tcBorders/>
            <w:shd w:fill="CCEEFF" w:val="clear"/>
            <w:vAlign w:val="center"/>
          </w:tcPr>
          <w:p>
            <w:pPr>
              <w:pStyle w:val="TableContents"/>
              <w:bidi w:val="0"/>
              <w:spacing w:lineRule="auto" w:line="285" w:before="0" w:after="0"/>
              <w:ind w:left="0" w:right="0" w:hanging="0"/>
              <w:jc w:val="right"/>
              <w:rPr/>
            </w:pPr>
            <w:r>
              <w:rPr/>
              <w:t>​</w:t>
            </w:r>
          </w:p>
        </w:tc>
        <w:tc>
          <w:tcPr>
            <w:tcW w:w="787" w:type="dxa"/>
            <w:tcBorders/>
            <w:shd w:fill="CCEEFF" w:val="clear"/>
            <w:vAlign w:val="center"/>
          </w:tcPr>
          <w:p>
            <w:pPr>
              <w:pStyle w:val="TableContents"/>
              <w:bidi w:val="0"/>
              <w:spacing w:lineRule="auto" w:line="285" w:before="0" w:after="0"/>
              <w:ind w:left="0" w:right="0" w:hanging="0"/>
              <w:jc w:val="right"/>
              <w:rPr/>
            </w:pPr>
            <w:r>
              <w:rPr/>
              <w:t>​</w:t>
            </w:r>
          </w:p>
        </w:tc>
        <w:tc>
          <w:tcPr>
            <w:tcW w:w="625" w:type="dxa"/>
            <w:tcBorders/>
            <w:shd w:fill="CCEEFF" w:val="clear"/>
            <w:vAlign w:val="center"/>
          </w:tcPr>
          <w:p>
            <w:pPr>
              <w:pStyle w:val="TableContents"/>
              <w:bidi w:val="0"/>
              <w:spacing w:lineRule="auto" w:line="285" w:before="0" w:after="0"/>
              <w:ind w:left="0" w:right="0" w:hanging="0"/>
              <w:jc w:val="left"/>
              <w:rPr/>
            </w:pPr>
            <w:r>
              <w:rPr/>
              <w:t>​</w:t>
            </w:r>
          </w:p>
        </w:tc>
        <w:tc>
          <w:tcPr>
            <w:tcW w:w="353" w:type="dxa"/>
            <w:tcBorders/>
            <w:shd w:fill="CCEEFF" w:val="clear"/>
            <w:vAlign w:val="center"/>
          </w:tcPr>
          <w:p>
            <w:pPr>
              <w:pStyle w:val="TableContents"/>
              <w:bidi w:val="0"/>
              <w:spacing w:lineRule="auto" w:line="285" w:before="0" w:after="0"/>
              <w:ind w:left="0" w:right="0" w:hanging="0"/>
              <w:jc w:val="right"/>
              <w:rPr/>
            </w:pPr>
            <w:r>
              <w:rPr/>
              <w:t>​</w:t>
            </w:r>
          </w:p>
        </w:tc>
        <w:tc>
          <w:tcPr>
            <w:tcW w:w="790"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41" w:type="dxa"/>
            <w:tcBorders/>
            <w:shd w:fill="CCEEFF" w:val="clear"/>
            <w:vAlign w:val="center"/>
          </w:tcPr>
          <w:p>
            <w:pPr>
              <w:pStyle w:val="TableContents"/>
              <w:bidi w:val="0"/>
              <w:spacing w:lineRule="auto" w:line="285" w:before="0" w:after="0"/>
              <w:ind w:left="0" w:right="0" w:hanging="0"/>
              <w:jc w:val="lef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4036" w:type="dxa"/>
            <w:tcBorders/>
            <w:vAlign w:val="center"/>
          </w:tcPr>
          <w:p>
            <w:pPr>
              <w:pStyle w:val="TableContents"/>
              <w:bidi w:val="0"/>
              <w:spacing w:lineRule="auto" w:line="285" w:before="0" w:after="0"/>
              <w:ind w:left="0" w:right="0" w:hanging="0"/>
              <w:jc w:val="left"/>
              <w:rPr>
                <w:rFonts w:ascii="Arial;Helvetica;sans-serif" w:hAnsi="Arial;Helvetica;sans-serif"/>
                <w:b/>
                <w:sz w:val="17"/>
              </w:rPr>
            </w:pPr>
            <w:r>
              <w:rPr>
                <w:rFonts w:ascii="Arial;Helvetica;sans-serif" w:hAnsi="Arial;Helvetica;sans-serif"/>
                <w:b/>
                <w:sz w:val="17"/>
              </w:rPr>
              <w:t>Other</w:t>
            </w:r>
          </w:p>
        </w:tc>
        <w:tc>
          <w:tcPr>
            <w:tcW w:w="346" w:type="dxa"/>
            <w:tcBorders/>
            <w:vAlign w:val="center"/>
          </w:tcPr>
          <w:p>
            <w:pPr>
              <w:pStyle w:val="TableContents"/>
              <w:bidi w:val="0"/>
              <w:spacing w:lineRule="auto" w:line="285" w:before="0" w:after="0"/>
              <w:ind w:left="0" w:right="0" w:hanging="0"/>
              <w:jc w:val="left"/>
              <w:rPr/>
            </w:pPr>
            <w:r>
              <w:rPr/>
              <w:t>​</w:t>
            </w:r>
          </w:p>
        </w:tc>
        <w:tc>
          <w:tcPr>
            <w:tcW w:w="353" w:type="dxa"/>
            <w:tcBorders/>
            <w:vAlign w:val="center"/>
          </w:tcPr>
          <w:p>
            <w:pPr>
              <w:pStyle w:val="TableContents"/>
              <w:bidi w:val="0"/>
              <w:spacing w:lineRule="auto" w:line="285" w:before="0" w:after="0"/>
              <w:ind w:left="0" w:right="0" w:hanging="0"/>
              <w:jc w:val="right"/>
              <w:rPr/>
            </w:pPr>
            <w:r>
              <w:rPr/>
              <w:t>​</w:t>
            </w:r>
          </w:p>
        </w:tc>
        <w:tc>
          <w:tcPr>
            <w:tcW w:w="787" w:type="dxa"/>
            <w:tcBorders/>
            <w:vAlign w:val="center"/>
          </w:tcPr>
          <w:p>
            <w:pPr>
              <w:pStyle w:val="TableContents"/>
              <w:bidi w:val="0"/>
              <w:spacing w:lineRule="auto" w:line="285" w:before="0" w:after="0"/>
              <w:ind w:left="0" w:right="0" w:hanging="0"/>
              <w:jc w:val="right"/>
              <w:rPr/>
            </w:pPr>
            <w:r>
              <w:rPr/>
              <w:t>​</w:t>
            </w:r>
          </w:p>
        </w:tc>
        <w:tc>
          <w:tcPr>
            <w:tcW w:w="625" w:type="dxa"/>
            <w:tcBorders/>
            <w:vAlign w:val="center"/>
          </w:tcPr>
          <w:p>
            <w:pPr>
              <w:pStyle w:val="TableContents"/>
              <w:bidi w:val="0"/>
              <w:spacing w:lineRule="auto" w:line="285" w:before="0" w:after="0"/>
              <w:ind w:left="0" w:right="0" w:hanging="0"/>
              <w:jc w:val="left"/>
              <w:rPr/>
            </w:pPr>
            <w:r>
              <w:rPr/>
              <w:t>​</w:t>
            </w:r>
          </w:p>
        </w:tc>
        <w:tc>
          <w:tcPr>
            <w:tcW w:w="353" w:type="dxa"/>
            <w:tcBorders/>
            <w:vAlign w:val="center"/>
          </w:tcPr>
          <w:p>
            <w:pPr>
              <w:pStyle w:val="TableContents"/>
              <w:bidi w:val="0"/>
              <w:spacing w:lineRule="auto" w:line="285" w:before="0" w:after="0"/>
              <w:ind w:left="0" w:right="0" w:hanging="0"/>
              <w:jc w:val="right"/>
              <w:rPr/>
            </w:pPr>
            <w:r>
              <w:rPr/>
              <w:t>​</w:t>
            </w:r>
          </w:p>
        </w:tc>
        <w:tc>
          <w:tcPr>
            <w:tcW w:w="790"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41" w:type="dxa"/>
            <w:tcBorders/>
            <w:vAlign w:val="center"/>
          </w:tcPr>
          <w:p>
            <w:pPr>
              <w:pStyle w:val="TableContents"/>
              <w:bidi w:val="0"/>
              <w:spacing w:lineRule="auto" w:line="285" w:before="0" w:after="0"/>
              <w:ind w:left="0" w:right="0" w:hanging="0"/>
              <w:jc w:val="lef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03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Actuarial loss on defined benefit plan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53"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w:t>
            </w:r>
          </w:p>
        </w:tc>
        <w:tc>
          <w:tcPr>
            <w:tcW w:w="787"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(261)</w:t>
            </w:r>
          </w:p>
        </w:tc>
        <w:tc>
          <w:tcPr>
            <w:tcW w:w="625" w:type="dxa"/>
            <w:tcBorders/>
            <w:shd w:fill="CCEEFF" w:val="clear"/>
            <w:vAlign w:val="center"/>
          </w:tcPr>
          <w:p>
            <w:pPr>
              <w:pStyle w:val="TableContents"/>
              <w:bidi w:val="0"/>
              <w:spacing w:lineRule="auto" w:line="285" w:before="0" w:after="0"/>
              <w:ind w:left="0" w:right="0" w:hanging="0"/>
              <w:jc w:val="left"/>
              <w:rPr/>
            </w:pPr>
            <w:r>
              <w:rPr/>
              <w:t>​</w:t>
            </w:r>
          </w:p>
        </w:tc>
        <w:tc>
          <w:tcPr>
            <w:tcW w:w="353"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w:t>
            </w:r>
          </w:p>
        </w:tc>
        <w:tc>
          <w:tcPr>
            <w:tcW w:w="790"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(271)</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04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Cost of services</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4036" w:type="dxa"/>
            <w:tcBorders/>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Tax effect</w:t>
            </w:r>
          </w:p>
        </w:tc>
        <w:tc>
          <w:tcPr>
            <w:tcW w:w="346" w:type="dxa"/>
            <w:tcBorders/>
            <w:vAlign w:val="center"/>
          </w:tcPr>
          <w:p>
            <w:pPr>
              <w:pStyle w:val="TableContents"/>
              <w:bidi w:val="0"/>
              <w:spacing w:lineRule="auto" w:line="285" w:before="0" w:after="0"/>
              <w:ind w:left="0" w:right="0" w:hanging="0"/>
              <w:jc w:val="left"/>
              <w:rPr/>
            </w:pPr>
            <w:r>
              <w:rPr/>
              <w:t>​</w:t>
            </w:r>
          </w:p>
        </w:tc>
        <w:tc>
          <w:tcPr>
            <w:tcW w:w="35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78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26</w:t>
            </w:r>
          </w:p>
        </w:tc>
        <w:tc>
          <w:tcPr>
            <w:tcW w:w="625" w:type="dxa"/>
            <w:tcBorders/>
            <w:vAlign w:val="center"/>
          </w:tcPr>
          <w:p>
            <w:pPr>
              <w:pStyle w:val="TableContents"/>
              <w:bidi w:val="0"/>
              <w:spacing w:lineRule="auto" w:line="285" w:before="0" w:after="0"/>
              <w:ind w:left="0" w:right="0" w:hanging="0"/>
              <w:jc w:val="left"/>
              <w:rPr/>
            </w:pPr>
            <w:r>
              <w:rPr/>
              <w:t>​</w:t>
            </w:r>
          </w:p>
        </w:tc>
        <w:tc>
          <w:tcPr>
            <w:tcW w:w="35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79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27</w:t>
            </w:r>
          </w:p>
        </w:tc>
        <w:tc>
          <w:tcPr>
            <w:tcW w:w="346" w:type="dxa"/>
            <w:tcBorders/>
            <w:vAlign w:val="center"/>
          </w:tcPr>
          <w:p>
            <w:pPr>
              <w:pStyle w:val="TableContents"/>
              <w:bidi w:val="0"/>
              <w:spacing w:lineRule="auto" w:line="285" w:before="0" w:after="0"/>
              <w:ind w:left="0" w:right="0" w:hanging="0"/>
              <w:jc w:val="left"/>
              <w:rPr/>
            </w:pPr>
            <w:r>
              <w:rPr/>
              <w:t> </w:t>
            </w:r>
          </w:p>
        </w:tc>
        <w:tc>
          <w:tcPr>
            <w:tcW w:w="2041" w:type="dxa"/>
            <w:tcBorders/>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Provision for income taxes</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03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5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w:t>
            </w:r>
          </w:p>
        </w:tc>
        <w:tc>
          <w:tcPr>
            <w:tcW w:w="78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(235)</w:t>
            </w:r>
          </w:p>
        </w:tc>
        <w:tc>
          <w:tcPr>
            <w:tcW w:w="625" w:type="dxa"/>
            <w:tcBorders/>
            <w:shd w:fill="CCEEFF" w:val="clear"/>
            <w:vAlign w:val="center"/>
          </w:tcPr>
          <w:p>
            <w:pPr>
              <w:pStyle w:val="TableContents"/>
              <w:bidi w:val="0"/>
              <w:spacing w:lineRule="auto" w:line="285" w:before="0" w:after="0"/>
              <w:ind w:left="0" w:right="0" w:hanging="0"/>
              <w:jc w:val="left"/>
              <w:rPr/>
            </w:pPr>
            <w:r>
              <w:rPr/>
              <w:t>​</w:t>
            </w:r>
          </w:p>
        </w:tc>
        <w:tc>
          <w:tcPr>
            <w:tcW w:w="35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w:t>
            </w:r>
          </w:p>
        </w:tc>
        <w:tc>
          <w:tcPr>
            <w:tcW w:w="79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(244)</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04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Net income (loss)</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sz w:val="20"/>
        </w:rPr>
      </w:pPr>
      <w:bookmarkStart w:id="1703" w:name="_Hlk172279915"/>
      <w:bookmarkStart w:id="1704" w:name="Tc_bFB4Y5STlUyVwJx5lQF1tg_9_0"/>
      <w:bookmarkStart w:id="1705" w:name="Tc_UWwr2wX93Eap8PppwzB60w_8_0"/>
      <w:bookmarkStart w:id="1706" w:name="Tc_9Ixzz5KeJ0enf4at9XWHYQ_7_0"/>
      <w:bookmarkStart w:id="1707" w:name="Tc_Co5HNnsyBkeHCeUS-3JWCg_6_0"/>
      <w:bookmarkStart w:id="1708" w:name="Tc_nv80AZNsPEKOYCRKtrEkYg_5_0"/>
      <w:bookmarkStart w:id="1709" w:name="Tc_AOJTj0UHpUeagh4nPZboBw_4_0"/>
      <w:bookmarkStart w:id="1710" w:name="Tc_J7FTInSGh0iDmE-TWDFpSg_2_8"/>
      <w:bookmarkStart w:id="1711" w:name="Tc_3kjLFaRGaUeAhtH1Htz_xw_2_6"/>
      <w:bookmarkStart w:id="1712" w:name="Tc_6ImcsRI1-UmzrOd-bSLeAw_2_4"/>
      <w:bookmarkStart w:id="1713" w:name="Tc_jig-m_FaqkSOtuKFKlTCxw_2_2"/>
      <w:bookmarkStart w:id="1714" w:name="Tc_oG1-O5-32EuI4GImYH1jew_1_6"/>
      <w:bookmarkStart w:id="1715" w:name="Tc_GYqUrXHNbkaveFXw0x2siw_1_2"/>
      <w:bookmarkStart w:id="1716" w:name="_84662d54_6253_411c_a021_f0ce7b8f8090"/>
      <w:bookmarkStart w:id="1717" w:name="_Hlk51969154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r>
        <w:rPr>
          <w:rFonts w:ascii="Arial;Helvetica;sans-serif" w:hAnsi="Arial;Helvetica;sans-serif"/>
          <w:b/>
          <w:i w:val="false"/>
          <w:caps w:val="false"/>
          <w:smallCaps w:val="false"/>
          <w:sz w:val="20"/>
        </w:rPr>
        <w:t>(12)</w:t>
      </w:r>
      <w:r>
        <w:rPr>
          <w:rFonts w:ascii="Arial;Helvetica;sans-serif" w:hAnsi="Arial;Helvetica;sans-serif"/>
          <w:b/>
          <w:sz w:val="20"/>
        </w:rPr>
        <w:t>WEIGHTED AVERAGE SHARE COUNTS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 following table sets forth the computation of basic and diluted shares for the periods indicated (in thousands):</w:t>
      </w:r>
    </w:p>
    <w:tbl>
      <w:tblPr>
        <w:tblW w:w="10205" w:type="dxa"/>
        <w:jc w:val="left"/>
        <w:tblInd w:w="0" w:type="dxa"/>
        <w:tblLayout w:type="fixed"/>
        <w:tblCellMar>
          <w:top w:w="0" w:type="dxa"/>
          <w:left w:w="0" w:type="dxa"/>
          <w:bottom w:w="0" w:type="dxa"/>
          <w:right w:w="0" w:type="dxa"/>
        </w:tblCellMar>
      </w:tblPr>
      <w:tblGrid>
        <w:gridCol w:w="4383"/>
        <w:gridCol w:w="346"/>
        <w:gridCol w:w="1051"/>
        <w:gridCol w:w="537"/>
        <w:gridCol w:w="1054"/>
        <w:gridCol w:w="346"/>
        <w:gridCol w:w="931"/>
        <w:gridCol w:w="476"/>
        <w:gridCol w:w="1081"/>
      </w:tblGrid>
      <w:tr>
        <w:trPr/>
        <w:tc>
          <w:tcPr>
            <w:tcW w:w="4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783205" cy="175260"/>
                      <wp:effectExtent l="0" t="0" r="0" b="0"/>
                      <wp:wrapNone/>
                      <wp:docPr id="402" name="Frame402"/>
                      <a:graphic xmlns:a="http://schemas.openxmlformats.org/drawingml/2006/main">
                        <a:graphicData uri="http://schemas.microsoft.com/office/word/2010/wordprocessingShape">
                          <wps:wsp>
                            <wps:cNvSpPr txBox="1"/>
                            <wps:spPr>
                              <a:xfrm>
                                <a:off x="0" y="0"/>
                                <a:ext cx="27832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19710" cy="175260"/>
                      <wp:effectExtent l="0" t="0" r="0" b="0"/>
                      <wp:wrapNone/>
                      <wp:docPr id="403" name="Frame4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67385" cy="175260"/>
                      <wp:effectExtent l="0" t="0" r="0" b="0"/>
                      <wp:wrapNone/>
                      <wp:docPr id="404" name="Frame404"/>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340995" cy="175260"/>
                      <wp:effectExtent l="0" t="0" r="0" b="0"/>
                      <wp:wrapNone/>
                      <wp:docPr id="405" name="Frame405"/>
                      <a:graphic xmlns:a="http://schemas.openxmlformats.org/drawingml/2006/main">
                        <a:graphicData uri="http://schemas.microsoft.com/office/word/2010/wordprocessingShape">
                          <wps:wsp>
                            <wps:cNvSpPr txBox="1"/>
                            <wps:spPr>
                              <a:xfrm>
                                <a:off x="0" y="0"/>
                                <a:ext cx="3409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69290" cy="175260"/>
                      <wp:effectExtent l="0" t="0" r="0" b="0"/>
                      <wp:wrapNone/>
                      <wp:docPr id="406" name="Frame406"/>
                      <a:graphic xmlns:a="http://schemas.openxmlformats.org/drawingml/2006/main">
                        <a:graphicData uri="http://schemas.microsoft.com/office/word/2010/wordprocessingShape">
                          <wps:wsp>
                            <wps:cNvSpPr txBox="1"/>
                            <wps:spPr>
                              <a:xfrm>
                                <a:off x="0" y="0"/>
                                <a:ext cx="6692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19710" cy="175260"/>
                      <wp:effectExtent l="0" t="0" r="0" b="0"/>
                      <wp:wrapNone/>
                      <wp:docPr id="407" name="Frame4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591185" cy="175260"/>
                      <wp:effectExtent l="0" t="0" r="0" b="0"/>
                      <wp:wrapNone/>
                      <wp:docPr id="408" name="Frame40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302260" cy="175260"/>
                      <wp:effectExtent l="0" t="0" r="0" b="0"/>
                      <wp:wrapNone/>
                      <wp:docPr id="409" name="Frame409"/>
                      <a:graphic xmlns:a="http://schemas.openxmlformats.org/drawingml/2006/main">
                        <a:graphicData uri="http://schemas.microsoft.com/office/word/2010/wordprocessingShape">
                          <wps:wsp>
                            <wps:cNvSpPr txBox="1"/>
                            <wps:spPr>
                              <a:xfrm>
                                <a:off x="0" y="0"/>
                                <a:ext cx="302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686435" cy="175260"/>
                      <wp:effectExtent l="0" t="0" r="0" b="0"/>
                      <wp:wrapNone/>
                      <wp:docPr id="410" name="Frame410"/>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383"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42" w:type="dxa"/>
            <w:gridSpan w:val="3"/>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xml:space="preserve">Three Months Ended June 30, </w:t>
            </w:r>
          </w:p>
        </w:tc>
        <w:tc>
          <w:tcPr>
            <w:tcW w:w="346" w:type="dxa"/>
            <w:tcBorders/>
            <w:vAlign w:val="center"/>
          </w:tcPr>
          <w:p>
            <w:pPr>
              <w:pStyle w:val="TableContents"/>
              <w:bidi w:val="0"/>
              <w:spacing w:lineRule="auto" w:line="285" w:before="0" w:after="0"/>
              <w:ind w:left="0" w:right="0" w:hanging="0"/>
              <w:jc w:val="center"/>
              <w:rPr/>
            </w:pPr>
            <w:r>
              <w:rPr/>
              <w:t>​</w:t>
            </w:r>
          </w:p>
        </w:tc>
        <w:tc>
          <w:tcPr>
            <w:tcW w:w="2488" w:type="dxa"/>
            <w:gridSpan w:val="3"/>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xml:space="preserve">Six Months Ended June 30, </w:t>
            </w:r>
          </w:p>
        </w:tc>
      </w:tr>
      <w:tr>
        <w:trPr/>
        <w:tc>
          <w:tcPr>
            <w:tcW w:w="4383"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05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537" w:type="dxa"/>
            <w:tcBorders/>
            <w:vAlign w:val="center"/>
          </w:tcPr>
          <w:p>
            <w:pPr>
              <w:pStyle w:val="TableContents"/>
              <w:bidi w:val="0"/>
              <w:spacing w:lineRule="auto" w:line="285" w:before="0" w:after="0"/>
              <w:ind w:left="0" w:right="0" w:hanging="0"/>
              <w:jc w:val="center"/>
              <w:rPr/>
            </w:pPr>
            <w:r>
              <w:rPr/>
              <w:t>  ​ ​ ​</w:t>
            </w:r>
          </w:p>
        </w:tc>
        <w:tc>
          <w:tcPr>
            <w:tcW w:w="1054"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46" w:type="dxa"/>
            <w:tcBorders/>
            <w:vAlign w:val="center"/>
          </w:tcPr>
          <w:p>
            <w:pPr>
              <w:pStyle w:val="TableContents"/>
              <w:bidi w:val="0"/>
              <w:spacing w:lineRule="auto" w:line="285" w:before="0" w:after="0"/>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476" w:type="dxa"/>
            <w:tcBorders/>
            <w:vAlign w:val="center"/>
          </w:tcPr>
          <w:p>
            <w:pPr>
              <w:pStyle w:val="TableContents"/>
              <w:bidi w:val="0"/>
              <w:spacing w:lineRule="auto" w:line="285" w:before="0" w:after="0"/>
              <w:ind w:left="0" w:right="0" w:hanging="0"/>
              <w:jc w:val="center"/>
              <w:rPr/>
            </w:pPr>
            <w:r>
              <w:rPr/>
              <w:t>  ​ ​ ​</w:t>
            </w:r>
          </w:p>
        </w:tc>
        <w:tc>
          <w:tcPr>
            <w:tcW w:w="108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2025</w:t>
            </w:r>
          </w:p>
        </w:tc>
      </w:tr>
      <w:tr>
        <w:trPr/>
        <w:tc>
          <w:tcPr>
            <w:tcW w:w="4383"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051" w:type="dxa"/>
            <w:tcBorders/>
            <w:vAlign w:val="center"/>
          </w:tcPr>
          <w:p>
            <w:pPr>
              <w:pStyle w:val="TableContents"/>
              <w:bidi w:val="0"/>
              <w:spacing w:lineRule="auto" w:line="285" w:before="0" w:after="0"/>
              <w:ind w:left="0" w:right="0" w:hanging="0"/>
              <w:jc w:val="right"/>
              <w:rPr/>
            </w:pPr>
            <w:r>
              <w:rPr/>
              <w:t>​</w:t>
            </w:r>
          </w:p>
        </w:tc>
        <w:tc>
          <w:tcPr>
            <w:tcW w:w="537" w:type="dxa"/>
            <w:tcBorders/>
            <w:vAlign w:val="center"/>
          </w:tcPr>
          <w:p>
            <w:pPr>
              <w:pStyle w:val="TableContents"/>
              <w:bidi w:val="0"/>
              <w:spacing w:lineRule="auto" w:line="285" w:before="0" w:after="0"/>
              <w:ind w:left="0" w:right="0" w:hanging="0"/>
              <w:jc w:val="left"/>
              <w:rPr/>
            </w:pPr>
            <w:r>
              <w:rPr/>
              <w:t>​</w:t>
            </w:r>
          </w:p>
        </w:tc>
        <w:tc>
          <w:tcPr>
            <w:tcW w:w="105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right"/>
              <w:rPr/>
            </w:pPr>
            <w:r>
              <w:rPr/>
              <w:t>​</w:t>
            </w:r>
          </w:p>
        </w:tc>
        <w:tc>
          <w:tcPr>
            <w:tcW w:w="476" w:type="dxa"/>
            <w:tcBorders/>
            <w:vAlign w:val="center"/>
          </w:tcPr>
          <w:p>
            <w:pPr>
              <w:pStyle w:val="TableContents"/>
              <w:bidi w:val="0"/>
              <w:spacing w:lineRule="auto" w:line="285" w:before="0" w:after="0"/>
              <w:ind w:left="0" w:right="0" w:hanging="0"/>
              <w:jc w:val="left"/>
              <w:rPr/>
            </w:pPr>
            <w:r>
              <w:rPr/>
              <w:t>​</w:t>
            </w:r>
          </w:p>
        </w:tc>
        <w:tc>
          <w:tcPr>
            <w:tcW w:w="1081" w:type="dxa"/>
            <w:tcBorders/>
            <w:vAlign w:val="center"/>
          </w:tcPr>
          <w:p>
            <w:pPr>
              <w:pStyle w:val="TableContents"/>
              <w:bidi w:val="0"/>
              <w:spacing w:lineRule="auto" w:line="285" w:before="0" w:after="0"/>
              <w:ind w:left="0" w:right="0" w:hanging="0"/>
              <w:jc w:val="right"/>
              <w:rPr/>
            </w:pPr>
            <w:r>
              <w:rPr/>
              <w:t>​</w:t>
            </w:r>
          </w:p>
        </w:tc>
      </w:tr>
      <w:tr>
        <w:trPr/>
        <w:tc>
          <w:tcPr>
            <w:tcW w:w="4383"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Shares used in basic earnings per share calculation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5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48,874</w:t>
            </w:r>
          </w:p>
        </w:tc>
        <w:tc>
          <w:tcPr>
            <w:tcW w:w="537" w:type="dxa"/>
            <w:tcBorders/>
            <w:shd w:fill="CCEEFF" w:val="clear"/>
            <w:vAlign w:val="center"/>
          </w:tcPr>
          <w:p>
            <w:pPr>
              <w:pStyle w:val="TableContents"/>
              <w:bidi w:val="0"/>
              <w:spacing w:lineRule="auto" w:line="285" w:before="0" w:after="0"/>
              <w:ind w:left="0" w:right="0" w:hanging="0"/>
              <w:jc w:val="left"/>
              <w:rPr/>
            </w:pPr>
            <w:r>
              <w:rPr/>
              <w:t> </w:t>
            </w:r>
          </w:p>
        </w:tc>
        <w:tc>
          <w:tcPr>
            <w:tcW w:w="105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48,064</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93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48,727</w:t>
            </w:r>
          </w:p>
        </w:tc>
        <w:tc>
          <w:tcPr>
            <w:tcW w:w="476" w:type="dxa"/>
            <w:tcBorders/>
            <w:shd w:fill="CCEEFF" w:val="clear"/>
            <w:vAlign w:val="center"/>
          </w:tcPr>
          <w:p>
            <w:pPr>
              <w:pStyle w:val="TableContents"/>
              <w:bidi w:val="0"/>
              <w:spacing w:lineRule="auto" w:line="285" w:before="0" w:after="0"/>
              <w:ind w:left="0" w:right="0" w:hanging="0"/>
              <w:jc w:val="left"/>
              <w:rPr/>
            </w:pPr>
            <w:r>
              <w:rPr/>
              <w:t> </w:t>
            </w:r>
          </w:p>
        </w:tc>
        <w:tc>
          <w:tcPr>
            <w:tcW w:w="108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47,918</w:t>
            </w:r>
          </w:p>
        </w:tc>
      </w:tr>
      <w:tr>
        <w:trPr/>
        <w:tc>
          <w:tcPr>
            <w:tcW w:w="4383"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Effect of dilutive securities:</w:t>
            </w:r>
          </w:p>
        </w:tc>
        <w:tc>
          <w:tcPr>
            <w:tcW w:w="346" w:type="dxa"/>
            <w:tcBorders/>
            <w:vAlign w:val="center"/>
          </w:tcPr>
          <w:p>
            <w:pPr>
              <w:pStyle w:val="TableContents"/>
              <w:bidi w:val="0"/>
              <w:spacing w:lineRule="auto" w:line="285" w:before="0" w:after="0"/>
              <w:ind w:left="0" w:right="0" w:hanging="0"/>
              <w:jc w:val="left"/>
              <w:rPr/>
            </w:pPr>
            <w:r>
              <w:rPr/>
              <w:t>​</w:t>
            </w:r>
          </w:p>
        </w:tc>
        <w:tc>
          <w:tcPr>
            <w:tcW w:w="1051" w:type="dxa"/>
            <w:tcBorders/>
            <w:vAlign w:val="center"/>
          </w:tcPr>
          <w:p>
            <w:pPr>
              <w:pStyle w:val="TableContents"/>
              <w:bidi w:val="0"/>
              <w:spacing w:lineRule="auto" w:line="285" w:before="0" w:after="0"/>
              <w:ind w:left="0" w:right="0" w:hanging="0"/>
              <w:jc w:val="right"/>
              <w:rPr/>
            </w:pPr>
            <w:r>
              <w:rPr/>
              <w:t>​</w:t>
            </w:r>
          </w:p>
        </w:tc>
        <w:tc>
          <w:tcPr>
            <w:tcW w:w="537" w:type="dxa"/>
            <w:tcBorders/>
            <w:vAlign w:val="center"/>
          </w:tcPr>
          <w:p>
            <w:pPr>
              <w:pStyle w:val="TableContents"/>
              <w:bidi w:val="0"/>
              <w:spacing w:lineRule="auto" w:line="285" w:before="0" w:after="0"/>
              <w:ind w:left="0" w:right="0" w:hanging="0"/>
              <w:jc w:val="left"/>
              <w:rPr/>
            </w:pPr>
            <w:r>
              <w:rPr/>
              <w:t>​</w:t>
            </w:r>
          </w:p>
        </w:tc>
        <w:tc>
          <w:tcPr>
            <w:tcW w:w="105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right"/>
              <w:rPr/>
            </w:pPr>
            <w:r>
              <w:rPr/>
              <w:t>​</w:t>
            </w:r>
          </w:p>
        </w:tc>
        <w:tc>
          <w:tcPr>
            <w:tcW w:w="476" w:type="dxa"/>
            <w:tcBorders/>
            <w:vAlign w:val="center"/>
          </w:tcPr>
          <w:p>
            <w:pPr>
              <w:pStyle w:val="TableContents"/>
              <w:bidi w:val="0"/>
              <w:spacing w:lineRule="auto" w:line="285" w:before="0" w:after="0"/>
              <w:ind w:left="0" w:right="0" w:hanging="0"/>
              <w:jc w:val="left"/>
              <w:rPr/>
            </w:pPr>
            <w:r>
              <w:rPr/>
              <w:t>​</w:t>
            </w:r>
          </w:p>
        </w:tc>
        <w:tc>
          <w:tcPr>
            <w:tcW w:w="1081" w:type="dxa"/>
            <w:tcBorders/>
            <w:vAlign w:val="center"/>
          </w:tcPr>
          <w:p>
            <w:pPr>
              <w:pStyle w:val="TableContents"/>
              <w:bidi w:val="0"/>
              <w:spacing w:lineRule="auto" w:line="285" w:before="0" w:after="0"/>
              <w:ind w:left="0" w:right="0" w:hanging="0"/>
              <w:jc w:val="right"/>
              <w:rPr/>
            </w:pPr>
            <w:r>
              <w:rPr/>
              <w:t>​</w:t>
            </w:r>
          </w:p>
        </w:tc>
      </w:tr>
      <w:tr>
        <w:trPr/>
        <w:tc>
          <w:tcPr>
            <w:tcW w:w="4383"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Restricted stock units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51" w:type="dxa"/>
            <w:tcBorders/>
            <w:shd w:fill="CCEEFF" w:val="clear"/>
            <w:vAlign w:val="center"/>
          </w:tcPr>
          <w:p>
            <w:pPr>
              <w:pStyle w:val="TableContents"/>
              <w:bidi w:val="0"/>
              <w:spacing w:lineRule="auto" w:line="285" w:before="0" w:after="0"/>
              <w:ind w:left="0" w:right="0" w:hanging="0"/>
              <w:jc w:val="right"/>
              <w:rPr/>
            </w:pPr>
            <w:r>
              <w:rPr/>
              <w:t>—</w:t>
            </w:r>
          </w:p>
        </w:tc>
        <w:tc>
          <w:tcPr>
            <w:tcW w:w="537" w:type="dxa"/>
            <w:tcBorders/>
            <w:shd w:fill="CCEEFF" w:val="clear"/>
            <w:vAlign w:val="center"/>
          </w:tcPr>
          <w:p>
            <w:pPr>
              <w:pStyle w:val="TableContents"/>
              <w:bidi w:val="0"/>
              <w:spacing w:lineRule="auto" w:line="285" w:before="0" w:after="0"/>
              <w:ind w:left="0" w:right="0" w:hanging="0"/>
              <w:jc w:val="left"/>
              <w:rPr/>
            </w:pPr>
            <w:r>
              <w:rPr/>
              <w:t> </w:t>
            </w:r>
          </w:p>
        </w:tc>
        <w:tc>
          <w:tcPr>
            <w:tcW w:w="1054"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931" w:type="dxa"/>
            <w:tcBorders/>
            <w:shd w:fill="CCEEFF" w:val="clear"/>
            <w:vAlign w:val="center"/>
          </w:tcPr>
          <w:p>
            <w:pPr>
              <w:pStyle w:val="TableContents"/>
              <w:bidi w:val="0"/>
              <w:spacing w:lineRule="auto" w:line="285" w:before="0" w:after="0"/>
              <w:ind w:left="0" w:right="0" w:hanging="0"/>
              <w:jc w:val="right"/>
              <w:rPr/>
            </w:pPr>
            <w:r>
              <w:rPr/>
              <w:t>—</w:t>
            </w:r>
          </w:p>
        </w:tc>
        <w:tc>
          <w:tcPr>
            <w:tcW w:w="476" w:type="dxa"/>
            <w:tcBorders/>
            <w:shd w:fill="CCEEFF" w:val="clear"/>
            <w:vAlign w:val="center"/>
          </w:tcPr>
          <w:p>
            <w:pPr>
              <w:pStyle w:val="TableContents"/>
              <w:bidi w:val="0"/>
              <w:spacing w:lineRule="auto" w:line="285" w:before="0" w:after="0"/>
              <w:ind w:left="0" w:right="0" w:hanging="0"/>
              <w:jc w:val="left"/>
              <w:rPr/>
            </w:pPr>
            <w:r>
              <w:rPr/>
              <w:t> </w:t>
            </w:r>
          </w:p>
        </w:tc>
        <w:tc>
          <w:tcPr>
            <w:tcW w:w="1081" w:type="dxa"/>
            <w:tcBorders/>
            <w:shd w:fill="CCEEFF" w:val="clear"/>
            <w:vAlign w:val="center"/>
          </w:tcPr>
          <w:p>
            <w:pPr>
              <w:pStyle w:val="TableContents"/>
              <w:bidi w:val="0"/>
              <w:spacing w:lineRule="auto" w:line="285" w:before="0" w:after="0"/>
              <w:ind w:left="0" w:right="0" w:hanging="0"/>
              <w:jc w:val="right"/>
              <w:rPr/>
            </w:pPr>
            <w:r>
              <w:rPr/>
              <w:t>—</w:t>
            </w:r>
          </w:p>
        </w:tc>
      </w:tr>
      <w:tr>
        <w:trPr/>
        <w:tc>
          <w:tcPr>
            <w:tcW w:w="4383"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Performance-based restricted stock units</w:t>
            </w:r>
          </w:p>
        </w:tc>
        <w:tc>
          <w:tcPr>
            <w:tcW w:w="346" w:type="dxa"/>
            <w:tcBorders/>
            <w:vAlign w:val="center"/>
          </w:tcPr>
          <w:p>
            <w:pPr>
              <w:pStyle w:val="TableContents"/>
              <w:bidi w:val="0"/>
              <w:spacing w:lineRule="auto" w:line="285"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537" w:type="dxa"/>
            <w:tcBorders/>
            <w:vAlign w:val="center"/>
          </w:tcPr>
          <w:p>
            <w:pPr>
              <w:pStyle w:val="TableContents"/>
              <w:bidi w:val="0"/>
              <w:spacing w:lineRule="auto" w:line="285" w:before="0" w:after="0"/>
              <w:ind w:left="0" w:right="0" w:hanging="0"/>
              <w:jc w:val="left"/>
              <w:rPr/>
            </w:pPr>
            <w:r>
              <w:rPr/>
              <w:t> </w:t>
            </w:r>
          </w:p>
        </w:tc>
        <w:tc>
          <w:tcPr>
            <w:tcW w:w="105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476" w:type="dxa"/>
            <w:tcBorders/>
            <w:vAlign w:val="center"/>
          </w:tcPr>
          <w:p>
            <w:pPr>
              <w:pStyle w:val="TableContents"/>
              <w:bidi w:val="0"/>
              <w:spacing w:lineRule="auto" w:line="285" w:before="0" w:after="0"/>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r>
      <w:tr>
        <w:trPr/>
        <w:tc>
          <w:tcPr>
            <w:tcW w:w="4383"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Total effects of dilutive securities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537" w:type="dxa"/>
            <w:tcBorders/>
            <w:shd w:fill="CCEEFF" w:val="clear"/>
            <w:vAlign w:val="center"/>
          </w:tcPr>
          <w:p>
            <w:pPr>
              <w:pStyle w:val="TableContents"/>
              <w:bidi w:val="0"/>
              <w:spacing w:lineRule="auto" w:line="285" w:before="0" w:after="0"/>
              <w:ind w:left="0" w:right="0" w:hanging="0"/>
              <w:jc w:val="left"/>
              <w:rPr/>
            </w:pPr>
            <w:r>
              <w:rPr/>
              <w:t> </w:t>
            </w:r>
          </w:p>
        </w:tc>
        <w:tc>
          <w:tcPr>
            <w:tcW w:w="105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476" w:type="dxa"/>
            <w:tcBorders/>
            <w:shd w:fill="CCEEFF" w:val="clear"/>
            <w:vAlign w:val="center"/>
          </w:tcPr>
          <w:p>
            <w:pPr>
              <w:pStyle w:val="TableContents"/>
              <w:bidi w:val="0"/>
              <w:spacing w:lineRule="auto" w:line="285" w:before="0" w:after="0"/>
              <w:ind w:left="0" w:right="0" w:hanging="0"/>
              <w:jc w:val="left"/>
              <w:rPr/>
            </w:pPr>
            <w:r>
              <w:rPr/>
              <w:t> </w:t>
            </w:r>
          </w:p>
        </w:tc>
        <w:tc>
          <w:tcPr>
            <w:tcW w:w="10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r>
      <w:tr>
        <w:trPr/>
        <w:tc>
          <w:tcPr>
            <w:tcW w:w="4383"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Shares used in dilutive earnings per share calculation</w:t>
            </w:r>
          </w:p>
        </w:tc>
        <w:tc>
          <w:tcPr>
            <w:tcW w:w="346" w:type="dxa"/>
            <w:tcBorders/>
            <w:vAlign w:val="center"/>
          </w:tcPr>
          <w:p>
            <w:pPr>
              <w:pStyle w:val="TableContents"/>
              <w:bidi w:val="0"/>
              <w:spacing w:lineRule="auto" w:line="285" w:before="0" w:after="0"/>
              <w:ind w:left="0" w:right="0" w:hanging="0"/>
              <w:jc w:val="left"/>
              <w:rPr/>
            </w:pPr>
            <w:r>
              <w:rPr/>
              <w:t>​</w:t>
            </w:r>
          </w:p>
        </w:tc>
        <w:tc>
          <w:tcPr>
            <w:tcW w:w="105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48,874</w:t>
            </w:r>
          </w:p>
        </w:tc>
        <w:tc>
          <w:tcPr>
            <w:tcW w:w="537" w:type="dxa"/>
            <w:tcBorders/>
            <w:vAlign w:val="center"/>
          </w:tcPr>
          <w:p>
            <w:pPr>
              <w:pStyle w:val="TableContents"/>
              <w:bidi w:val="0"/>
              <w:spacing w:lineRule="auto" w:line="285" w:before="0" w:after="0"/>
              <w:ind w:left="0" w:right="0" w:hanging="0"/>
              <w:jc w:val="left"/>
              <w:rPr/>
            </w:pPr>
            <w:r>
              <w:rPr/>
              <w:t> </w:t>
            </w:r>
          </w:p>
        </w:tc>
        <w:tc>
          <w:tcPr>
            <w:tcW w:w="105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48,064</w:t>
            </w:r>
          </w:p>
        </w:tc>
        <w:tc>
          <w:tcPr>
            <w:tcW w:w="346" w:type="dxa"/>
            <w:tcBorders/>
            <w:vAlign w:val="center"/>
          </w:tcPr>
          <w:p>
            <w:pPr>
              <w:pStyle w:val="TableContents"/>
              <w:bidi w:val="0"/>
              <w:spacing w:lineRule="auto" w:line="285"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48,727</w:t>
            </w:r>
          </w:p>
        </w:tc>
        <w:tc>
          <w:tcPr>
            <w:tcW w:w="476" w:type="dxa"/>
            <w:tcBorders/>
            <w:vAlign w:val="center"/>
          </w:tcPr>
          <w:p>
            <w:pPr>
              <w:pStyle w:val="TableContents"/>
              <w:bidi w:val="0"/>
              <w:spacing w:lineRule="auto" w:line="285" w:before="0" w:after="0"/>
              <w:ind w:left="0" w:right="0" w:hanging="0"/>
              <w:jc w:val="left"/>
              <w:rPr/>
            </w:pPr>
            <w:r>
              <w:rPr/>
              <w:t> </w:t>
            </w:r>
          </w:p>
        </w:tc>
        <w:tc>
          <w:tcPr>
            <w:tcW w:w="1081"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Arial;Helvetica;sans-serif" w:hAnsi="Arial;Helvetica;sans-serif"/>
                <w:sz w:val="18"/>
              </w:rPr>
            </w:pPr>
            <w:r>
              <w:rPr>
                <w:rFonts w:ascii="Arial;Helvetica;sans-serif" w:hAnsi="Arial;Helvetica;sans-serif"/>
                <w:sz w:val="18"/>
              </w:rPr>
              <w:t>47,918</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For the three months ended June 30, 2026 and 2025, there were 2.2 million and 3.3 million outstanding Restricted Stock Units (“RSUs”), respectively, that were excluded from the computation of diluted net income per share because the effect would have been anti-dilutive. For the six months ended June 30, 2026 and 2025, there were 2.4 million and 3.3 million outstanding RSUs, respectively, that were excluded from the computation of diluted net income per share because the effect would have been anti-dilutive.</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120"/>
        <w:ind w:left="0" w:right="0" w:hanging="0"/>
        <w:jc w:val="left"/>
        <w:rPr>
          <w:rFonts w:ascii="Arial;Helvetica;sans-serif" w:hAnsi="Arial;Helvetica;sans-serif"/>
          <w:sz w:val="20"/>
        </w:rPr>
      </w:pPr>
      <w:bookmarkStart w:id="1718" w:name="Tc_craE7sBbjk2tEKQvP9TfCQ_6_5"/>
      <w:bookmarkStart w:id="1719" w:name="Tc_8VPdYUkqI0e1Tmq0Ir7T0A_6_2"/>
      <w:bookmarkStart w:id="1720" w:name="Tc_mduL6pGYrE6ztglQIFBfCQ_6_0"/>
      <w:bookmarkStart w:id="1721" w:name="Tc_nt1NWY77okav0fABAmTjNg_5_0"/>
      <w:bookmarkStart w:id="1722" w:name="Tc_0qxQsFzYMkGrLMOHQ7pwqQ_4_5"/>
      <w:bookmarkStart w:id="1723" w:name="Tc__Iysg3YyXECUL-7y4E-hkQ_4_2"/>
      <w:bookmarkStart w:id="1724" w:name="Tc_i7mc2h62CEenZkrjp1ywrw_4_0"/>
      <w:bookmarkStart w:id="1725" w:name="Tc_MOHrL39Tr0S-VBwSnlmiww_2_5"/>
      <w:bookmarkStart w:id="1726" w:name="Tc_NScRPYbXZ0Ot2VMSHlc8Pg_2_2"/>
      <w:bookmarkStart w:id="1727" w:name="Tc_udcC2NBfX0OfR2_RWTyViw_1_2"/>
      <w:bookmarkStart w:id="1728" w:name="_2849dac7_c47b_4589_85ac_68e0913a6e81"/>
      <w:bookmarkStart w:id="1729" w:name="_Hlk519691476"/>
      <w:bookmarkEnd w:id="1718"/>
      <w:bookmarkEnd w:id="1719"/>
      <w:bookmarkEnd w:id="1720"/>
      <w:bookmarkEnd w:id="1721"/>
      <w:bookmarkEnd w:id="1722"/>
      <w:bookmarkEnd w:id="1723"/>
      <w:bookmarkEnd w:id="1724"/>
      <w:bookmarkEnd w:id="1725"/>
      <w:bookmarkEnd w:id="1726"/>
      <w:bookmarkEnd w:id="1727"/>
      <w:bookmarkEnd w:id="1728"/>
      <w:bookmarkEnd w:id="1729"/>
      <w:r>
        <w:rPr>
          <w:rFonts w:ascii="Arial;Helvetica;sans-serif" w:hAnsi="Arial;Helvetica;sans-serif"/>
          <w:b/>
          <w:i w:val="false"/>
          <w:caps w:val="false"/>
          <w:smallCaps w:val="false"/>
          <w:sz w:val="20"/>
        </w:rPr>
        <w:t>(13)</w:t>
      </w:r>
      <w:r>
        <w:rPr>
          <w:rFonts w:ascii="Arial;Helvetica;sans-serif" w:hAnsi="Arial;Helvetica;sans-serif"/>
          <w:b/>
          <w:sz w:val="20"/>
        </w:rPr>
        <w:t>EQUITY-BASED COMPENSATION PLANS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 xml:space="preserve">All equity-based awards to employees are recognized in the Consolidated Statements of Comprehensive Income (Loss) at the fair value of the award on the grant date. </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 following tables present the total equity-based compensation expense for the three and six months ended June 30, 2026 and 2025 (in thousands):</w:t>
      </w:r>
    </w:p>
    <w:tbl>
      <w:tblPr>
        <w:tblW w:w="10154" w:type="dxa"/>
        <w:jc w:val="left"/>
        <w:tblInd w:w="0" w:type="dxa"/>
        <w:tblLayout w:type="fixed"/>
        <w:tblCellMar>
          <w:top w:w="0" w:type="dxa"/>
          <w:left w:w="0" w:type="dxa"/>
          <w:bottom w:w="0" w:type="dxa"/>
          <w:right w:w="0" w:type="dxa"/>
        </w:tblCellMar>
      </w:tblPr>
      <w:tblGrid>
        <w:gridCol w:w="7186"/>
        <w:gridCol w:w="109"/>
        <w:gridCol w:w="336"/>
        <w:gridCol w:w="910"/>
        <w:gridCol w:w="172"/>
        <w:gridCol w:w="336"/>
        <w:gridCol w:w="914"/>
        <w:gridCol w:w="191"/>
      </w:tblGrid>
      <w:tr>
        <w:trPr/>
        <w:tc>
          <w:tcPr>
            <w:tcW w:w="7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4563110" cy="175260"/>
                      <wp:effectExtent l="0" t="0" r="0" b="0"/>
                      <wp:wrapNone/>
                      <wp:docPr id="411" name="Frame411"/>
                      <a:graphic xmlns:a="http://schemas.openxmlformats.org/drawingml/2006/main">
                        <a:graphicData uri="http://schemas.microsoft.com/office/word/2010/wordprocessingShape">
                          <wps:wsp>
                            <wps:cNvSpPr txBox="1"/>
                            <wps:spPr>
                              <a:xfrm>
                                <a:off x="0" y="0"/>
                                <a:ext cx="4563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69215" cy="175260"/>
                      <wp:effectExtent l="0" t="0" r="0" b="0"/>
                      <wp:wrapNone/>
                      <wp:docPr id="412" name="Frame4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13360" cy="175260"/>
                      <wp:effectExtent l="0" t="0" r="0" b="0"/>
                      <wp:wrapNone/>
                      <wp:docPr id="413" name="Frame413"/>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577850" cy="175260"/>
                      <wp:effectExtent l="0" t="0" r="0" b="0"/>
                      <wp:wrapNone/>
                      <wp:docPr id="414" name="Frame414"/>
                      <a:graphic xmlns:a="http://schemas.openxmlformats.org/drawingml/2006/main">
                        <a:graphicData uri="http://schemas.microsoft.com/office/word/2010/wordprocessingShape">
                          <wps:wsp>
                            <wps:cNvSpPr txBox="1"/>
                            <wps:spPr>
                              <a:xfrm>
                                <a:off x="0" y="0"/>
                                <a:ext cx="5778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109220" cy="175260"/>
                      <wp:effectExtent l="0" t="0" r="0" b="0"/>
                      <wp:wrapNone/>
                      <wp:docPr id="415" name="Frame415"/>
                      <a:graphic xmlns:a="http://schemas.openxmlformats.org/drawingml/2006/main">
                        <a:graphicData uri="http://schemas.microsoft.com/office/word/2010/wordprocessingShape">
                          <wps:wsp>
                            <wps:cNvSpPr txBox="1"/>
                            <wps:spPr>
                              <a:xfrm>
                                <a:off x="0" y="0"/>
                                <a:ext cx="1092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13360" cy="175260"/>
                      <wp:effectExtent l="0" t="0" r="0" b="0"/>
                      <wp:wrapNone/>
                      <wp:docPr id="416" name="Frame416"/>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580390" cy="175260"/>
                      <wp:effectExtent l="0" t="0" r="0" b="0"/>
                      <wp:wrapNone/>
                      <wp:docPr id="417" name="Frame417"/>
                      <a:graphic xmlns:a="http://schemas.openxmlformats.org/drawingml/2006/main">
                        <a:graphicData uri="http://schemas.microsoft.com/office/word/2010/wordprocessingShape">
                          <wps:wsp>
                            <wps:cNvSpPr txBox="1"/>
                            <wps:spPr>
                              <a:xfrm>
                                <a:off x="0" y="0"/>
                                <a:ext cx="5803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121285" cy="175260"/>
                      <wp:effectExtent l="0" t="0" r="0" b="0"/>
                      <wp:wrapNone/>
                      <wp:docPr id="418" name="Frame418"/>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718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66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xml:space="preserve">Three Months Ended June 30, </w:t>
            </w:r>
          </w:p>
        </w:tc>
        <w:tc>
          <w:tcPr>
            <w:tcW w:w="191" w:type="dxa"/>
            <w:tcBorders/>
            <w:vAlign w:val="center"/>
          </w:tcPr>
          <w:p>
            <w:pPr>
              <w:pStyle w:val="TableContents"/>
              <w:bidi w:val="0"/>
              <w:spacing w:lineRule="auto" w:line="285" w:before="0" w:after="0"/>
              <w:ind w:left="0" w:right="0" w:hanging="0"/>
              <w:jc w:val="left"/>
              <w:rPr/>
            </w:pPr>
            <w:r>
              <w:rPr/>
              <w:t> </w:t>
            </w:r>
          </w:p>
        </w:tc>
      </w:tr>
      <w:tr>
        <w:trPr/>
        <w:tc>
          <w:tcPr>
            <w:tcW w:w="718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24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172" w:type="dxa"/>
            <w:tcBorders/>
            <w:vAlign w:val="center"/>
          </w:tcPr>
          <w:p>
            <w:pPr>
              <w:pStyle w:val="TableContents"/>
              <w:bidi w:val="0"/>
              <w:spacing w:lineRule="auto" w:line="285" w:before="0" w:after="0"/>
              <w:ind w:left="0" w:right="0" w:hanging="0"/>
              <w:jc w:val="left"/>
              <w:rPr/>
            </w:pPr>
            <w:r>
              <w:rPr/>
              <w:t>​</w:t>
            </w:r>
          </w:p>
        </w:tc>
        <w:tc>
          <w:tcPr>
            <w:tcW w:w="125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191" w:type="dxa"/>
            <w:tcBorders/>
            <w:vAlign w:val="center"/>
          </w:tcPr>
          <w:p>
            <w:pPr>
              <w:pStyle w:val="TableContents"/>
              <w:bidi w:val="0"/>
              <w:spacing w:lineRule="auto" w:line="285" w:before="0" w:after="0"/>
              <w:ind w:left="0" w:right="0" w:hanging="0"/>
              <w:jc w:val="left"/>
              <w:rPr/>
            </w:pPr>
            <w:r>
              <w:rPr/>
              <w:t> </w:t>
            </w:r>
          </w:p>
        </w:tc>
      </w:tr>
      <w:tr>
        <w:trPr/>
        <w:tc>
          <w:tcPr>
            <w:tcW w:w="718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36" w:type="dxa"/>
            <w:tcBorders/>
            <w:vAlign w:val="center"/>
          </w:tcPr>
          <w:p>
            <w:pPr>
              <w:pStyle w:val="TableContents"/>
              <w:bidi w:val="0"/>
              <w:spacing w:lineRule="auto" w:line="285" w:before="0" w:after="0"/>
              <w:ind w:left="0" w:right="0" w:hanging="0"/>
              <w:jc w:val="left"/>
              <w:rPr/>
            </w:pPr>
            <w:r>
              <w:rPr/>
              <w:t>​</w:t>
            </w:r>
          </w:p>
        </w:tc>
        <w:tc>
          <w:tcPr>
            <w:tcW w:w="910" w:type="dxa"/>
            <w:tcBorders/>
            <w:vAlign w:val="center"/>
          </w:tcPr>
          <w:p>
            <w:pPr>
              <w:pStyle w:val="TableContents"/>
              <w:bidi w:val="0"/>
              <w:spacing w:lineRule="auto" w:line="285" w:before="0" w:after="0"/>
              <w:ind w:left="0" w:right="0" w:hanging="0"/>
              <w:jc w:val="left"/>
              <w:rPr/>
            </w:pPr>
            <w:r>
              <w:rPr/>
              <w:t>​</w:t>
            </w:r>
          </w:p>
        </w:tc>
        <w:tc>
          <w:tcPr>
            <w:tcW w:w="172" w:type="dxa"/>
            <w:tcBorders/>
            <w:vAlign w:val="center"/>
          </w:tcPr>
          <w:p>
            <w:pPr>
              <w:pStyle w:val="TableContents"/>
              <w:bidi w:val="0"/>
              <w:spacing w:lineRule="auto" w:line="285" w:before="0" w:after="0"/>
              <w:ind w:left="0" w:right="0" w:hanging="0"/>
              <w:jc w:val="left"/>
              <w:rPr/>
            </w:pPr>
            <w:r>
              <w:rPr/>
              <w:t>​</w:t>
            </w:r>
          </w:p>
        </w:tc>
        <w:tc>
          <w:tcPr>
            <w:tcW w:w="336" w:type="dxa"/>
            <w:tcBorders/>
            <w:vAlign w:val="center"/>
          </w:tcPr>
          <w:p>
            <w:pPr>
              <w:pStyle w:val="TableContents"/>
              <w:bidi w:val="0"/>
              <w:spacing w:lineRule="auto" w:line="285" w:before="0" w:after="0"/>
              <w:ind w:left="0" w:right="0" w:hanging="0"/>
              <w:jc w:val="left"/>
              <w:rPr/>
            </w:pPr>
            <w:r>
              <w:rPr/>
              <w:t>​</w:t>
            </w:r>
          </w:p>
        </w:tc>
        <w:tc>
          <w:tcPr>
            <w:tcW w:w="914" w:type="dxa"/>
            <w:tcBorders/>
            <w:vAlign w:val="center"/>
          </w:tcPr>
          <w:p>
            <w:pPr>
              <w:pStyle w:val="TableContents"/>
              <w:bidi w:val="0"/>
              <w:spacing w:lineRule="auto" w:line="285" w:before="0" w:after="0"/>
              <w:ind w:left="0" w:right="0" w:hanging="0"/>
              <w:jc w:val="lef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718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Equity-based compensation expense recognized in Cost of services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3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10"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834</w:t>
            </w:r>
          </w:p>
        </w:tc>
        <w:tc>
          <w:tcPr>
            <w:tcW w:w="172" w:type="dxa"/>
            <w:tcBorders/>
            <w:shd w:fill="CCEEFF" w:val="clear"/>
            <w:vAlign w:val="center"/>
          </w:tcPr>
          <w:p>
            <w:pPr>
              <w:pStyle w:val="TableContents"/>
              <w:bidi w:val="0"/>
              <w:spacing w:lineRule="auto" w:line="285" w:before="0" w:after="0"/>
              <w:ind w:left="0" w:right="0" w:hanging="0"/>
              <w:jc w:val="left"/>
              <w:rPr/>
            </w:pPr>
            <w:r>
              <w:rPr/>
              <w:t>​</w:t>
            </w:r>
          </w:p>
        </w:tc>
        <w:tc>
          <w:tcPr>
            <w:tcW w:w="33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1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1,523</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718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Equity-based compensation expense recognized in Selling, general and administrative</w:t>
            </w:r>
          </w:p>
        </w:tc>
        <w:tc>
          <w:tcPr>
            <w:tcW w:w="109" w:type="dxa"/>
            <w:tcBorders/>
            <w:vAlign w:val="center"/>
          </w:tcPr>
          <w:p>
            <w:pPr>
              <w:pStyle w:val="TableContents"/>
              <w:bidi w:val="0"/>
              <w:spacing w:lineRule="auto" w:line="285" w:before="0" w:after="0"/>
              <w:ind w:left="0" w:right="0" w:hanging="0"/>
              <w:jc w:val="left"/>
              <w:rPr/>
            </w:pPr>
            <w:r>
              <w:rPr/>
              <w:t>​</w:t>
            </w:r>
          </w:p>
        </w:tc>
        <w:tc>
          <w:tcPr>
            <w:tcW w:w="33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1,424</w:t>
            </w:r>
          </w:p>
        </w:tc>
        <w:tc>
          <w:tcPr>
            <w:tcW w:w="172" w:type="dxa"/>
            <w:tcBorders/>
            <w:vAlign w:val="center"/>
          </w:tcPr>
          <w:p>
            <w:pPr>
              <w:pStyle w:val="TableContents"/>
              <w:bidi w:val="0"/>
              <w:spacing w:lineRule="auto" w:line="285" w:before="0" w:after="0"/>
              <w:ind w:left="0" w:right="0" w:hanging="0"/>
              <w:jc w:val="left"/>
              <w:rPr/>
            </w:pPr>
            <w:r>
              <w:rPr/>
              <w:t>​</w:t>
            </w:r>
          </w:p>
        </w:tc>
        <w:tc>
          <w:tcPr>
            <w:tcW w:w="33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2,528</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718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Total equity-based compensation expense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1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2,258</w:t>
            </w:r>
          </w:p>
        </w:tc>
        <w:tc>
          <w:tcPr>
            <w:tcW w:w="172" w:type="dxa"/>
            <w:tcBorders/>
            <w:shd w:fill="CCEEFF" w:val="clear"/>
            <w:vAlign w:val="center"/>
          </w:tcPr>
          <w:p>
            <w:pPr>
              <w:pStyle w:val="TableContents"/>
              <w:bidi w:val="0"/>
              <w:spacing w:lineRule="auto" w:line="285" w:before="0" w:after="0"/>
              <w:ind w:left="0" w:right="0" w:hanging="0"/>
              <w:jc w:val="left"/>
              <w:rPr/>
            </w:pPr>
            <w:r>
              <w:rPr/>
              <w:t>​</w:t>
            </w:r>
          </w:p>
        </w:tc>
        <w:tc>
          <w:tcPr>
            <w:tcW w:w="3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1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4,051</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both"/>
        <w:rPr/>
      </w:pPr>
      <w:r>
        <w:rPr/>
        <w:t>​</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23</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TTEC HOLDINGS, INC. AND SUBSIDIARIES</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Notes to Consolidated Financial Statements</w:t>
      </w:r>
    </w:p>
    <w:p>
      <w:pPr>
        <w:pStyle w:val="TextBody"/>
        <w:bidi w:val="0"/>
        <w:spacing w:lineRule="auto" w:line="285" w:before="0" w:after="240"/>
        <w:ind w:left="0" w:right="0" w:hanging="0"/>
        <w:jc w:val="center"/>
        <w:rPr>
          <w:rFonts w:ascii="Arial;Helvetica;sans-serif" w:hAnsi="Arial;Helvetica;sans-serif"/>
          <w:b/>
          <w:sz w:val="20"/>
        </w:rPr>
      </w:pPr>
      <w:r>
        <w:rPr>
          <w:rFonts w:ascii="Arial;Helvetica;sans-serif" w:hAnsi="Arial;Helvetica;sans-serif"/>
          <w:b/>
          <w:sz w:val="20"/>
        </w:rPr>
        <w:t>(Unaudited)</w:t>
      </w:r>
    </w:p>
    <w:p>
      <w:pPr>
        <w:pStyle w:val="Normal"/>
        <w:bidi w:val="0"/>
        <w:spacing w:before="0" w:after="0"/>
        <w:jc w:val="left"/>
        <w:rPr>
          <w:sz w:val="4"/>
          <w:szCs w:val="4"/>
        </w:rPr>
      </w:pPr>
      <w:r>
        <w:rPr>
          <w:sz w:val="4"/>
          <w:szCs w:val="4"/>
        </w:rPr>
      </w:r>
      <w:bookmarkStart w:id="1730" w:name="Tc_qGEk7U7sKE2ExqENIZkwhQ_6_5"/>
      <w:bookmarkStart w:id="1731" w:name="Tc_L5r94-Dtg0Kzz8VVUxO5EA_6_2"/>
      <w:bookmarkStart w:id="1732" w:name="Tc_ApQufboFc0-CySsGoJd1hg_6_0"/>
      <w:bookmarkStart w:id="1733" w:name="Tc__y_0D9flyU219INTxrNF3g_5_0"/>
      <w:bookmarkStart w:id="1734" w:name="Tc_RK0UWNpTr0G0WUH0rYgT0g_4_5"/>
      <w:bookmarkStart w:id="1735" w:name="Tc_baEU5h8WpkGJaUqAIOfRVw_4_2"/>
      <w:bookmarkStart w:id="1736" w:name="Tc_NH3rSyk6IkWHlOqKjryD2g_4_0"/>
      <w:bookmarkStart w:id="1737" w:name="Tc_op79har76UOJUa61NC8cHA_2_5"/>
      <w:bookmarkStart w:id="1738" w:name="Tc__XQHkNPvKUuF7IeTSaeTDA_2_2"/>
      <w:bookmarkStart w:id="1739" w:name="Tc_SjflM_qtuUW7I_IRhw126w_1_2"/>
      <w:bookmarkStart w:id="1740" w:name="_7d64977e_9372_4f97_8dd4_956eac7992c6"/>
      <w:bookmarkStart w:id="1741" w:name="Tc_qGEk7U7sKE2ExqENIZkwhQ_6_5"/>
      <w:bookmarkStart w:id="1742" w:name="Tc_L5r94-Dtg0Kzz8VVUxO5EA_6_2"/>
      <w:bookmarkStart w:id="1743" w:name="Tc_ApQufboFc0-CySsGoJd1hg_6_0"/>
      <w:bookmarkStart w:id="1744" w:name="Tc__y_0D9flyU219INTxrNF3g_5_0"/>
      <w:bookmarkStart w:id="1745" w:name="Tc_RK0UWNpTr0G0WUH0rYgT0g_4_5"/>
      <w:bookmarkStart w:id="1746" w:name="Tc_baEU5h8WpkGJaUqAIOfRVw_4_2"/>
      <w:bookmarkStart w:id="1747" w:name="Tc_NH3rSyk6IkWHlOqKjryD2g_4_0"/>
      <w:bookmarkStart w:id="1748" w:name="Tc_op79har76UOJUa61NC8cHA_2_5"/>
      <w:bookmarkStart w:id="1749" w:name="Tc__XQHkNPvKUuF7IeTSaeTDA_2_2"/>
      <w:bookmarkStart w:id="1750" w:name="Tc_SjflM_qtuUW7I_IRhw126w_1_2"/>
      <w:bookmarkStart w:id="1751" w:name="_7d64977e_9372_4f97_8dd4_956eac7992c6"/>
      <w:bookmarkEnd w:id="1741"/>
      <w:bookmarkEnd w:id="1742"/>
      <w:bookmarkEnd w:id="1743"/>
      <w:bookmarkEnd w:id="1744"/>
      <w:bookmarkEnd w:id="1745"/>
      <w:bookmarkEnd w:id="1746"/>
      <w:bookmarkEnd w:id="1747"/>
      <w:bookmarkEnd w:id="1748"/>
      <w:bookmarkEnd w:id="1749"/>
      <w:bookmarkEnd w:id="1750"/>
      <w:bookmarkEnd w:id="1751"/>
    </w:p>
    <w:tbl>
      <w:tblPr>
        <w:tblW w:w="9929" w:type="dxa"/>
        <w:jc w:val="left"/>
        <w:tblInd w:w="0" w:type="dxa"/>
        <w:tblLayout w:type="fixed"/>
        <w:tblCellMar>
          <w:top w:w="0" w:type="dxa"/>
          <w:left w:w="0" w:type="dxa"/>
          <w:bottom w:w="0" w:type="dxa"/>
          <w:right w:w="0" w:type="dxa"/>
        </w:tblCellMar>
      </w:tblPr>
      <w:tblGrid>
        <w:gridCol w:w="7186"/>
        <w:gridCol w:w="109"/>
        <w:gridCol w:w="308"/>
        <w:gridCol w:w="834"/>
        <w:gridCol w:w="158"/>
        <w:gridCol w:w="308"/>
        <w:gridCol w:w="835"/>
        <w:gridCol w:w="191"/>
      </w:tblGrid>
      <w:tr>
        <w:trPr/>
        <w:tc>
          <w:tcPr>
            <w:tcW w:w="7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4563110" cy="175260"/>
                      <wp:effectExtent l="0" t="0" r="0" b="0"/>
                      <wp:wrapNone/>
                      <wp:docPr id="419" name="Frame419"/>
                      <a:graphic xmlns:a="http://schemas.openxmlformats.org/drawingml/2006/main">
                        <a:graphicData uri="http://schemas.microsoft.com/office/word/2010/wordprocessingShape">
                          <wps:wsp>
                            <wps:cNvSpPr txBox="1"/>
                            <wps:spPr>
                              <a:xfrm>
                                <a:off x="0" y="0"/>
                                <a:ext cx="4563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69215" cy="175260"/>
                      <wp:effectExtent l="0" t="0" r="0" b="0"/>
                      <wp:wrapNone/>
                      <wp:docPr id="420" name="Frame4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195580" cy="175260"/>
                      <wp:effectExtent l="0" t="0" r="0" b="0"/>
                      <wp:wrapNone/>
                      <wp:docPr id="421" name="Frame421"/>
                      <a:graphic xmlns:a="http://schemas.openxmlformats.org/drawingml/2006/main">
                        <a:graphicData uri="http://schemas.microsoft.com/office/word/2010/wordprocessingShape">
                          <wps:wsp>
                            <wps:cNvSpPr txBox="1"/>
                            <wps:spPr>
                              <a:xfrm>
                                <a:off x="0" y="0"/>
                                <a:ext cx="1955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529590" cy="175260"/>
                      <wp:effectExtent l="0" t="0" r="0" b="0"/>
                      <wp:wrapNone/>
                      <wp:docPr id="422" name="Frame422"/>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100330" cy="175260"/>
                      <wp:effectExtent l="0" t="0" r="0" b="0"/>
                      <wp:wrapNone/>
                      <wp:docPr id="423" name="Frame423"/>
                      <a:graphic xmlns:a="http://schemas.openxmlformats.org/drawingml/2006/main">
                        <a:graphicData uri="http://schemas.microsoft.com/office/word/2010/wordprocessingShape">
                          <wps:wsp>
                            <wps:cNvSpPr txBox="1"/>
                            <wps:spPr>
                              <a:xfrm>
                                <a:off x="0" y="0"/>
                                <a:ext cx="1003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195580" cy="175260"/>
                      <wp:effectExtent l="0" t="0" r="0" b="0"/>
                      <wp:wrapNone/>
                      <wp:docPr id="424" name="Frame424"/>
                      <a:graphic xmlns:a="http://schemas.openxmlformats.org/drawingml/2006/main">
                        <a:graphicData uri="http://schemas.microsoft.com/office/word/2010/wordprocessingShape">
                          <wps:wsp>
                            <wps:cNvSpPr txBox="1"/>
                            <wps:spPr>
                              <a:xfrm>
                                <a:off x="0" y="0"/>
                                <a:ext cx="1955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530225" cy="175260"/>
                      <wp:effectExtent l="0" t="0" r="0" b="0"/>
                      <wp:wrapNone/>
                      <wp:docPr id="425" name="Frame425"/>
                      <a:graphic xmlns:a="http://schemas.openxmlformats.org/drawingml/2006/main">
                        <a:graphicData uri="http://schemas.microsoft.com/office/word/2010/wordprocessingShape">
                          <wps:wsp>
                            <wps:cNvSpPr txBox="1"/>
                            <wps:spPr>
                              <a:xfrm>
                                <a:off x="0" y="0"/>
                                <a:ext cx="5302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121285" cy="175260"/>
                      <wp:effectExtent l="0" t="0" r="0" b="0"/>
                      <wp:wrapNone/>
                      <wp:docPr id="426" name="Frame426"/>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718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443"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xml:space="preserve">Six Months Ended June 30, </w:t>
            </w:r>
          </w:p>
        </w:tc>
        <w:tc>
          <w:tcPr>
            <w:tcW w:w="191" w:type="dxa"/>
            <w:tcBorders/>
            <w:vAlign w:val="center"/>
          </w:tcPr>
          <w:p>
            <w:pPr>
              <w:pStyle w:val="TableContents"/>
              <w:bidi w:val="0"/>
              <w:spacing w:lineRule="auto" w:line="285" w:before="0" w:after="0"/>
              <w:ind w:left="0" w:right="0" w:hanging="0"/>
              <w:jc w:val="left"/>
              <w:rPr/>
            </w:pPr>
            <w:r>
              <w:rPr/>
              <w:t> </w:t>
            </w:r>
          </w:p>
        </w:tc>
      </w:tr>
      <w:tr>
        <w:trPr/>
        <w:tc>
          <w:tcPr>
            <w:tcW w:w="718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158" w:type="dxa"/>
            <w:tcBorders/>
            <w:vAlign w:val="center"/>
          </w:tcPr>
          <w:p>
            <w:pPr>
              <w:pStyle w:val="TableContents"/>
              <w:bidi w:val="0"/>
              <w:spacing w:lineRule="auto" w:line="285" w:before="0" w:after="0"/>
              <w:ind w:left="0" w:right="0" w:hanging="0"/>
              <w:jc w:val="left"/>
              <w:rPr/>
            </w:pPr>
            <w:r>
              <w:rPr/>
              <w:t>​</w:t>
            </w:r>
          </w:p>
        </w:tc>
        <w:tc>
          <w:tcPr>
            <w:tcW w:w="114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191" w:type="dxa"/>
            <w:tcBorders/>
            <w:vAlign w:val="center"/>
          </w:tcPr>
          <w:p>
            <w:pPr>
              <w:pStyle w:val="TableContents"/>
              <w:bidi w:val="0"/>
              <w:spacing w:lineRule="auto" w:line="285" w:before="0" w:after="0"/>
              <w:ind w:left="0" w:right="0" w:hanging="0"/>
              <w:jc w:val="left"/>
              <w:rPr/>
            </w:pPr>
            <w:r>
              <w:rPr/>
              <w:t> </w:t>
            </w:r>
          </w:p>
        </w:tc>
      </w:tr>
      <w:tr>
        <w:trPr/>
        <w:tc>
          <w:tcPr>
            <w:tcW w:w="718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08" w:type="dxa"/>
            <w:tcBorders/>
            <w:vAlign w:val="center"/>
          </w:tcPr>
          <w:p>
            <w:pPr>
              <w:pStyle w:val="TableContents"/>
              <w:bidi w:val="0"/>
              <w:spacing w:lineRule="auto" w:line="285" w:before="0" w:after="0"/>
              <w:ind w:left="0" w:right="0" w:hanging="0"/>
              <w:jc w:val="left"/>
              <w:rPr/>
            </w:pPr>
            <w:r>
              <w:rPr/>
              <w:t>​</w:t>
            </w:r>
          </w:p>
        </w:tc>
        <w:tc>
          <w:tcPr>
            <w:tcW w:w="834" w:type="dxa"/>
            <w:tcBorders/>
            <w:vAlign w:val="center"/>
          </w:tcPr>
          <w:p>
            <w:pPr>
              <w:pStyle w:val="TableContents"/>
              <w:bidi w:val="0"/>
              <w:spacing w:lineRule="auto" w:line="285" w:before="0" w:after="0"/>
              <w:ind w:left="0" w:right="0" w:hanging="0"/>
              <w:jc w:val="left"/>
              <w:rPr/>
            </w:pPr>
            <w:r>
              <w:rPr/>
              <w:t>​</w:t>
            </w:r>
          </w:p>
        </w:tc>
        <w:tc>
          <w:tcPr>
            <w:tcW w:w="158" w:type="dxa"/>
            <w:tcBorders/>
            <w:vAlign w:val="center"/>
          </w:tcPr>
          <w:p>
            <w:pPr>
              <w:pStyle w:val="TableContents"/>
              <w:bidi w:val="0"/>
              <w:spacing w:lineRule="auto" w:line="285" w:before="0" w:after="0"/>
              <w:ind w:left="0" w:right="0" w:hanging="0"/>
              <w:jc w:val="left"/>
              <w:rPr/>
            </w:pPr>
            <w:r>
              <w:rPr/>
              <w:t>​</w:t>
            </w:r>
          </w:p>
        </w:tc>
        <w:tc>
          <w:tcPr>
            <w:tcW w:w="308" w:type="dxa"/>
            <w:tcBorders/>
            <w:vAlign w:val="center"/>
          </w:tcPr>
          <w:p>
            <w:pPr>
              <w:pStyle w:val="TableContents"/>
              <w:bidi w:val="0"/>
              <w:spacing w:lineRule="auto" w:line="285" w:before="0" w:after="0"/>
              <w:ind w:left="0" w:right="0" w:hanging="0"/>
              <w:jc w:val="left"/>
              <w:rPr/>
            </w:pPr>
            <w:r>
              <w:rPr/>
              <w:t>​</w:t>
            </w:r>
          </w:p>
        </w:tc>
        <w:tc>
          <w:tcPr>
            <w:tcW w:w="835" w:type="dxa"/>
            <w:tcBorders/>
            <w:vAlign w:val="center"/>
          </w:tcPr>
          <w:p>
            <w:pPr>
              <w:pStyle w:val="TableContents"/>
              <w:bidi w:val="0"/>
              <w:spacing w:lineRule="auto" w:line="285" w:before="0" w:after="0"/>
              <w:ind w:left="0" w:right="0" w:hanging="0"/>
              <w:jc w:val="lef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718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Equity-based compensation expense recognized in Cost of services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08"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3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1,686</w:t>
            </w:r>
          </w:p>
        </w:tc>
        <w:tc>
          <w:tcPr>
            <w:tcW w:w="158" w:type="dxa"/>
            <w:tcBorders/>
            <w:shd w:fill="CCEEFF" w:val="clear"/>
            <w:vAlign w:val="center"/>
          </w:tcPr>
          <w:p>
            <w:pPr>
              <w:pStyle w:val="TableContents"/>
              <w:bidi w:val="0"/>
              <w:spacing w:lineRule="auto" w:line="285" w:before="0" w:after="0"/>
              <w:ind w:left="0" w:right="0" w:hanging="0"/>
              <w:jc w:val="left"/>
              <w:rPr/>
            </w:pPr>
            <w:r>
              <w:rPr/>
              <w:t>​</w:t>
            </w:r>
          </w:p>
        </w:tc>
        <w:tc>
          <w:tcPr>
            <w:tcW w:w="308"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35"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2,651</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718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Equity-based compensation expense recognized in Selling, general and administrative</w:t>
            </w:r>
          </w:p>
        </w:tc>
        <w:tc>
          <w:tcPr>
            <w:tcW w:w="109" w:type="dxa"/>
            <w:tcBorders/>
            <w:vAlign w:val="center"/>
          </w:tcPr>
          <w:p>
            <w:pPr>
              <w:pStyle w:val="TableContents"/>
              <w:bidi w:val="0"/>
              <w:spacing w:lineRule="auto" w:line="285" w:before="0" w:after="0"/>
              <w:ind w:left="0" w:right="0" w:hanging="0"/>
              <w:jc w:val="left"/>
              <w:rPr/>
            </w:pPr>
            <w:r>
              <w:rPr/>
              <w:t>​</w:t>
            </w:r>
          </w:p>
        </w:tc>
        <w:tc>
          <w:tcPr>
            <w:tcW w:w="30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3,398</w:t>
            </w:r>
          </w:p>
        </w:tc>
        <w:tc>
          <w:tcPr>
            <w:tcW w:w="158" w:type="dxa"/>
            <w:tcBorders/>
            <w:vAlign w:val="center"/>
          </w:tcPr>
          <w:p>
            <w:pPr>
              <w:pStyle w:val="TableContents"/>
              <w:bidi w:val="0"/>
              <w:spacing w:lineRule="auto" w:line="285" w:before="0" w:after="0"/>
              <w:ind w:left="0" w:right="0" w:hanging="0"/>
              <w:jc w:val="left"/>
              <w:rPr/>
            </w:pPr>
            <w:r>
              <w:rPr/>
              <w:t>​</w:t>
            </w:r>
          </w:p>
        </w:tc>
        <w:tc>
          <w:tcPr>
            <w:tcW w:w="30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3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4,650</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718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Total equity-based compensation expense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0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3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5,084</w:t>
            </w:r>
          </w:p>
        </w:tc>
        <w:tc>
          <w:tcPr>
            <w:tcW w:w="158" w:type="dxa"/>
            <w:tcBorders/>
            <w:shd w:fill="CCEEFF" w:val="clear"/>
            <w:vAlign w:val="center"/>
          </w:tcPr>
          <w:p>
            <w:pPr>
              <w:pStyle w:val="TableContents"/>
              <w:bidi w:val="0"/>
              <w:spacing w:lineRule="auto" w:line="285" w:before="0" w:after="0"/>
              <w:ind w:left="0" w:right="0" w:hanging="0"/>
              <w:jc w:val="left"/>
              <w:rPr/>
            </w:pPr>
            <w:r>
              <w:rPr/>
              <w:t>​</w:t>
            </w:r>
          </w:p>
        </w:tc>
        <w:tc>
          <w:tcPr>
            <w:tcW w:w="30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3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7,301</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Restricted Stock Unit Grants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 xml:space="preserve">During the six months ended June 30, 2026 and 2025, the Company granted 700,754 and 537,159 RSUs, respectively, to new and existing employees, which vest over </w:t>
      </w:r>
      <w:r>
        <w:rPr>
          <w:rFonts w:ascii="Arial;Helvetica;sans-serif" w:hAnsi="Arial;Helvetica;sans-serif"/>
          <w:b w:val="false"/>
          <w:i w:val="false"/>
          <w:caps w:val="false"/>
          <w:smallCaps w:val="false"/>
          <w:sz w:val="20"/>
        </w:rPr>
        <w:t>three</w:t>
      </w:r>
      <w:r>
        <w:rPr>
          <w:rFonts w:ascii="Arial;Helvetica;sans-serif" w:hAnsi="Arial;Helvetica;sans-serif"/>
          <w:sz w:val="20"/>
        </w:rPr>
        <w:t xml:space="preserve"> to five years. The Company recognized compensation expense related to RSUs of $2.3 million and $4.1 million for the three months ended June 30, 2026 and 2025, respectively. The Company recognized compensation expense related to RSUs of $5.1 million and $7.3 million for the six months ended June 30, 2026 and 2025, respectively. As of June 30, 2026, there was approximately $10.4 million of total unrecognized compensation cost (including the impact of expected forfeitures) related to RSUs granted under the Company’s equity plans.</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Performance Based Restricted Stock Unit Grants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During 2022, the Company granted awards of two different performance-based RSU (“PRSU”) programs that are subject to service and performance vesting conditions: ordinary course annual PRSUs and one-time stretch financial goals PRSUs. For the ordinary course annual PRSUs, if defined minimum targets were met, the annual value of the PRSUs issued would have been between $0.9 million and $3.5 million and the PRSUs would have vested in March 2025. If the defined minimum targets were not met, then no shares would be issued. The number of shares awarded would have been based on the Company’s annual revenue and adjusted EBITDA for fiscal year 2024. For the 2022 ordinary course annual PRSUs, no shares were issued in March 2025 as defined minimum targets were not met. For the one-time stretch financial goals PRSUs, no shares were issued in March 2026 as defined minimum targets were not met.</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During 2023, the Company awarded PRSUs to senior executives that were subject to service and performance vesting conditions. If defined minimum targets were met, the annual value of the PRSUs issued would have been between zero and $8.9 million and the PRSUs would have vested in 2026. If the defined minimum targets were not met, then no shares would be issued. The number of shares awarded would have been based on the Company’s annual revenue and adjusted EBITDA for fiscal year 2025. For the 2023 PRSUs, no shares were issued in March 2026 as defined minimum targets were not met.</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During the fourth quarter of 2024, the Company awarded PRSUs to senior executives that are subject to service and performance vesting conditions. If defined minimum targets are met, the annual value of the PRSUs will be between zero and $4.0 million and the PRSUs will vest in 2027. If the defined minimum targets are not met, then no PRSUs will be issued. The number of PRSUs awarded will be based on the Company’s annual revenue and adjusted EBITDA for fiscal year 2026 and on TTEC Digital’s annual revenue and adjusted EBITDA for fiscal year 2026. The Company did not recognize any compensation expense related to these awards for the six months ended June 30, 2026, as they were not deemed probable of being achieved.</w:t>
      </w:r>
    </w:p>
    <w:p>
      <w:pPr>
        <w:pStyle w:val="TextBody"/>
        <w:bidi w:val="0"/>
        <w:spacing w:lineRule="auto" w:line="285" w:before="0" w:after="0"/>
        <w:ind w:left="0" w:right="0" w:hanging="0"/>
        <w:jc w:val="both"/>
        <w:rPr/>
      </w:pPr>
      <w:r>
        <w:rPr/>
        <w:t>​</w:t>
      </w:r>
    </w:p>
    <w:p>
      <w:pPr>
        <w:pStyle w:val="TextBody"/>
        <w:bidi w:val="0"/>
        <w:spacing w:lineRule="auto" w:line="285" w:before="0" w:after="12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(14)</w:t>
      </w:r>
      <w:r>
        <w:rPr>
          <w:rFonts w:ascii="Arial;Helvetica;sans-serif" w:hAnsi="Arial;Helvetica;sans-serif"/>
          <w:b/>
          <w:sz w:val="20"/>
        </w:rPr>
        <w:t>NON-QUALIFIED DEFERRED COMPENSATION PLAN</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 xml:space="preserve">The Company maintains a </w:t>
      </w:r>
      <w:r>
        <w:rPr>
          <w:rFonts w:ascii="Arial;Helvetica;sans-serif" w:hAnsi="Arial;Helvetica;sans-serif"/>
          <w:b w:val="false"/>
          <w:i w:val="false"/>
          <w:caps w:val="false"/>
          <w:smallCaps w:val="false"/>
          <w:sz w:val="20"/>
        </w:rPr>
        <w:t>non-qualified</w:t>
      </w:r>
      <w:r>
        <w:rPr>
          <w:rFonts w:ascii="Arial;Helvetica;sans-serif" w:hAnsi="Arial;Helvetica;sans-serif"/>
          <w:sz w:val="20"/>
        </w:rPr>
        <w:t xml:space="preserve"> deferred compensation plan for executive officers and other eligible employees that permits such employees to defer a portion of their compensation, on a pretax basis, until after their termination of employment. The plan allows for deferral of up to 75% of a participant’s base salary, bonus, commissions, and any amounts that U.S. highly compensated employees are limited from contributing into TTEC’s Deferred Tax Retirement Savings Plan (the “401K Plan”). All amounts deferred under the plan are unfunded, unsecured obligations and are recorded within Other long-term liabilities in the accompanying Consolidated Balance Sheets. In the event of bankruptcy, the assets of this plan are available to satisfy the </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24</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TTEC HOLDINGS, INC. AND SUBSIDIARIES</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Notes to Consolidated Financial Statements</w:t>
      </w:r>
    </w:p>
    <w:p>
      <w:pPr>
        <w:pStyle w:val="TextBody"/>
        <w:bidi w:val="0"/>
        <w:spacing w:lineRule="auto" w:line="285" w:before="0" w:after="24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claims of general creditors. Participants may choose among alternative earnings rates for the amounts they defer, which are primarily based on investment options within the 401K Plan. Amounts contributed and deferred under the Plan are credited or charged with the performance of investment options offered under the plan as elected by the participants. The Company manages the risk of changes in the fair value of the liability for deferred compensation by electing to match its liability under the plan with investment vehicles that offset a portion of its exposure including a Company owned life insurance policy held in a rabbi trust. In the fourth quarter of 2024 the Company suspended additional deferrals into the Plan until further notice.</w:t>
      </w:r>
    </w:p>
    <w:p>
      <w:pPr>
        <w:pStyle w:val="TextBody"/>
        <w:bidi w:val="0"/>
        <w:spacing w:lineRule="auto" w:line="285" w:before="0" w:after="0"/>
        <w:ind w:left="0" w:right="0" w:hanging="0"/>
        <w:jc w:val="both"/>
        <w:rPr/>
      </w:pPr>
      <w:r>
        <w:rPr/>
        <w:t>​</w:t>
      </w:r>
    </w:p>
    <w:p>
      <w:pPr>
        <w:pStyle w:val="TextBody"/>
        <w:bidi w:val="0"/>
        <w:spacing w:lineRule="auto" w:line="285" w:before="0" w:after="120"/>
        <w:ind w:left="0" w:right="0" w:hanging="0"/>
        <w:jc w:val="left"/>
        <w:rPr>
          <w:rFonts w:ascii="Arial;Helvetica;sans-serif" w:hAnsi="Arial;Helvetica;sans-serif"/>
          <w:sz w:val="20"/>
        </w:rPr>
      </w:pPr>
      <w:bookmarkStart w:id="1752" w:name="_Hlk519691490"/>
      <w:bookmarkEnd w:id="1752"/>
      <w:r>
        <w:rPr>
          <w:rFonts w:ascii="Arial;Helvetica;sans-serif" w:hAnsi="Arial;Helvetica;sans-serif"/>
          <w:b/>
          <w:i w:val="false"/>
          <w:caps w:val="false"/>
          <w:smallCaps w:val="false"/>
          <w:sz w:val="20"/>
        </w:rPr>
        <w:t>(15)</w:t>
      </w:r>
      <w:r>
        <w:rPr>
          <w:rFonts w:ascii="Arial;Helvetica;sans-serif" w:hAnsi="Arial;Helvetica;sans-serif"/>
          <w:b/>
          <w:sz w:val="20"/>
        </w:rPr>
        <w:t>RELATED PARTY TRANSACTIONS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Company entered into an agreement under which Avion, LLC (“Avion”) and Airmax LLC (“Airmax”) provide certain aviation flight services as requested by the Company. Such services include the use of an aircraft and flight crew. Kenneth D. Tuchman, Chairman and Chief Executive Officer of the Company, has an indirect 100% beneficial ownership interest in Avion and Airmax. During the six months ended June 30, 2026 and 2025, the Company expensed $0.3 million and $0.3 million, respectively, to Avion and Airmax for services provided to the Company. There was $160 thousand in payments due and outstanding to Avion and Airmax as of June 30, 2026.</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In 2025, the Company entered into service agreements with Mantucket Capital Management Corporation (“Mantucket”) to provide staff augmentation and cloud migration services. Kenneth D. Tuchman, Chairman and Chief Executive Officer of the Company, beneficially owns 100% of the equity of Mantucket. During the six months ended June 30, 2026, the Company recognized revenue under these agreements of $0.1 million.</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12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(16)</w:t>
      </w:r>
      <w:r>
        <w:rPr>
          <w:rFonts w:ascii="Arial;Helvetica;sans-serif" w:hAnsi="Arial;Helvetica;sans-serif"/>
          <w:b/>
          <w:sz w:val="20"/>
        </w:rPr>
        <w:t>SUBSEQUENT EVENTS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 xml:space="preserve">On August 7, 2026, the Company entered into the Eleventh Amendment to its Amended and Restated Credit Agreement, dated as of June 3, 2013, as amended (the “Credit Agreement”), with the lenders party thereto and Wells Fargo Bank, National Association, as administrative agent. The Eleventh Amendment, among other things, reduced the revolving credit facility commitment from $1.0 billion to $975.0 million, increased the SOFR credit margin from 3.00% to 3.25% through September 30, 2026, and from 6.00% to 6.25% thereafter, expanded the collateral and guarantee package (including an increased pledge of foreign subsidiaries’ equity), and imposed certain additional covenants restricting indebtedness, liens, investments, dispositions, acquisitions, and restricted payments. The Eleventh Amendment also provides additional covenant capacity by increasing the maximum permitted net leverage ratio. The covenant modifications are effective from September 30, 2026 through September 30, 2027. During this period, the maximum permitted net leverage ratio increased to 4.25 and subsequently steps down to 3.75 by the quarter ending June 30, 2027. The minimum required interest coverage ratio is reduced to 2.00 for fiscal 2027. </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 xml:space="preserve">The Company’s actual net leverage ratio of 3.85 as of June 30, 2026 exceeded the 3.75 maximum net leverage ratio then applicable to the quarter under the Tenth Amendment. On July 15, 2026, prior to finalizing its financial statements for the second quarter of fiscal 2026, the Company secured a waiver, for covenant compliance as of June 30, 2026. The Company is also in discussions with its lender group regarding a potential extension of the maturity of the Credit Facility beyond 2027. </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25</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b/>
          <w:sz w:val="20"/>
        </w:rPr>
      </w:pPr>
      <w:bookmarkStart w:id="1753" w:name="_c8a5a513_bb06_4ea1_8484_f3731201caeb"/>
      <w:bookmarkEnd w:id="1753"/>
      <w:r>
        <w:rPr>
          <w:rFonts w:ascii="Arial;Helvetica;sans-serif" w:hAnsi="Arial;Helvetica;sans-serif"/>
          <w:b/>
          <w:sz w:val="20"/>
        </w:rPr>
        <w:t>CAUTIONARY NOTE REGARDING FORWARD LOOKING STATEMENTS</w:t>
      </w:r>
    </w:p>
    <w:p>
      <w:pPr>
        <w:pStyle w:val="TextBody"/>
        <w:bidi w:val="0"/>
        <w:spacing w:lineRule="auto" w:line="285" w:before="0" w:after="0"/>
        <w:ind w:left="0" w:right="0" w:hanging="0"/>
        <w:jc w:val="left"/>
        <w:rPr/>
      </w:pPr>
      <w:r>
        <w:rPr/>
        <w:t>​</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This Quarterly Report on Form 10-Q contains “forward-looking statements” within the meaning of Section 27A of the Securities Act of 1933, Section 21E of the Securities Exchange Act of 1934, and the Private Securities Litigation Reform Act of 1995. Forward-looking statements include, but are not limited to, statements regarding our operations, expected financial condition, results of operation, effective tax rate, cash flow, leverage, liquidity, business strategy, competitive position, demand for our services in international operations, acquisition opportunities and impact of acquisitions, capital allocation and dividends, growth opportunities, spending, capital expenditures and investments, competition and market forecasts, industry trends, our human capital resources, and other business matters that are based on our current expectations, assumptions, and projections with respect to the future, and are not a guarantee of performance.</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In this report, when we use words such as “may,” “believe,” “plan,” “will,” “anticipate,” “estimate,” “expect,” “intend,” “project,” “would,” “could,” “target,” or similar expressions, or when we discuss our strategy, plans, goals, initiatives, or objectives, we are making forward-looking statements. Unless otherwise indicated or except where the context otherwise requires, the terms “TTEC,” “the Company,” “we,” “us” and “our” and other similar terms in this report refer to TTEC Holdings, Inc. and its subsidiaries.</w:t>
      </w:r>
    </w:p>
    <w:p>
      <w:pPr>
        <w:pStyle w:val="TextBody"/>
        <w:bidi w:val="0"/>
        <w:spacing w:lineRule="auto" w:line="285" w:before="0" w:after="120"/>
        <w:ind w:left="0" w:right="0" w:hanging="0"/>
        <w:jc w:val="both"/>
        <w:rPr/>
      </w:pPr>
      <w:r>
        <w:rPr>
          <w:rFonts w:ascii="Arial;Helvetica;sans-serif" w:hAnsi="Arial;Helvetica;sans-serif"/>
          <w:sz w:val="20"/>
        </w:rPr>
        <w:t xml:space="preserve">We caution you not to rely unduly on any forward-looking statements. Actual results may differ materially from those expressed in the forward-looking statements, and you should review and consider carefully the risks, uncertainties, and other factors that affect our business and may cause such differences as outlined in Part II Item 1A. Risk Factors of this report and Item 1A. Risk Factors in our Annual Report on </w:t>
      </w:r>
      <w:hyperlink r:id="rId3">
        <w:r>
          <w:rPr>
            <w:rStyle w:val="InternetLink"/>
            <w:rFonts w:ascii="Arial;Helvetica;sans-serif" w:hAnsi="Arial;Helvetica;sans-serif"/>
            <w:b w:val="false"/>
            <w:i w:val="false"/>
            <w:caps w:val="false"/>
            <w:smallCaps w:val="false"/>
            <w:sz w:val="20"/>
          </w:rPr>
          <w:t>Form 10-K</w:t>
        </w:r>
      </w:hyperlink>
      <w:r>
        <w:rPr>
          <w:rFonts w:ascii="Arial;Helvetica;sans-serif" w:hAnsi="Arial;Helvetica;sans-serif"/>
          <w:sz w:val="20"/>
        </w:rPr>
        <w:t xml:space="preserve"> for the year ended December 31, 2025.</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 xml:space="preserve">Important factors that could cause our actual results to differ materially from those indicated in the forward looking statements include, among others, risks related to our strategic execution in a competitive market, our ability to innovate and introduce technologies that are sufficiently disruptive to allow us to maintain and grow our market share such as the effective adoption of artificial intelligence into our solutions, our leverage and debt service obligations related risks, risks specific to the terms of our credit facility, risks related to the financial and operating restrictions built into our credit agreement, risks related to the changes in client service demands and the level of effort and capacity forecasting, risks related to our cost containment efforts, risks specific to outsourcing trends and the prices that clients are willing to pay to outsource services that we provide, uncertainties tied to goodwill, assets and strategic investment impairments, risks inherent in M&amp;A activity, revenue risks specific to client concentration in our TTEC Engage business segment, risks specific to our technology partners in our TTEC Digital business segment and to the impact on our business due to TTEC Digital clients’ transition to public cloud and SaaS solutions, risks specific to our public sector business, risks specific to our clients seeking to transfer to us risks related to cybersecurity, data privacy and emerging technologies that we cannot control or mitigate, risks specific to our remote delivery model, risks specific to our ability to recruit and retail labor at the right price point to meet changing business demands, risks specific to our operational controls and employee misconduct, risks arising from our long sales cycles and lead time to revenue, risks tied to our ability to meet our clients’ geographic footprint expansions, operational risks that arise from events outside of our control, risks specific to cost and availability of labor, telecommunication services and energy that cannot be passed on to clients, risks tied to contracting terms typical in our industry that lead to revenue volatility and impact profitability, risks related to disruption to our information technology systems, cybersecurity events and unauthorized data access, reliance on communication and utility services provided by third parties, risks specific to use of AI technologies in our client offerings and in how we run our business, and our growing reliance on third parties for data, cloud and SaaS services, risks specific to uncertainties and inconsistencies in privacy, data protection and AI oversight laws, the high cost of compliance with such laws and business impacts if we fail to comply, high cost and reputational damage of wage and hour, ADA, and ERISA class action lawsuits, risks specific to the uncertainties in AI regulatory environments, risks specific to IP protection and infringement, risks inherent in the changes in income tax rates, ability to timely secure and maintain licenses needed to support certain regulated lines of business, and risks specific to the interpretations of transfer pricing arrangements, risks specific to our operations outside of the U.S., risks inherent in our geographic concentration in certain markets where weather and regulatory environment may represent significant challenges, risks inherent in our capital structure, our controlling shareholder risk, risks related to the </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26</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120"/>
        <w:ind w:left="0" w:right="0" w:hanging="0"/>
        <w:jc w:val="both"/>
        <w:rPr/>
      </w:pPr>
      <w:r>
        <w:rPr>
          <w:rFonts w:ascii="Arial;Helvetica;sans-serif" w:hAnsi="Arial;Helvetica;sans-serif"/>
          <w:sz w:val="20"/>
        </w:rPr>
        <w:t xml:space="preserve">price and trading volumes of our common stock being affected by factors that we cannot fully impact or control, risks inherent in our dividend and stock repurchase policies, risks specific to being a Texas company and provisions in our charter documents that may discourage, delay or prevent change in control events potentially depressing the price of our common stock, risks arising from the Company’s completed redomestication from Delaware to Texas by conversion, effective May 28, 2026, as disclosed in the Company’s Current Report on </w:t>
      </w:r>
      <w:hyperlink r:id="rId4">
        <w:r>
          <w:rPr>
            <w:rStyle w:val="InternetLink"/>
            <w:rFonts w:ascii="Arial;Helvetica;sans-serif" w:hAnsi="Arial;Helvetica;sans-serif"/>
            <w:b w:val="false"/>
            <w:i w:val="false"/>
            <w:caps w:val="false"/>
            <w:smallCaps w:val="false"/>
            <w:sz w:val="20"/>
          </w:rPr>
          <w:t>Form 8-K</w:t>
        </w:r>
      </w:hyperlink>
      <w:r>
        <w:rPr>
          <w:rFonts w:ascii="Arial;Helvetica;sans-serif" w:hAnsi="Arial;Helvetica;sans-serif"/>
          <w:sz w:val="20"/>
        </w:rPr>
        <w:t xml:space="preserve"> filed with the SEC on May 27, 2026 and in our proxy statement for our 2026 annual meeting of stockholders, filed with the SEC on April 10, 2026, and the fact that our chairman and chief executive officer has control over matters requiring shareholder action potentially impacting our stock price and making it less attractive to investors.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Our forward-looking statements speak only as of the date that this report is filed with the SEC. We undertake no obligation to update them, except as may be required by applicable law. Although we believe that our forward-looking statements are reasonable, they depend on many factors outside of our control and we can provide no assurance that they will prove to be correct. You should, however, consult any subsequent disclosures we make in our filings with the SEC on Forms 10-Q or 8-K.</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27</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120"/>
        <w:ind w:left="0" w:right="0" w:hanging="0"/>
        <w:jc w:val="center"/>
        <w:rPr>
          <w:rFonts w:ascii="Arial;Helvetica;sans-serif" w:hAnsi="Arial;Helvetica;sans-serif"/>
          <w:b/>
          <w:sz w:val="20"/>
        </w:rPr>
      </w:pPr>
      <w:bookmarkStart w:id="1754" w:name="ITEM2_MANAGEMENTSDISCUSSIONANDAN_112048"/>
      <w:bookmarkStart w:id="1755" w:name="_118a4a71_129d_48d6_b0ac_e30acaebd0ca"/>
      <w:bookmarkEnd w:id="1754"/>
      <w:bookmarkEnd w:id="1755"/>
      <w:r>
        <w:rPr>
          <w:rFonts w:ascii="Arial;Helvetica;sans-serif" w:hAnsi="Arial;Helvetica;sans-serif"/>
          <w:b/>
          <w:sz w:val="20"/>
        </w:rPr>
        <w:t>ITEM 2. MANAGEMENT’S DISCUSSION AND ANALYSIS OF FINANCIAL CONDITION AND</w:t>
      </w:r>
    </w:p>
    <w:p>
      <w:pPr>
        <w:pStyle w:val="TextBody"/>
        <w:bidi w:val="0"/>
        <w:spacing w:lineRule="auto" w:line="285" w:before="0" w:after="120"/>
        <w:ind w:left="0" w:right="0" w:hanging="0"/>
        <w:jc w:val="center"/>
        <w:rPr>
          <w:rFonts w:ascii="Arial;Helvetica;sans-serif" w:hAnsi="Arial;Helvetica;sans-serif"/>
          <w:b/>
          <w:sz w:val="20"/>
        </w:rPr>
      </w:pPr>
      <w:r>
        <w:rPr>
          <w:rFonts w:ascii="Arial;Helvetica;sans-serif" w:hAnsi="Arial;Helvetica;sans-serif"/>
          <w:b/>
          <w:sz w:val="20"/>
        </w:rPr>
        <w:t>RESULTS OF OPERATIONS</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Executive Summary</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Founded in 1982, TTEC is a global customer experience (“CX”) technology and services outsourcing partner for marquee and disruptive brands and public sector clients. The Company designs, builds, and operates AI-enabled customer experiences across live interaction channels and provides data-driven, AI-enabled digital solutions to help clients improve customer satisfaction and loyalty, increase customer revenue and profitability, and optimize overall cost to serve. As of June 30, 2026, TTEC served approximately 735</w:t>
      </w:r>
      <w:r>
        <w:rPr>
          <w:rFonts w:ascii="Arial;Helvetica;sans-serif" w:hAnsi="Arial;Helvetica;sans-serif"/>
          <w:color w:val="FF0000"/>
          <w:sz w:val="20"/>
        </w:rPr>
        <w:t xml:space="preserve"> </w:t>
      </w:r>
      <w:r>
        <w:rPr>
          <w:rFonts w:ascii="Arial;Helvetica;sans-serif" w:hAnsi="Arial;Helvetica;sans-serif"/>
          <w:sz w:val="20"/>
        </w:rPr>
        <w:t>clients across targeted industry verticals including financial services, healthcare, public sector, communications, technology, media, entertainment, travel and hospitality, automotive and retail.</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 xml:space="preserve">TTEC operates and reports its financial results of operations through two business segments: </w:t>
      </w:r>
    </w:p>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i w:val="false"/>
                <w:caps w:val="false"/>
                <w:smallCaps w:val="false"/>
                <w:sz w:val="20"/>
              </w:rPr>
              <w:t>TTEC Digital</w:t>
            </w:r>
            <w:r>
              <w:rPr>
                <w:caps w:val="false"/>
                <w:smallCaps w:val="false"/>
              </w:rPr>
              <w:t xml:space="preserve"> </w:t>
            </w:r>
            <w:r>
              <w:rPr>
                <w:rFonts w:ascii="Arial;Helvetica;sans-serif" w:hAnsi="Arial;Helvetica;sans-serif"/>
                <w:b w:val="false"/>
                <w:i w:val="false"/>
                <w:caps w:val="false"/>
                <w:smallCaps w:val="false"/>
                <w:sz w:val="20"/>
              </w:rPr>
              <w:t xml:space="preserve">is one of the largest CX technology and service providers and is focused on the intersection of Contact Center as a Service (“CCaaS”), Customer Relationship Management (“CRM”), and Artificial Intelligence (AI) and Analytics. A professional services organization comprised of software engineers, systems architects, data scientists and CX strategists, this segment creates and implements strategic CX transformation roadmaps; sells, operates, and provides managed services for cloud platforms and premise-based CX technologies including Amazon Web Services (“AWS”), Cisco, Genesys, Google, and Microsoft; and creates proprietary IP to support industry specific and custom client needs. TTEC Digital serves clients across enterprise and small and medium-sized business segments and has a dedicated unit with government technology certifications serving the public sector. </w:t>
            </w:r>
          </w:p>
        </w:tc>
      </w:tr>
    </w:tbl>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i w:val="false"/>
                <w:caps w:val="false"/>
                <w:smallCaps w:val="false"/>
                <w:sz w:val="20"/>
              </w:rPr>
              <w:t>TTEC Engage</w:t>
            </w:r>
            <w:r>
              <w:rPr>
                <w:caps w:val="false"/>
                <w:smallCaps w:val="false"/>
              </w:rPr>
              <w:t xml:space="preserve"> </w:t>
            </w:r>
            <w:r>
              <w:rPr>
                <w:rFonts w:ascii="Arial;Helvetica;sans-serif" w:hAnsi="Arial;Helvetica;sans-serif"/>
                <w:b w:val="false"/>
                <w:i w:val="false"/>
                <w:caps w:val="false"/>
                <w:smallCaps w:val="false"/>
                <w:sz w:val="20"/>
              </w:rPr>
              <w:t xml:space="preserve">provides the digital first, AI-enabled CX operational and managed services to support large, complex enterprise clients’ end-to-end customer interactions at scale across the world. Tailored to meet industry-specific business needs, this segment delivers data-driven omnichannel customer care, customer acquisition, growth, and retention services, tech support, fraud mitigation and back-office solutions. The segment’s digital first delivery model covers the entire solution lifecycle including associate recruitment, onboarding, training, delivery, workforce management and quality assurance. </w:t>
            </w:r>
          </w:p>
        </w:tc>
      </w:tr>
    </w:tbl>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TTEC pursues its CX market leadership through strategic collaboration across TTEC Digital and TTEC Engage. Together, TTEC’s ability to deliver comprehensive and transformational customer experience solutions to its clients is a marketplace differentiation, including integrated AI-enabled, CX technology and service solutions, go-to-market strategies, and innovative offerings.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During 2026, the TTEC global operating platform delivered onshore, nearshore, and offshore services in 22 countries on six continents -- the United States, Australia, Brazil, Bulgaria, Canada, Colombia, Costa Rica, Egypt, Germany, Greece, India, Ireland, Malaysia, Mexico, the Netherlands, New Zealand, the Philippines, Poland, South Africa, Spain, Thailand, and the United Kingdom, with contributions from approximately 44,900 customer care associates, consultants, technologists, and CX professionals.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 xml:space="preserve">Our revenue for second quarter 2026 was $455.5 million, of which approximately $104.0 million, or 23%, was generated from our TTEC Digital segment and $351.5 million, or 77%, was generated from our TTEC Engage segment. </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 xml:space="preserve">To advance our competitive position in a rapidly changing market and to provide our clients with modernized CX technology and service solutions, we continue to invest in innovation and service offerings for both mainstream and high-growth disruptive businesses, diversifying and strengthening our core customer care services with technology-enabled, outcomes-focused services, data analytics, insights, and consulting. </w:t>
      </w:r>
    </w:p>
    <w:p>
      <w:pPr>
        <w:pStyle w:val="TextBody"/>
        <w:bidi w:val="0"/>
        <w:spacing w:lineRule="auto" w:line="285" w:before="0" w:after="120"/>
        <w:ind w:left="0" w:right="0" w:hanging="0"/>
        <w:jc w:val="both"/>
        <w:rPr>
          <w:rFonts w:ascii="Arial;Helvetica;sans-serif" w:hAnsi="Arial;Helvetica;sans-serif"/>
          <w:sz w:val="20"/>
        </w:rPr>
      </w:pPr>
      <w:bookmarkStart w:id="1756" w:name="_Hlk157849772"/>
      <w:bookmarkEnd w:id="1756"/>
      <w:r>
        <w:rPr>
          <w:rFonts w:ascii="Arial;Helvetica;sans-serif" w:hAnsi="Arial;Helvetica;sans-serif"/>
          <w:sz w:val="20"/>
        </w:rPr>
        <w:t>We also invest to broaden our CX product and service capabilities, increase our global client base and industry expertise, expand our geographic footprint to the needs of our global clientele, and further scale our integrated solutions within and between our TTEC Digital and TTEC Engage segments.</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28</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Financial Highlights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In the second quarter of 2026, our revenue decreased $58.1 million, or 11.3%, to $455.5 million over the same period in 2025 including a decrease of $0.3 million, or 0.1%, due to foreign currency fluctuations. The decrease in revenue was comprised of $9.7 million, or 8.5%, decrease for TTEC Digital and a decrease of $48.4 million, or 12.1%, for TTEC Engage.</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Our second quarter 2026 income (loss) from operations decreased $7.9 million to $11.0 million or 2.4% of revenue, compared to $18.9 million, or 3.7% of revenue in the second quarter of 2025. The TTEC Digital operating margin decreased 3.6% over the same period last year primarily due to lower margins in our recurring and professional services business. The TTEC Engage operating margin decreased 0.7% over the same period last year primarily due to a decline in revenue that exceeded the reduction in operating expenses.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Income (loss) from operations in the second quarter of 2026 and 2025 included $4.3 million and $1.9 million, respectively, of restructuring charges and asset impairments.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Our offshore customer experience centers spanning 13 countries serve clients based in the U.S. and in other countries with 22,000 workstations, representing 83% of our global delivery capability. Revenue for our TTEC Engage segment provided in these offshore locations represented 43% of our revenue for the second quarter of 2026, as compared to 37% of our revenue for the corresponding period in 2025.</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Our seat utilization is defined as the total number of utilized workstations compared to the total number of available production workstations. As of June 30, 2026, the total production workstations for our TTEC Engage segment was 26,800 with an overall capacity utilization of 70% versus 71% in the prior year period. The decrease was primarily driven by reduced client forecasts, partially offset by targeted seat reductions in the United States and Philippines along with country exits in Honduras and Rwanda.</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We plan to continue to selectively retain and grow capacity and expand into new offshore markets, while maintaining appropriate capacity onshore. As we grow our offshore delivery capabilities and our exposure to foreign currency fluctuation increases, we plan to continue to actively manage this risk via a multi-currency hedging program designed to minimize operating margin volatility.</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Recent Developments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b/>
          <w:sz w:val="20"/>
        </w:rPr>
        <w:t>Change in the Principal Place of Business.</w:t>
      </w:r>
      <w:r>
        <w:rPr>
          <w:rFonts w:ascii="Arial;Helvetica;sans-serif" w:hAnsi="Arial;Helvetica;sans-serif"/>
          <w:sz w:val="20"/>
        </w:rPr>
        <w:t> In February 2025, the Company moved its principal place of business and principal executive offices to Austin, Texas. TTEC made the decision to relocate its principal place of business from Colorado to Austin, Texas after careful consideration of how it can best support its strategic goals, serve its global clients, and position itself for future success. Texas has been an important part of TTEC’s operations for decades, and this move provides the Company with additional access to a business-friendly environment, a strong economy, a skilled workforce, and a dynamic technology and innovation hub.</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b/>
          <w:sz w:val="20"/>
        </w:rPr>
        <w:t xml:space="preserve">Redomestication to Texas. </w:t>
      </w:r>
      <w:r>
        <w:rPr>
          <w:rFonts w:ascii="Arial;Helvetica;sans-serif" w:hAnsi="Arial;Helvetica;sans-serif"/>
          <w:sz w:val="20"/>
        </w:rPr>
        <w:t>At the Company’s Annual Meeting of Stockholders held on May 21, 2026, (the “Annual Stockholders Meeting”), the stockholders approved the redomestication of the Company from Delaware to Texas by conversion (the “Redomestication”). The TTEC Board determined that the Redomestication was in the best interests of the Company and its stockholders. The Board’s decision to recommend that the Company’s stockholders vote to approve the Redomestication was the result of extensive deliberations and consideration, including evaluation by the Company’s fully independent Nominating and Governance Committee and discussions with management and legal counsel. The Company and its Board believe that the Redomestication is in the best interests of the Company and its stockholders because of the Company's strong operational nexus to the state of Texas and because the Company believes that the move reduces the potential for opportunistic and frivolous litigation and operational costs for the Company, while preserving and potentially even enhancing shareholder rights and providing operational flexibility.</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29</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120"/>
        <w:ind w:left="0" w:right="0" w:hanging="0"/>
        <w:jc w:val="both"/>
        <w:rPr/>
      </w:pPr>
      <w:r>
        <w:rPr>
          <w:rFonts w:ascii="Arial;Helvetica;sans-serif" w:hAnsi="Arial;Helvetica;sans-serif"/>
          <w:sz w:val="20"/>
        </w:rPr>
        <w:t xml:space="preserve">The Redomestication became effective on May 28, 2026 (the “effective Time”), at which time the Company converted from a corporation organized under the laws of the State of Delaware to a corporation organized under the laws of the State of Texas. In connection with the Redomestication, the Company’s stockholders are subject to the Texas Certificate of Formation and Texas Bylaws in place of the Company’s prior Delaware charter and Bylaws. Certain rights of the Company’s stockholders were changed as a result of the Redomestication, as more fully described in the Company’s Current Report on </w:t>
      </w:r>
      <w:hyperlink r:id="rId5">
        <w:r>
          <w:rPr>
            <w:rStyle w:val="InternetLink"/>
            <w:rFonts w:ascii="Arial;Helvetica;sans-serif" w:hAnsi="Arial;Helvetica;sans-serif"/>
            <w:b w:val="false"/>
            <w:i w:val="false"/>
            <w:caps w:val="false"/>
            <w:smallCaps w:val="false"/>
            <w:sz w:val="20"/>
          </w:rPr>
          <w:t>Form 8-K</w:t>
        </w:r>
      </w:hyperlink>
      <w:r>
        <w:rPr>
          <w:rFonts w:ascii="Arial;Helvetica;sans-serif" w:hAnsi="Arial;Helvetica;sans-serif"/>
          <w:sz w:val="20"/>
        </w:rPr>
        <w:t xml:space="preserve"> filed with the SEC on May 27, 2026 and in the Company’s definitive proxy statement on </w:t>
      </w:r>
      <w:hyperlink r:id="rId6">
        <w:r>
          <w:rPr>
            <w:rStyle w:val="InternetLink"/>
            <w:rFonts w:ascii="Arial;Helvetica;sans-serif" w:hAnsi="Arial;Helvetica;sans-serif"/>
            <w:b w:val="false"/>
            <w:i w:val="false"/>
            <w:caps w:val="false"/>
            <w:smallCaps w:val="false"/>
            <w:sz w:val="20"/>
          </w:rPr>
          <w:t>Schedule 14A</w:t>
        </w:r>
      </w:hyperlink>
      <w:r>
        <w:rPr>
          <w:rFonts w:ascii="Arial;Helvetica;sans-serif" w:hAnsi="Arial;Helvetica;sans-serif"/>
          <w:sz w:val="20"/>
        </w:rPr>
        <w:t xml:space="preserve"> for the Annual Stockholders Meeting filed with the SEC on April 10, 2026.</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Exploration of Strategic Alternatives for TTEC Digital</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On August 10, 2026, TTEC announced that its Board of Directors authorized management to evaluate potential strategic alternatives for its TTEC Digital business to best position it to realize its full growth potential and maximize shareholder value. While the Board is prepared to consider a range of alternatives, it will prioritize transactions that sustain and enhance the continued commercial collaboration and innovation between TTEC Engage and TTEC Digital.</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PJT Partners is serving as an independent financial advisor to TTEC in connection with the review of strategic alternatives. The Board has not set a deadline or definitive timeline for the completion of this review, and the Company does not intend to disclose developments unless or until a definitive agreement is executed or the Board determines that further disclosure is appropriate or required. There can be no assurance that this process will result in any particular transaction or outcome.</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Smaller Reporting Company Status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We are a “smaller reporting company” as defined in Item 10(f)(1) of Regulation S-K. Although, as a smaller reporting company, we are eligible to provide scaled disclosures in our filings with the SEC, the Company elected not to avail itself of this relief in this Quarterly Report on Form 10-Q and will continue to provide the same level of disclosures as in its most recent fiscal periods. The Company may re-evaluate this decision at a later date.</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Recently Issued Accounting Pronouncements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Refer to Part I, Item I. Financial Statements, Note 1 to the Consolidated Financial Statements for a discussion of recently adopted and issued accounting pronouncements.</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Critical Accounting Policies and Estimates</w:t>
      </w:r>
    </w:p>
    <w:p>
      <w:pPr>
        <w:pStyle w:val="TextBody"/>
        <w:bidi w:val="0"/>
        <w:spacing w:lineRule="auto" w:line="285" w:before="0" w:after="120"/>
        <w:ind w:left="0" w:right="0" w:hanging="0"/>
        <w:jc w:val="both"/>
        <w:rPr/>
      </w:pPr>
      <w:r>
        <w:rPr>
          <w:rFonts w:ascii="Arial;Helvetica;sans-serif" w:hAnsi="Arial;Helvetica;sans-serif"/>
          <w:sz w:val="20"/>
        </w:rPr>
        <w:t xml:space="preserve">Management’s Discussion and Analysis of our Financial Condition and Results of Operations is based upon our Consolidated Financial Statements, which have been prepared in accordance with accounting principles generally accepted in the U.S. (“GAAP”). The preparation of these financial statements requires us to make estimates and assumptions that affect the reported amounts of assets, liabilities, revenue and expenses as well as the disclosure of contingent assets and liabilities. We regularly review our estimates and assumptions. These estimates and assumptions, which are based upon historical experience and on various other factors believed to be reasonable under the circumstances, form the basis for making judgments about the carrying values of assets and liabilities that are not readily apparent from other sources. Reported amounts and disclosures may have been different had management used different estimates and assumptions or if different conditions had occurred in the periods presented. For further information, please refer to the discussion of all critical accounting policies in Note 1 of the Notes to the Consolidated Financial Statements in our Annual Report on </w:t>
      </w:r>
      <w:hyperlink r:id="rId7">
        <w:r>
          <w:rPr>
            <w:rStyle w:val="InternetLink"/>
            <w:rFonts w:ascii="Arial;Helvetica;sans-serif" w:hAnsi="Arial;Helvetica;sans-serif"/>
            <w:b w:val="false"/>
            <w:i w:val="false"/>
            <w:caps w:val="false"/>
            <w:smallCaps w:val="false"/>
            <w:sz w:val="20"/>
          </w:rPr>
          <w:t>Form 10-K</w:t>
        </w:r>
      </w:hyperlink>
      <w:r>
        <w:rPr>
          <w:rFonts w:ascii="Arial;Helvetica;sans-serif" w:hAnsi="Arial;Helvetica;sans-serif"/>
          <w:sz w:val="20"/>
        </w:rPr>
        <w:t xml:space="preserve"> for the year ended December 31, 2025.</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30</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120"/>
        <w:ind w:left="0" w:right="0" w:hanging="0"/>
        <w:jc w:val="left"/>
        <w:rPr>
          <w:rFonts w:ascii="Arial;Helvetica;sans-serif" w:hAnsi="Arial;Helvetica;sans-serif"/>
          <w:b/>
          <w:sz w:val="20"/>
        </w:rPr>
      </w:pPr>
      <w:r>
        <w:rPr>
          <w:rFonts w:ascii="Arial;Helvetica;sans-serif" w:hAnsi="Arial;Helvetica;sans-serif"/>
          <w:b/>
          <w:sz w:val="20"/>
        </w:rPr>
        <w:t>Results of Operations</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Three months ended June 30, 2026 compared to three months ended June 30, 2025</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tables included in the following sections are presented to facilitate an understanding of Management’s Discussion and Analysis of Financial Condition and Results of Operations and present certain information by segment for the three months ended June 30, 2026 and 2025 (amounts in thousands). All intercompany transactions between the reported segments for the periods presented have been eliminated.</w:t>
      </w:r>
    </w:p>
    <w:p>
      <w:pPr>
        <w:pStyle w:val="TextBody"/>
        <w:bidi w:val="0"/>
        <w:spacing w:lineRule="auto" w:line="285" w:before="0" w:after="0"/>
        <w:ind w:left="0" w:right="0" w:hanging="0"/>
        <w:jc w:val="both"/>
        <w:rPr>
          <w:rFonts w:ascii="Arial;Helvetica;sans-serif" w:hAnsi="Arial;Helvetica;sans-serif"/>
          <w:i/>
          <w:sz w:val="20"/>
        </w:rPr>
      </w:pPr>
      <w:r>
        <w:rPr>
          <w:rFonts w:ascii="Arial;Helvetica;sans-serif" w:hAnsi="Arial;Helvetica;sans-serif"/>
          <w:i/>
          <w:sz w:val="20"/>
        </w:rPr>
        <w:t>TTEC Digital</w:t>
      </w:r>
    </w:p>
    <w:tbl>
      <w:tblPr>
        <w:tblW w:w="7619" w:type="dxa"/>
        <w:jc w:val="left"/>
        <w:tblInd w:w="0" w:type="dxa"/>
        <w:tblLayout w:type="fixed"/>
        <w:tblCellMar>
          <w:top w:w="0" w:type="dxa"/>
          <w:left w:w="0" w:type="dxa"/>
          <w:bottom w:w="0" w:type="dxa"/>
          <w:right w:w="0" w:type="dxa"/>
        </w:tblCellMar>
      </w:tblPr>
      <w:tblGrid>
        <w:gridCol w:w="1576"/>
        <w:gridCol w:w="346"/>
        <w:gridCol w:w="240"/>
        <w:gridCol w:w="889"/>
        <w:gridCol w:w="411"/>
        <w:gridCol w:w="240"/>
        <w:gridCol w:w="889"/>
        <w:gridCol w:w="361"/>
        <w:gridCol w:w="229"/>
        <w:gridCol w:w="691"/>
        <w:gridCol w:w="346"/>
        <w:gridCol w:w="976"/>
        <w:gridCol w:w="271"/>
        <w:gridCol w:w="154"/>
      </w:tblGrid>
      <w:tr>
        <w:trPr/>
        <w:tc>
          <w:tcPr>
            <w:tcW w:w="15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0" w:type="dxa"/>
            <w:tcBorders/>
            <w:vAlign w:val="center"/>
          </w:tcPr>
          <w:p>
            <w:pPr>
              <w:pStyle w:val="TableContents"/>
              <w:bidi w:val="0"/>
              <w:spacing w:lineRule="auto" w:line="285" w:before="0" w:after="0"/>
              <w:ind w:left="0" w:right="0" w:hanging="0"/>
              <w:jc w:val="left"/>
              <w:rPr/>
            </w:pPr>
            <w:r>
              <w:rPr/>
              <w:t>​</w:t>
            </w:r>
          </w:p>
        </w:tc>
        <w:tc>
          <w:tcPr>
            <w:tcW w:w="889" w:type="dxa"/>
            <w:tcBorders/>
            <w:vAlign w:val="center"/>
          </w:tcPr>
          <w:p>
            <w:pPr>
              <w:pStyle w:val="TableContents"/>
              <w:bidi w:val="0"/>
              <w:spacing w:lineRule="auto" w:line="285" w:before="0" w:after="0"/>
              <w:ind w:left="0" w:right="0" w:hanging="0"/>
              <w:jc w:val="left"/>
              <w:rPr/>
            </w:pPr>
            <w:r>
              <w:rPr/>
              <w:t>​</w:t>
            </w:r>
          </w:p>
        </w:tc>
        <w:tc>
          <w:tcPr>
            <w:tcW w:w="411" w:type="dxa"/>
            <w:tcBorders/>
            <w:vAlign w:val="center"/>
          </w:tcPr>
          <w:p>
            <w:pPr>
              <w:pStyle w:val="TableContents"/>
              <w:bidi w:val="0"/>
              <w:spacing w:lineRule="auto" w:line="285" w:before="0" w:after="0"/>
              <w:ind w:left="0" w:right="0" w:hanging="0"/>
              <w:jc w:val="left"/>
              <w:rPr/>
            </w:pPr>
            <w:r>
              <w:rPr/>
              <w:t>​</w:t>
            </w:r>
          </w:p>
        </w:tc>
        <w:tc>
          <w:tcPr>
            <w:tcW w:w="240" w:type="dxa"/>
            <w:tcBorders/>
            <w:vAlign w:val="center"/>
          </w:tcPr>
          <w:p>
            <w:pPr>
              <w:pStyle w:val="TableContents"/>
              <w:bidi w:val="0"/>
              <w:spacing w:lineRule="auto" w:line="285" w:before="0" w:after="0"/>
              <w:ind w:left="0" w:right="0" w:hanging="0"/>
              <w:jc w:val="left"/>
              <w:rPr/>
            </w:pPr>
            <w:r>
              <w:rPr/>
              <w:t>​</w:t>
            </w:r>
          </w:p>
        </w:tc>
        <w:tc>
          <w:tcPr>
            <w:tcW w:w="889" w:type="dxa"/>
            <w:tcBorders/>
            <w:vAlign w:val="center"/>
          </w:tcPr>
          <w:p>
            <w:pPr>
              <w:pStyle w:val="TableContents"/>
              <w:bidi w:val="0"/>
              <w:spacing w:lineRule="auto" w:line="285" w:before="0" w:after="0"/>
              <w:ind w:left="0" w:right="0" w:hanging="0"/>
              <w:jc w:val="left"/>
              <w:rPr/>
            </w:pPr>
            <w:r>
              <w:rPr/>
              <w:t>​</w:t>
            </w:r>
          </w:p>
        </w:tc>
        <w:tc>
          <w:tcPr>
            <w:tcW w:w="361" w:type="dxa"/>
            <w:tcBorders/>
            <w:vAlign w:val="center"/>
          </w:tcPr>
          <w:p>
            <w:pPr>
              <w:pStyle w:val="TableContents"/>
              <w:bidi w:val="0"/>
              <w:spacing w:lineRule="auto" w:line="285" w:before="0" w:after="0"/>
              <w:ind w:left="0" w:right="0" w:hanging="0"/>
              <w:jc w:val="left"/>
              <w:rPr/>
            </w:pPr>
            <w:r>
              <w:rPr/>
              <w:t>​</w:t>
            </w:r>
          </w:p>
        </w:tc>
        <w:tc>
          <w:tcPr>
            <w:tcW w:w="229"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76" w:type="dxa"/>
            <w:tcBorders/>
            <w:vAlign w:val="center"/>
          </w:tcPr>
          <w:p>
            <w:pPr>
              <w:pStyle w:val="TableContents"/>
              <w:bidi w:val="0"/>
              <w:spacing w:lineRule="auto" w:line="285" w:before="0" w:after="0"/>
              <w:ind w:left="0" w:right="0" w:hanging="0"/>
              <w:jc w:val="left"/>
              <w:rPr/>
            </w:pPr>
            <w:r>
              <w:rPr/>
              <w:t>​</w:t>
            </w:r>
          </w:p>
        </w:tc>
        <w:tc>
          <w:tcPr>
            <w:tcW w:w="271"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15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2669"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xml:space="preserve">Three Months Ended June 30, </w:t>
            </w:r>
          </w:p>
        </w:tc>
        <w:tc>
          <w:tcPr>
            <w:tcW w:w="361" w:type="dxa"/>
            <w:tcBorders/>
            <w:vAlign w:val="center"/>
          </w:tcPr>
          <w:p>
            <w:pPr>
              <w:pStyle w:val="TableContents"/>
              <w:bidi w:val="0"/>
              <w:spacing w:lineRule="auto" w:line="285" w:before="0" w:after="0"/>
              <w:ind w:left="0" w:right="0" w:hanging="0"/>
              <w:jc w:val="center"/>
              <w:rPr/>
            </w:pPr>
            <w:r>
              <w:rPr/>
              <w:t>​</w:t>
            </w:r>
          </w:p>
        </w:tc>
        <w:tc>
          <w:tcPr>
            <w:tcW w:w="229"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976" w:type="dxa"/>
            <w:tcBorders/>
            <w:vAlign w:val="center"/>
          </w:tcPr>
          <w:p>
            <w:pPr>
              <w:pStyle w:val="TableContents"/>
              <w:bidi w:val="0"/>
              <w:spacing w:lineRule="auto" w:line="285" w:before="0" w:after="0"/>
              <w:ind w:left="0" w:right="0" w:hanging="0"/>
              <w:jc w:val="center"/>
              <w:rPr/>
            </w:pPr>
            <w:r>
              <w:rPr/>
              <w:t>​</w:t>
            </w:r>
          </w:p>
        </w:tc>
        <w:tc>
          <w:tcPr>
            <w:tcW w:w="271" w:type="dxa"/>
            <w:tcBorders/>
            <w:vAlign w:val="center"/>
          </w:tcPr>
          <w:p>
            <w:pPr>
              <w:pStyle w:val="TableContents"/>
              <w:bidi w:val="0"/>
              <w:spacing w:lineRule="auto" w:line="285" w:before="0" w:after="0"/>
              <w:ind w:left="0" w:right="0" w:hanging="0"/>
              <w:jc w:val="center"/>
              <w:rPr/>
            </w:pPr>
            <w:r>
              <w:rPr/>
              <w:t> </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15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12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411" w:type="dxa"/>
            <w:tcBorders/>
            <w:vAlign w:val="center"/>
          </w:tcPr>
          <w:p>
            <w:pPr>
              <w:pStyle w:val="TableContents"/>
              <w:bidi w:val="0"/>
              <w:spacing w:lineRule="auto" w:line="285" w:before="0" w:after="0"/>
              <w:ind w:left="0" w:right="0" w:hanging="0"/>
              <w:jc w:val="center"/>
              <w:rPr/>
            </w:pPr>
            <w:r>
              <w:rPr/>
              <w:t>  ​ ​ ​</w:t>
            </w:r>
          </w:p>
        </w:tc>
        <w:tc>
          <w:tcPr>
            <w:tcW w:w="112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61" w:type="dxa"/>
            <w:tcBorders/>
            <w:vAlign w:val="center"/>
          </w:tcPr>
          <w:p>
            <w:pPr>
              <w:pStyle w:val="TableContents"/>
              <w:bidi w:val="0"/>
              <w:spacing w:lineRule="auto" w:line="285" w:before="0" w:after="0"/>
              <w:ind w:left="0" w:right="0" w:hanging="0"/>
              <w:jc w:val="center"/>
              <w:rPr/>
            </w:pPr>
            <w:r>
              <w:rPr/>
              <w:t>  ​ ​ ​</w:t>
            </w:r>
          </w:p>
        </w:tc>
        <w:tc>
          <w:tcPr>
            <w:tcW w:w="92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Change</w:t>
            </w:r>
          </w:p>
        </w:tc>
        <w:tc>
          <w:tcPr>
            <w:tcW w:w="346" w:type="dxa"/>
            <w:tcBorders/>
            <w:vAlign w:val="center"/>
          </w:tcPr>
          <w:p>
            <w:pPr>
              <w:pStyle w:val="TableContents"/>
              <w:bidi w:val="0"/>
              <w:spacing w:lineRule="auto" w:line="285" w:before="0" w:after="0"/>
              <w:ind w:left="0" w:right="0" w:hanging="0"/>
              <w:jc w:val="center"/>
              <w:rPr/>
            </w:pPr>
            <w:r>
              <w:rPr/>
              <w:t>  ​ ​ ​</w:t>
            </w:r>
          </w:p>
        </w:tc>
        <w:tc>
          <w:tcPr>
            <w:tcW w:w="97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Change</w:t>
            </w:r>
          </w:p>
        </w:tc>
        <w:tc>
          <w:tcPr>
            <w:tcW w:w="271" w:type="dxa"/>
            <w:tcBorders/>
            <w:vAlign w:val="center"/>
          </w:tcPr>
          <w:p>
            <w:pPr>
              <w:pStyle w:val="TableContents"/>
              <w:bidi w:val="0"/>
              <w:spacing w:lineRule="auto" w:line="285" w:before="0" w:after="0"/>
              <w:ind w:left="0" w:right="0" w:hanging="0"/>
              <w:jc w:val="center"/>
              <w:rPr/>
            </w:pPr>
            <w:r>
              <w:rPr/>
              <w:t> </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157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Revenue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0"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89"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104,032</w:t>
            </w:r>
          </w:p>
        </w:tc>
        <w:tc>
          <w:tcPr>
            <w:tcW w:w="411" w:type="dxa"/>
            <w:tcBorders/>
            <w:shd w:fill="CCEEFF" w:val="clear"/>
            <w:vAlign w:val="center"/>
          </w:tcPr>
          <w:p>
            <w:pPr>
              <w:pStyle w:val="TableContents"/>
              <w:bidi w:val="0"/>
              <w:spacing w:lineRule="auto" w:line="285" w:before="0" w:after="0"/>
              <w:ind w:left="0" w:right="0" w:hanging="0"/>
              <w:jc w:val="left"/>
              <w:rPr/>
            </w:pPr>
            <w:r>
              <w:rPr/>
              <w:t>​</w:t>
            </w:r>
          </w:p>
        </w:tc>
        <w:tc>
          <w:tcPr>
            <w:tcW w:w="240"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89"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113,746</w:t>
            </w:r>
          </w:p>
        </w:tc>
        <w:tc>
          <w:tcPr>
            <w:tcW w:w="361" w:type="dxa"/>
            <w:tcBorders/>
            <w:shd w:fill="CCEEFF" w:val="clear"/>
            <w:vAlign w:val="center"/>
          </w:tcPr>
          <w:p>
            <w:pPr>
              <w:pStyle w:val="TableContents"/>
              <w:bidi w:val="0"/>
              <w:spacing w:lineRule="auto" w:line="285" w:before="0" w:after="0"/>
              <w:ind w:left="0" w:right="0" w:hanging="0"/>
              <w:jc w:val="left"/>
              <w:rPr/>
            </w:pPr>
            <w:r>
              <w:rPr/>
              <w:t>​</w:t>
            </w:r>
          </w:p>
        </w:tc>
        <w:tc>
          <w:tcPr>
            <w:tcW w:w="229"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9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(9,714)</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97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(8.5)</w:t>
            </w:r>
          </w:p>
        </w:tc>
        <w:tc>
          <w:tcPr>
            <w:tcW w:w="27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r>
        <w:trPr/>
        <w:tc>
          <w:tcPr>
            <w:tcW w:w="157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Operating Income</w:t>
            </w:r>
          </w:p>
        </w:tc>
        <w:tc>
          <w:tcPr>
            <w:tcW w:w="346" w:type="dxa"/>
            <w:tcBorders/>
            <w:vAlign w:val="center"/>
          </w:tcPr>
          <w:p>
            <w:pPr>
              <w:pStyle w:val="TableContents"/>
              <w:bidi w:val="0"/>
              <w:spacing w:lineRule="auto" w:line="285" w:before="0" w:after="0"/>
              <w:ind w:left="0" w:right="0" w:hanging="0"/>
              <w:jc w:val="left"/>
              <w:rPr/>
            </w:pPr>
            <w:r>
              <w:rPr/>
              <w:t>​</w:t>
            </w:r>
          </w:p>
        </w:tc>
        <w:tc>
          <w:tcPr>
            <w:tcW w:w="240" w:type="dxa"/>
            <w:tcBorders/>
            <w:vAlign w:val="center"/>
          </w:tcPr>
          <w:p>
            <w:pPr>
              <w:pStyle w:val="TableContents"/>
              <w:bidi w:val="0"/>
              <w:spacing w:lineRule="auto" w:line="285" w:before="0" w:after="0"/>
              <w:ind w:left="0" w:right="0" w:hanging="0"/>
              <w:jc w:val="right"/>
              <w:rPr/>
            </w:pPr>
            <w:r>
              <w:rPr/>
              <w:t> </w:t>
            </w:r>
          </w:p>
        </w:tc>
        <w:tc>
          <w:tcPr>
            <w:tcW w:w="889"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6,704</w:t>
            </w:r>
          </w:p>
        </w:tc>
        <w:tc>
          <w:tcPr>
            <w:tcW w:w="411" w:type="dxa"/>
            <w:tcBorders/>
            <w:vAlign w:val="center"/>
          </w:tcPr>
          <w:p>
            <w:pPr>
              <w:pStyle w:val="TableContents"/>
              <w:bidi w:val="0"/>
              <w:spacing w:lineRule="auto" w:line="285" w:before="0" w:after="0"/>
              <w:ind w:left="0" w:right="0" w:hanging="0"/>
              <w:jc w:val="left"/>
              <w:rPr/>
            </w:pPr>
            <w:r>
              <w:rPr/>
              <w:t>​</w:t>
            </w:r>
          </w:p>
        </w:tc>
        <w:tc>
          <w:tcPr>
            <w:tcW w:w="240" w:type="dxa"/>
            <w:tcBorders/>
            <w:vAlign w:val="center"/>
          </w:tcPr>
          <w:p>
            <w:pPr>
              <w:pStyle w:val="TableContents"/>
              <w:bidi w:val="0"/>
              <w:spacing w:lineRule="auto" w:line="285" w:before="0" w:after="0"/>
              <w:ind w:left="0" w:right="0" w:hanging="0"/>
              <w:jc w:val="right"/>
              <w:rPr/>
            </w:pPr>
            <w:r>
              <w:rPr/>
              <w:t> </w:t>
            </w:r>
          </w:p>
        </w:tc>
        <w:tc>
          <w:tcPr>
            <w:tcW w:w="889"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11,409</w:t>
            </w:r>
          </w:p>
        </w:tc>
        <w:tc>
          <w:tcPr>
            <w:tcW w:w="361" w:type="dxa"/>
            <w:tcBorders/>
            <w:vAlign w:val="center"/>
          </w:tcPr>
          <w:p>
            <w:pPr>
              <w:pStyle w:val="TableContents"/>
              <w:bidi w:val="0"/>
              <w:spacing w:lineRule="auto" w:line="285" w:before="0" w:after="0"/>
              <w:ind w:left="0" w:right="0" w:hanging="0"/>
              <w:jc w:val="left"/>
              <w:rPr/>
            </w:pPr>
            <w:r>
              <w:rPr/>
              <w:t>​</w:t>
            </w:r>
          </w:p>
        </w:tc>
        <w:tc>
          <w:tcPr>
            <w:tcW w:w="229" w:type="dxa"/>
            <w:tcBorders/>
            <w:vAlign w:val="center"/>
          </w:tcPr>
          <w:p>
            <w:pPr>
              <w:pStyle w:val="TableContents"/>
              <w:bidi w:val="0"/>
              <w:spacing w:lineRule="auto" w:line="285" w:before="0" w:after="0"/>
              <w:ind w:left="0" w:right="0" w:hanging="0"/>
              <w:jc w:val="right"/>
              <w:rPr/>
            </w:pPr>
            <w:r>
              <w:rPr/>
              <w:t> </w:t>
            </w:r>
          </w:p>
        </w:tc>
        <w:tc>
          <w:tcPr>
            <w:tcW w:w="69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(4,705)</w:t>
            </w:r>
          </w:p>
        </w:tc>
        <w:tc>
          <w:tcPr>
            <w:tcW w:w="346" w:type="dxa"/>
            <w:tcBorders/>
            <w:vAlign w:val="center"/>
          </w:tcPr>
          <w:p>
            <w:pPr>
              <w:pStyle w:val="TableContents"/>
              <w:bidi w:val="0"/>
              <w:spacing w:lineRule="auto" w:line="285" w:before="0" w:after="0"/>
              <w:ind w:left="0" w:right="0" w:hanging="0"/>
              <w:jc w:val="left"/>
              <w:rPr/>
            </w:pPr>
            <w:r>
              <w:rPr/>
              <w:t> </w:t>
            </w:r>
          </w:p>
        </w:tc>
        <w:tc>
          <w:tcPr>
            <w:tcW w:w="976"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(41.2)</w:t>
            </w:r>
          </w:p>
        </w:tc>
        <w:tc>
          <w:tcPr>
            <w:tcW w:w="27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157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Operating Margin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0" w:type="dxa"/>
            <w:tcBorders/>
            <w:shd w:fill="CCEEFF" w:val="clear"/>
            <w:vAlign w:val="center"/>
          </w:tcPr>
          <w:p>
            <w:pPr>
              <w:pStyle w:val="TableContents"/>
              <w:bidi w:val="0"/>
              <w:spacing w:lineRule="auto" w:line="285" w:before="0" w:after="0"/>
              <w:ind w:left="0" w:right="0" w:hanging="0"/>
              <w:jc w:val="right"/>
              <w:rPr/>
            </w:pPr>
            <w:r>
              <w:rPr/>
              <w:t> </w:t>
            </w:r>
          </w:p>
        </w:tc>
        <w:tc>
          <w:tcPr>
            <w:tcW w:w="889"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6.4</w:t>
            </w:r>
          </w:p>
        </w:tc>
        <w:tc>
          <w:tcPr>
            <w:tcW w:w="41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  </w:t>
            </w:r>
          </w:p>
        </w:tc>
        <w:tc>
          <w:tcPr>
            <w:tcW w:w="240" w:type="dxa"/>
            <w:tcBorders/>
            <w:shd w:fill="CCEEFF" w:val="clear"/>
            <w:vAlign w:val="center"/>
          </w:tcPr>
          <w:p>
            <w:pPr>
              <w:pStyle w:val="TableContents"/>
              <w:bidi w:val="0"/>
              <w:spacing w:lineRule="auto" w:line="285" w:before="0" w:after="0"/>
              <w:ind w:left="0" w:right="0" w:hanging="0"/>
              <w:jc w:val="right"/>
              <w:rPr/>
            </w:pPr>
            <w:r>
              <w:rPr/>
              <w:t> </w:t>
            </w:r>
          </w:p>
        </w:tc>
        <w:tc>
          <w:tcPr>
            <w:tcW w:w="889"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10.0</w:t>
            </w:r>
          </w:p>
        </w:tc>
        <w:tc>
          <w:tcPr>
            <w:tcW w:w="36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  </w:t>
            </w:r>
          </w:p>
        </w:tc>
        <w:tc>
          <w:tcPr>
            <w:tcW w:w="229" w:type="dxa"/>
            <w:tcBorders/>
            <w:shd w:fill="CCEEFF" w:val="clear"/>
            <w:vAlign w:val="center"/>
          </w:tcPr>
          <w:p>
            <w:pPr>
              <w:pStyle w:val="TableContents"/>
              <w:bidi w:val="0"/>
              <w:spacing w:lineRule="auto" w:line="285" w:before="0" w:after="0"/>
              <w:ind w:left="0" w:right="0" w:hanging="0"/>
              <w:jc w:val="right"/>
              <w:rPr/>
            </w:pPr>
            <w:r>
              <w:rPr/>
              <w:t>​</w:t>
            </w:r>
          </w:p>
        </w:tc>
        <w:tc>
          <w:tcPr>
            <w:tcW w:w="69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76" w:type="dxa"/>
            <w:tcBorders/>
            <w:shd w:fill="CCEEFF" w:val="clear"/>
            <w:vAlign w:val="center"/>
          </w:tcPr>
          <w:p>
            <w:pPr>
              <w:pStyle w:val="TableContents"/>
              <w:bidi w:val="0"/>
              <w:spacing w:lineRule="auto" w:line="285" w:before="0" w:after="0"/>
              <w:ind w:left="0" w:right="0" w:hanging="0"/>
              <w:jc w:val="right"/>
              <w:rPr/>
            </w:pPr>
            <w:r>
              <w:rPr/>
              <w:t>​</w:t>
            </w:r>
          </w:p>
        </w:tc>
        <w:tc>
          <w:tcPr>
            <w:tcW w:w="271" w:type="dxa"/>
            <w:tcBorders/>
            <w:shd w:fill="CCEEFF" w:val="clear"/>
            <w:vAlign w:val="center"/>
          </w:tcPr>
          <w:p>
            <w:pPr>
              <w:pStyle w:val="TableContents"/>
              <w:bidi w:val="0"/>
              <w:spacing w:lineRule="auto" w:line="285" w:before="0" w:after="0"/>
              <w:ind w:left="0" w:right="0" w:hanging="0"/>
              <w:jc w:val="left"/>
              <w:rPr/>
            </w:pPr>
            <w:r>
              <w:rPr/>
              <w:t>​</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decrease in revenue for the TTEC Digital segment was driven by lower recurring revenue and a one-time asset sale in the prior year period.</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 xml:space="preserve">The operating income decrease was primarily related to lower margins in our recurring and professional services business. Included in operating income was amortization expense related to acquired intangibles of $3.6 million and $3.7 million for the quarters ended June 30, 2026 and 2025, respectively. </w:t>
      </w:r>
    </w:p>
    <w:p>
      <w:pPr>
        <w:pStyle w:val="TextBody"/>
        <w:bidi w:val="0"/>
        <w:spacing w:lineRule="auto" w:line="285" w:before="0" w:after="120"/>
        <w:ind w:left="0" w:right="0" w:hanging="0"/>
        <w:jc w:val="both"/>
        <w:rPr>
          <w:rFonts w:ascii="Arial;Helvetica;sans-serif" w:hAnsi="Arial;Helvetica;sans-serif"/>
          <w:i/>
          <w:sz w:val="20"/>
        </w:rPr>
      </w:pPr>
      <w:r>
        <w:rPr>
          <w:rFonts w:ascii="Arial;Helvetica;sans-serif" w:hAnsi="Arial;Helvetica;sans-serif"/>
          <w:i/>
          <w:sz w:val="20"/>
        </w:rPr>
        <w:t>TTEC Engage</w:t>
      </w:r>
    </w:p>
    <w:tbl>
      <w:tblPr>
        <w:tblW w:w="7706" w:type="dxa"/>
        <w:jc w:val="left"/>
        <w:tblInd w:w="0" w:type="dxa"/>
        <w:tblLayout w:type="fixed"/>
        <w:tblCellMar>
          <w:top w:w="0" w:type="dxa"/>
          <w:left w:w="0" w:type="dxa"/>
          <w:bottom w:w="0" w:type="dxa"/>
          <w:right w:w="0" w:type="dxa"/>
        </w:tblCellMar>
      </w:tblPr>
      <w:tblGrid>
        <w:gridCol w:w="1576"/>
        <w:gridCol w:w="346"/>
        <w:gridCol w:w="240"/>
        <w:gridCol w:w="889"/>
        <w:gridCol w:w="411"/>
        <w:gridCol w:w="240"/>
        <w:gridCol w:w="889"/>
        <w:gridCol w:w="361"/>
        <w:gridCol w:w="211"/>
        <w:gridCol w:w="796"/>
        <w:gridCol w:w="346"/>
        <w:gridCol w:w="976"/>
        <w:gridCol w:w="271"/>
        <w:gridCol w:w="154"/>
      </w:tblGrid>
      <w:tr>
        <w:trPr/>
        <w:tc>
          <w:tcPr>
            <w:tcW w:w="15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0" w:type="dxa"/>
            <w:tcBorders/>
            <w:vAlign w:val="center"/>
          </w:tcPr>
          <w:p>
            <w:pPr>
              <w:pStyle w:val="TableContents"/>
              <w:bidi w:val="0"/>
              <w:spacing w:lineRule="auto" w:line="285" w:before="0" w:after="0"/>
              <w:ind w:left="0" w:right="0" w:hanging="0"/>
              <w:jc w:val="left"/>
              <w:rPr/>
            </w:pPr>
            <w:r>
              <w:rPr/>
              <w:t>​</w:t>
            </w:r>
          </w:p>
        </w:tc>
        <w:tc>
          <w:tcPr>
            <w:tcW w:w="889" w:type="dxa"/>
            <w:tcBorders/>
            <w:vAlign w:val="center"/>
          </w:tcPr>
          <w:p>
            <w:pPr>
              <w:pStyle w:val="TableContents"/>
              <w:bidi w:val="0"/>
              <w:spacing w:lineRule="auto" w:line="285" w:before="0" w:after="0"/>
              <w:ind w:left="0" w:right="0" w:hanging="0"/>
              <w:jc w:val="left"/>
              <w:rPr/>
            </w:pPr>
            <w:r>
              <w:rPr/>
              <w:t>​</w:t>
            </w:r>
          </w:p>
        </w:tc>
        <w:tc>
          <w:tcPr>
            <w:tcW w:w="411" w:type="dxa"/>
            <w:tcBorders/>
            <w:vAlign w:val="center"/>
          </w:tcPr>
          <w:p>
            <w:pPr>
              <w:pStyle w:val="TableContents"/>
              <w:bidi w:val="0"/>
              <w:spacing w:lineRule="auto" w:line="285" w:before="0" w:after="0"/>
              <w:ind w:left="0" w:right="0" w:hanging="0"/>
              <w:jc w:val="left"/>
              <w:rPr/>
            </w:pPr>
            <w:r>
              <w:rPr/>
              <w:t>​</w:t>
            </w:r>
          </w:p>
        </w:tc>
        <w:tc>
          <w:tcPr>
            <w:tcW w:w="240" w:type="dxa"/>
            <w:tcBorders/>
            <w:vAlign w:val="center"/>
          </w:tcPr>
          <w:p>
            <w:pPr>
              <w:pStyle w:val="TableContents"/>
              <w:bidi w:val="0"/>
              <w:spacing w:lineRule="auto" w:line="285" w:before="0" w:after="0"/>
              <w:ind w:left="0" w:right="0" w:hanging="0"/>
              <w:jc w:val="left"/>
              <w:rPr/>
            </w:pPr>
            <w:r>
              <w:rPr/>
              <w:t>​</w:t>
            </w:r>
          </w:p>
        </w:tc>
        <w:tc>
          <w:tcPr>
            <w:tcW w:w="889" w:type="dxa"/>
            <w:tcBorders/>
            <w:vAlign w:val="center"/>
          </w:tcPr>
          <w:p>
            <w:pPr>
              <w:pStyle w:val="TableContents"/>
              <w:bidi w:val="0"/>
              <w:spacing w:lineRule="auto" w:line="285" w:before="0" w:after="0"/>
              <w:ind w:left="0" w:right="0" w:hanging="0"/>
              <w:jc w:val="left"/>
              <w:rPr/>
            </w:pPr>
            <w:r>
              <w:rPr/>
              <w:t>​</w:t>
            </w:r>
          </w:p>
        </w:tc>
        <w:tc>
          <w:tcPr>
            <w:tcW w:w="361"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9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76" w:type="dxa"/>
            <w:tcBorders/>
            <w:vAlign w:val="center"/>
          </w:tcPr>
          <w:p>
            <w:pPr>
              <w:pStyle w:val="TableContents"/>
              <w:bidi w:val="0"/>
              <w:spacing w:lineRule="auto" w:line="285" w:before="0" w:after="0"/>
              <w:ind w:left="0" w:right="0" w:hanging="0"/>
              <w:jc w:val="left"/>
              <w:rPr/>
            </w:pPr>
            <w:r>
              <w:rPr/>
              <w:t>​</w:t>
            </w:r>
          </w:p>
        </w:tc>
        <w:tc>
          <w:tcPr>
            <w:tcW w:w="271"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15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2669"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xml:space="preserve">Three Months Ended June 30, </w:t>
            </w:r>
          </w:p>
        </w:tc>
        <w:tc>
          <w:tcPr>
            <w:tcW w:w="361" w:type="dxa"/>
            <w:tcBorders/>
            <w:vAlign w:val="center"/>
          </w:tcPr>
          <w:p>
            <w:pPr>
              <w:pStyle w:val="TableContents"/>
              <w:bidi w:val="0"/>
              <w:spacing w:lineRule="auto" w:line="285" w:before="0" w:after="0"/>
              <w:ind w:left="0" w:right="0" w:hanging="0"/>
              <w:jc w:val="center"/>
              <w:rPr/>
            </w:pPr>
            <w:r>
              <w:rPr/>
              <w:t>​</w:t>
            </w:r>
          </w:p>
        </w:tc>
        <w:tc>
          <w:tcPr>
            <w:tcW w:w="211" w:type="dxa"/>
            <w:tcBorders/>
            <w:vAlign w:val="center"/>
          </w:tcPr>
          <w:p>
            <w:pPr>
              <w:pStyle w:val="TableContents"/>
              <w:bidi w:val="0"/>
              <w:spacing w:lineRule="auto" w:line="285" w:before="0" w:after="0"/>
              <w:ind w:left="0" w:right="0" w:hanging="0"/>
              <w:jc w:val="center"/>
              <w:rPr/>
            </w:pPr>
            <w:r>
              <w:rPr/>
              <w:t>​</w:t>
            </w:r>
          </w:p>
        </w:tc>
        <w:tc>
          <w:tcPr>
            <w:tcW w:w="79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976" w:type="dxa"/>
            <w:tcBorders/>
            <w:vAlign w:val="center"/>
          </w:tcPr>
          <w:p>
            <w:pPr>
              <w:pStyle w:val="TableContents"/>
              <w:bidi w:val="0"/>
              <w:spacing w:lineRule="auto" w:line="285" w:before="0" w:after="0"/>
              <w:ind w:left="0" w:right="0" w:hanging="0"/>
              <w:jc w:val="center"/>
              <w:rPr/>
            </w:pPr>
            <w:r>
              <w:rPr/>
              <w:t>​</w:t>
            </w:r>
          </w:p>
        </w:tc>
        <w:tc>
          <w:tcPr>
            <w:tcW w:w="271" w:type="dxa"/>
            <w:tcBorders/>
            <w:vAlign w:val="center"/>
          </w:tcPr>
          <w:p>
            <w:pPr>
              <w:pStyle w:val="TableContents"/>
              <w:bidi w:val="0"/>
              <w:spacing w:lineRule="auto" w:line="285" w:before="0" w:after="0"/>
              <w:ind w:left="0" w:right="0" w:hanging="0"/>
              <w:jc w:val="center"/>
              <w:rPr/>
            </w:pPr>
            <w:r>
              <w:rPr/>
              <w:t> </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15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12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411" w:type="dxa"/>
            <w:tcBorders/>
            <w:vAlign w:val="center"/>
          </w:tcPr>
          <w:p>
            <w:pPr>
              <w:pStyle w:val="TableContents"/>
              <w:bidi w:val="0"/>
              <w:spacing w:lineRule="auto" w:line="285" w:before="0" w:after="0"/>
              <w:ind w:left="0" w:right="0" w:hanging="0"/>
              <w:jc w:val="center"/>
              <w:rPr/>
            </w:pPr>
            <w:r>
              <w:rPr/>
              <w:t>  ​ ​ ​</w:t>
            </w:r>
          </w:p>
        </w:tc>
        <w:tc>
          <w:tcPr>
            <w:tcW w:w="112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61" w:type="dxa"/>
            <w:tcBorders/>
            <w:vAlign w:val="center"/>
          </w:tcPr>
          <w:p>
            <w:pPr>
              <w:pStyle w:val="TableContents"/>
              <w:bidi w:val="0"/>
              <w:spacing w:lineRule="auto" w:line="285"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Change</w:t>
            </w:r>
          </w:p>
        </w:tc>
        <w:tc>
          <w:tcPr>
            <w:tcW w:w="346" w:type="dxa"/>
            <w:tcBorders/>
            <w:vAlign w:val="center"/>
          </w:tcPr>
          <w:p>
            <w:pPr>
              <w:pStyle w:val="TableContents"/>
              <w:bidi w:val="0"/>
              <w:spacing w:lineRule="auto" w:line="285" w:before="0" w:after="0"/>
              <w:ind w:left="0" w:right="0" w:hanging="0"/>
              <w:jc w:val="center"/>
              <w:rPr/>
            </w:pPr>
            <w:r>
              <w:rPr/>
              <w:t>  ​ ​ ​</w:t>
            </w:r>
          </w:p>
        </w:tc>
        <w:tc>
          <w:tcPr>
            <w:tcW w:w="97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Change</w:t>
            </w:r>
          </w:p>
        </w:tc>
        <w:tc>
          <w:tcPr>
            <w:tcW w:w="271" w:type="dxa"/>
            <w:tcBorders/>
            <w:vAlign w:val="center"/>
          </w:tcPr>
          <w:p>
            <w:pPr>
              <w:pStyle w:val="TableContents"/>
              <w:bidi w:val="0"/>
              <w:spacing w:lineRule="auto" w:line="285" w:before="0" w:after="0"/>
              <w:ind w:left="0" w:right="0" w:hanging="0"/>
              <w:jc w:val="center"/>
              <w:rPr/>
            </w:pPr>
            <w:r>
              <w:rPr/>
              <w:t> </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157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Revenue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0"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89"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351,463</w:t>
            </w:r>
          </w:p>
        </w:tc>
        <w:tc>
          <w:tcPr>
            <w:tcW w:w="411" w:type="dxa"/>
            <w:tcBorders/>
            <w:shd w:fill="CCEEFF" w:val="clear"/>
            <w:vAlign w:val="center"/>
          </w:tcPr>
          <w:p>
            <w:pPr>
              <w:pStyle w:val="TableContents"/>
              <w:bidi w:val="0"/>
              <w:spacing w:lineRule="auto" w:line="285" w:before="0" w:after="0"/>
              <w:ind w:left="0" w:right="0" w:hanging="0"/>
              <w:jc w:val="left"/>
              <w:rPr/>
            </w:pPr>
            <w:r>
              <w:rPr/>
              <w:t>​</w:t>
            </w:r>
          </w:p>
        </w:tc>
        <w:tc>
          <w:tcPr>
            <w:tcW w:w="240"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89"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399,825</w:t>
            </w:r>
          </w:p>
        </w:tc>
        <w:tc>
          <w:tcPr>
            <w:tcW w:w="361"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(48,362)</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97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(12.1)</w:t>
            </w:r>
          </w:p>
        </w:tc>
        <w:tc>
          <w:tcPr>
            <w:tcW w:w="27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r>
        <w:trPr/>
        <w:tc>
          <w:tcPr>
            <w:tcW w:w="157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Operating Income</w:t>
            </w:r>
          </w:p>
        </w:tc>
        <w:tc>
          <w:tcPr>
            <w:tcW w:w="346" w:type="dxa"/>
            <w:tcBorders/>
            <w:vAlign w:val="center"/>
          </w:tcPr>
          <w:p>
            <w:pPr>
              <w:pStyle w:val="TableContents"/>
              <w:bidi w:val="0"/>
              <w:spacing w:lineRule="auto" w:line="285" w:before="0" w:after="0"/>
              <w:ind w:left="0" w:right="0" w:hanging="0"/>
              <w:jc w:val="left"/>
              <w:rPr/>
            </w:pPr>
            <w:r>
              <w:rPr/>
              <w:t>​</w:t>
            </w:r>
          </w:p>
        </w:tc>
        <w:tc>
          <w:tcPr>
            <w:tcW w:w="240" w:type="dxa"/>
            <w:tcBorders/>
            <w:vAlign w:val="center"/>
          </w:tcPr>
          <w:p>
            <w:pPr>
              <w:pStyle w:val="TableContents"/>
              <w:bidi w:val="0"/>
              <w:spacing w:lineRule="auto" w:line="285" w:before="0" w:after="0"/>
              <w:ind w:left="0" w:right="0" w:hanging="0"/>
              <w:jc w:val="right"/>
              <w:rPr/>
            </w:pPr>
            <w:r>
              <w:rPr/>
              <w:t> </w:t>
            </w:r>
          </w:p>
        </w:tc>
        <w:tc>
          <w:tcPr>
            <w:tcW w:w="889"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4,305</w:t>
            </w:r>
          </w:p>
        </w:tc>
        <w:tc>
          <w:tcPr>
            <w:tcW w:w="411" w:type="dxa"/>
            <w:tcBorders/>
            <w:vAlign w:val="center"/>
          </w:tcPr>
          <w:p>
            <w:pPr>
              <w:pStyle w:val="TableContents"/>
              <w:bidi w:val="0"/>
              <w:spacing w:lineRule="auto" w:line="285" w:before="0" w:after="0"/>
              <w:ind w:left="0" w:right="0" w:hanging="0"/>
              <w:jc w:val="left"/>
              <w:rPr/>
            </w:pPr>
            <w:r>
              <w:rPr/>
              <w:t>​</w:t>
            </w:r>
          </w:p>
        </w:tc>
        <w:tc>
          <w:tcPr>
            <w:tcW w:w="240" w:type="dxa"/>
            <w:tcBorders/>
            <w:vAlign w:val="center"/>
          </w:tcPr>
          <w:p>
            <w:pPr>
              <w:pStyle w:val="TableContents"/>
              <w:bidi w:val="0"/>
              <w:spacing w:lineRule="auto" w:line="285" w:before="0" w:after="0"/>
              <w:ind w:left="0" w:right="0" w:hanging="0"/>
              <w:jc w:val="right"/>
              <w:rPr/>
            </w:pPr>
            <w:r>
              <w:rPr/>
              <w:t> </w:t>
            </w:r>
          </w:p>
        </w:tc>
        <w:tc>
          <w:tcPr>
            <w:tcW w:w="889"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7,467</w:t>
            </w:r>
          </w:p>
        </w:tc>
        <w:tc>
          <w:tcPr>
            <w:tcW w:w="361"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796"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(3,162)</w:t>
            </w:r>
          </w:p>
        </w:tc>
        <w:tc>
          <w:tcPr>
            <w:tcW w:w="346" w:type="dxa"/>
            <w:tcBorders/>
            <w:vAlign w:val="center"/>
          </w:tcPr>
          <w:p>
            <w:pPr>
              <w:pStyle w:val="TableContents"/>
              <w:bidi w:val="0"/>
              <w:spacing w:lineRule="auto" w:line="285" w:before="0" w:after="0"/>
              <w:ind w:left="0" w:right="0" w:hanging="0"/>
              <w:jc w:val="left"/>
              <w:rPr/>
            </w:pPr>
            <w:r>
              <w:rPr/>
              <w:t> </w:t>
            </w:r>
          </w:p>
        </w:tc>
        <w:tc>
          <w:tcPr>
            <w:tcW w:w="976"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(42.3)</w:t>
            </w:r>
          </w:p>
        </w:tc>
        <w:tc>
          <w:tcPr>
            <w:tcW w:w="27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157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Operating Margin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0" w:type="dxa"/>
            <w:tcBorders/>
            <w:shd w:fill="CCEEFF" w:val="clear"/>
            <w:vAlign w:val="center"/>
          </w:tcPr>
          <w:p>
            <w:pPr>
              <w:pStyle w:val="TableContents"/>
              <w:bidi w:val="0"/>
              <w:spacing w:lineRule="auto" w:line="285" w:before="0" w:after="0"/>
              <w:ind w:left="0" w:right="0" w:hanging="0"/>
              <w:jc w:val="right"/>
              <w:rPr/>
            </w:pPr>
            <w:r>
              <w:rPr/>
              <w:t> </w:t>
            </w:r>
          </w:p>
        </w:tc>
        <w:tc>
          <w:tcPr>
            <w:tcW w:w="889"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1.2</w:t>
            </w:r>
          </w:p>
        </w:tc>
        <w:tc>
          <w:tcPr>
            <w:tcW w:w="41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  </w:t>
            </w:r>
          </w:p>
        </w:tc>
        <w:tc>
          <w:tcPr>
            <w:tcW w:w="240" w:type="dxa"/>
            <w:tcBorders/>
            <w:shd w:fill="CCEEFF" w:val="clear"/>
            <w:vAlign w:val="center"/>
          </w:tcPr>
          <w:p>
            <w:pPr>
              <w:pStyle w:val="TableContents"/>
              <w:bidi w:val="0"/>
              <w:spacing w:lineRule="auto" w:line="285" w:before="0" w:after="0"/>
              <w:ind w:left="0" w:right="0" w:hanging="0"/>
              <w:jc w:val="right"/>
              <w:rPr/>
            </w:pPr>
            <w:r>
              <w:rPr/>
              <w:t> </w:t>
            </w:r>
          </w:p>
        </w:tc>
        <w:tc>
          <w:tcPr>
            <w:tcW w:w="889"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1.9</w:t>
            </w:r>
          </w:p>
        </w:tc>
        <w:tc>
          <w:tcPr>
            <w:tcW w:w="36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  </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79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76" w:type="dxa"/>
            <w:tcBorders/>
            <w:shd w:fill="CCEEFF" w:val="clear"/>
            <w:vAlign w:val="center"/>
          </w:tcPr>
          <w:p>
            <w:pPr>
              <w:pStyle w:val="TableContents"/>
              <w:bidi w:val="0"/>
              <w:spacing w:lineRule="auto" w:line="285" w:before="0" w:after="0"/>
              <w:ind w:left="0" w:right="0" w:hanging="0"/>
              <w:jc w:val="right"/>
              <w:rPr/>
            </w:pPr>
            <w:r>
              <w:rPr/>
              <w:t>​</w:t>
            </w:r>
          </w:p>
        </w:tc>
        <w:tc>
          <w:tcPr>
            <w:tcW w:w="271" w:type="dxa"/>
            <w:tcBorders/>
            <w:shd w:fill="CCEEFF" w:val="clear"/>
            <w:vAlign w:val="center"/>
          </w:tcPr>
          <w:p>
            <w:pPr>
              <w:pStyle w:val="TableContents"/>
              <w:bidi w:val="0"/>
              <w:spacing w:lineRule="auto" w:line="285" w:before="0" w:after="0"/>
              <w:ind w:left="0" w:right="0" w:hanging="0"/>
              <w:jc w:val="left"/>
              <w:rPr/>
            </w:pPr>
            <w:r>
              <w:rPr/>
              <w:t>​</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 xml:space="preserve">The decrease in revenue for the TTEC Engage segment is primarily due to client attrition and the absence of revenue from a short-term contract that was completed during the prior year period. </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TTEC Engage’s operating income decreased as a percentage of revenue was primarily related to lower revenue, which exceeded the benefit of reduced operating expenses. Included in operating income was amortization expense related to acquired intangibles of $4.0 million and $4.1 million for the quarters ended June 30, 2026 and 2025, respectively.</w:t>
      </w:r>
    </w:p>
    <w:p>
      <w:pPr>
        <w:pStyle w:val="TextBody"/>
        <w:bidi w:val="0"/>
        <w:spacing w:lineRule="auto" w:line="285" w:before="0" w:after="120"/>
        <w:ind w:left="0" w:right="0" w:hanging="0"/>
        <w:jc w:val="both"/>
        <w:rPr>
          <w:rFonts w:ascii="Arial;Helvetica;sans-serif" w:hAnsi="Arial;Helvetica;sans-serif"/>
          <w:i/>
          <w:sz w:val="20"/>
        </w:rPr>
      </w:pPr>
      <w:r>
        <w:rPr>
          <w:rFonts w:ascii="Arial;Helvetica;sans-serif" w:hAnsi="Arial;Helvetica;sans-serif"/>
          <w:i/>
          <w:sz w:val="20"/>
        </w:rPr>
        <w:t>Interest Income (Expense)</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For the three months ended June 30, 2026 interest income decreased to $0.1 million from $3.2 million in the same period in 2025 due to lower interest income on an aged VAT receivable received during the prior year period. Interest expense decreased to $16.7 million during 2026 from $18.2 million during 2025 due to lower utilization and lower rates.</w:t>
      </w:r>
    </w:p>
    <w:p>
      <w:pPr>
        <w:pStyle w:val="TextBody"/>
        <w:bidi w:val="0"/>
        <w:spacing w:lineRule="auto" w:line="285" w:before="0" w:after="120"/>
        <w:ind w:left="0" w:right="0" w:hanging="0"/>
        <w:jc w:val="both"/>
        <w:rPr>
          <w:rFonts w:ascii="Arial;Helvetica;sans-serif" w:hAnsi="Arial;Helvetica;sans-serif"/>
          <w:i/>
          <w:sz w:val="20"/>
        </w:rPr>
      </w:pPr>
      <w:r>
        <w:rPr>
          <w:rFonts w:ascii="Arial;Helvetica;sans-serif" w:hAnsi="Arial;Helvetica;sans-serif"/>
          <w:i/>
          <w:sz w:val="20"/>
        </w:rPr>
        <w:t>Other Income (Expense)</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For the three months ended June 30, 2026 Other income (expense), net increased to income of $1.2 million from expense of $0.3 million during the prior year quarter.</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Included in the three months ended June 30, 2026 was a $1.0 million gain due to changes in foreign currency rates.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Included in the three months ended June 30, 2025 was a $2.7 million gain related to a recovery of an aged VAT receivable.</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31</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120"/>
        <w:ind w:left="0" w:right="0" w:hanging="0"/>
        <w:jc w:val="both"/>
        <w:rPr>
          <w:rFonts w:ascii="Arial;Helvetica;sans-serif" w:hAnsi="Arial;Helvetica;sans-serif"/>
          <w:i/>
          <w:sz w:val="20"/>
        </w:rPr>
      </w:pPr>
      <w:r>
        <w:rPr>
          <w:rFonts w:ascii="Arial;Helvetica;sans-serif" w:hAnsi="Arial;Helvetica;sans-serif"/>
          <w:i/>
          <w:sz w:val="20"/>
        </w:rPr>
        <w:t>Income Taxes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 xml:space="preserve">The effective tax rate for the three months ended June 30, 2026 was 195.5%. This compares to an effective tax rate of 288.7% for the comparable period of 2025. The effective tax rate for the three months ended June 30, 2026 is primarily driven by the distribution of income between the U.S. and international tax jurisdictions, earnings in international jurisdictions currently under an income tax holiday, foreign currency gains and losses, and the impact of valuation allowances in the United States and several other jurisdictions. </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Six months ended June 30, 2026 compared to six months ended June 30, 2025</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tables included in the following sections are presented to facilitate an understanding of Management’s Discussion and Analysis of Financial Condition and Results of Operations and present certain information by segment for the six months ended June 30, 2026 and 2025 (in thousands). All intercompany transactions between the reported segments for the periods presented have been eliminated.</w:t>
      </w:r>
    </w:p>
    <w:p>
      <w:pPr>
        <w:pStyle w:val="TextBody"/>
        <w:bidi w:val="0"/>
        <w:spacing w:lineRule="auto" w:line="285" w:before="0" w:after="0"/>
        <w:ind w:left="0" w:right="0" w:hanging="0"/>
        <w:jc w:val="both"/>
        <w:rPr>
          <w:rFonts w:ascii="Arial;Helvetica;sans-serif" w:hAnsi="Arial;Helvetica;sans-serif"/>
          <w:i/>
          <w:sz w:val="20"/>
        </w:rPr>
      </w:pPr>
      <w:r>
        <w:rPr>
          <w:rFonts w:ascii="Arial;Helvetica;sans-serif" w:hAnsi="Arial;Helvetica;sans-serif"/>
          <w:i/>
          <w:sz w:val="20"/>
        </w:rPr>
        <w:t>TTEC Digital</w:t>
      </w:r>
    </w:p>
    <w:tbl>
      <w:tblPr>
        <w:tblW w:w="7481" w:type="dxa"/>
        <w:jc w:val="left"/>
        <w:tblInd w:w="0" w:type="dxa"/>
        <w:tblLayout w:type="fixed"/>
        <w:tblCellMar>
          <w:top w:w="0" w:type="dxa"/>
          <w:left w:w="0" w:type="dxa"/>
          <w:bottom w:w="0" w:type="dxa"/>
          <w:right w:w="0" w:type="dxa"/>
        </w:tblCellMar>
      </w:tblPr>
      <w:tblGrid>
        <w:gridCol w:w="1576"/>
        <w:gridCol w:w="346"/>
        <w:gridCol w:w="219"/>
        <w:gridCol w:w="813"/>
        <w:gridCol w:w="375"/>
        <w:gridCol w:w="219"/>
        <w:gridCol w:w="818"/>
        <w:gridCol w:w="361"/>
        <w:gridCol w:w="211"/>
        <w:gridCol w:w="796"/>
        <w:gridCol w:w="346"/>
        <w:gridCol w:w="976"/>
        <w:gridCol w:w="271"/>
        <w:gridCol w:w="154"/>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1000760" cy="175260"/>
                      <wp:effectExtent l="0" t="0" r="0" b="0"/>
                      <wp:wrapNone/>
                      <wp:docPr id="427" name="Frame427"/>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219710" cy="175260"/>
                      <wp:effectExtent l="0" t="0" r="0" b="0"/>
                      <wp:wrapNone/>
                      <wp:docPr id="428" name="Frame4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139065" cy="175260"/>
                      <wp:effectExtent l="0" t="0" r="0" b="0"/>
                      <wp:wrapNone/>
                      <wp:docPr id="429" name="Frame429"/>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516255" cy="175260"/>
                      <wp:effectExtent l="0" t="0" r="0" b="0"/>
                      <wp:wrapNone/>
                      <wp:docPr id="430" name="Frame430"/>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238125" cy="175260"/>
                      <wp:effectExtent l="0" t="0" r="0" b="0"/>
                      <wp:wrapNone/>
                      <wp:docPr id="431" name="Frame431"/>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139065" cy="175260"/>
                      <wp:effectExtent l="0" t="0" r="0" b="0"/>
                      <wp:wrapNone/>
                      <wp:docPr id="432" name="Frame432"/>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519430" cy="175260"/>
                      <wp:effectExtent l="0" t="0" r="0" b="0"/>
                      <wp:wrapNone/>
                      <wp:docPr id="433" name="Frame433"/>
                      <a:graphic xmlns:a="http://schemas.openxmlformats.org/drawingml/2006/main">
                        <a:graphicData uri="http://schemas.microsoft.com/office/word/2010/wordprocessingShape">
                          <wps:wsp>
                            <wps:cNvSpPr txBox="1"/>
                            <wps:spPr>
                              <a:xfrm>
                                <a:off x="0" y="0"/>
                                <a:ext cx="5194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29235" cy="175260"/>
                      <wp:effectExtent l="0" t="0" r="0" b="0"/>
                      <wp:wrapNone/>
                      <wp:docPr id="434" name="Frame43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133985" cy="175260"/>
                      <wp:effectExtent l="0" t="0" r="0" b="0"/>
                      <wp:wrapNone/>
                      <wp:docPr id="435" name="Frame4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505460" cy="175260"/>
                      <wp:effectExtent l="0" t="0" r="0" b="0"/>
                      <wp:wrapNone/>
                      <wp:docPr id="436" name="Frame43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219710" cy="175260"/>
                      <wp:effectExtent l="0" t="0" r="0" b="0"/>
                      <wp:wrapNone/>
                      <wp:docPr id="437" name="Frame4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619760" cy="175260"/>
                      <wp:effectExtent l="0" t="0" r="0" b="0"/>
                      <wp:wrapNone/>
                      <wp:docPr id="438" name="Frame438"/>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172085" cy="175260"/>
                      <wp:effectExtent l="0" t="0" r="0" b="0"/>
                      <wp:wrapNone/>
                      <wp:docPr id="439" name="Frame439"/>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97790" cy="175260"/>
                      <wp:effectExtent l="0" t="0" r="0" b="0"/>
                      <wp:wrapNone/>
                      <wp:docPr id="440" name="Frame44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5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2444"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xml:space="preserve">Six Months Ended June 30, </w:t>
            </w:r>
          </w:p>
        </w:tc>
        <w:tc>
          <w:tcPr>
            <w:tcW w:w="361" w:type="dxa"/>
            <w:tcBorders/>
            <w:vAlign w:val="center"/>
          </w:tcPr>
          <w:p>
            <w:pPr>
              <w:pStyle w:val="TableContents"/>
              <w:bidi w:val="0"/>
              <w:spacing w:lineRule="auto" w:line="285" w:before="0" w:after="0"/>
              <w:ind w:left="0" w:right="0" w:hanging="0"/>
              <w:jc w:val="center"/>
              <w:rPr/>
            </w:pPr>
            <w:r>
              <w:rPr/>
              <w:t>​</w:t>
            </w:r>
          </w:p>
        </w:tc>
        <w:tc>
          <w:tcPr>
            <w:tcW w:w="211" w:type="dxa"/>
            <w:tcBorders/>
            <w:vAlign w:val="center"/>
          </w:tcPr>
          <w:p>
            <w:pPr>
              <w:pStyle w:val="TableContents"/>
              <w:bidi w:val="0"/>
              <w:spacing w:lineRule="auto" w:line="285" w:before="0" w:after="0"/>
              <w:ind w:left="0" w:right="0" w:hanging="0"/>
              <w:jc w:val="center"/>
              <w:rPr/>
            </w:pPr>
            <w:r>
              <w:rPr/>
              <w:t>​</w:t>
            </w:r>
          </w:p>
        </w:tc>
        <w:tc>
          <w:tcPr>
            <w:tcW w:w="79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976" w:type="dxa"/>
            <w:tcBorders/>
            <w:vAlign w:val="center"/>
          </w:tcPr>
          <w:p>
            <w:pPr>
              <w:pStyle w:val="TableContents"/>
              <w:bidi w:val="0"/>
              <w:spacing w:lineRule="auto" w:line="285" w:before="0" w:after="0"/>
              <w:ind w:left="0" w:right="0" w:hanging="0"/>
              <w:jc w:val="center"/>
              <w:rPr/>
            </w:pPr>
            <w:r>
              <w:rPr/>
              <w:t>​</w:t>
            </w:r>
          </w:p>
        </w:tc>
        <w:tc>
          <w:tcPr>
            <w:tcW w:w="271" w:type="dxa"/>
            <w:tcBorders/>
            <w:vAlign w:val="center"/>
          </w:tcPr>
          <w:p>
            <w:pPr>
              <w:pStyle w:val="TableContents"/>
              <w:bidi w:val="0"/>
              <w:spacing w:lineRule="auto" w:line="285" w:before="0" w:after="0"/>
              <w:ind w:left="0" w:right="0" w:hanging="0"/>
              <w:jc w:val="center"/>
              <w:rPr/>
            </w:pPr>
            <w:r>
              <w:rPr/>
              <w:t> </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15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03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375" w:type="dxa"/>
            <w:tcBorders/>
            <w:vAlign w:val="center"/>
          </w:tcPr>
          <w:p>
            <w:pPr>
              <w:pStyle w:val="TableContents"/>
              <w:bidi w:val="0"/>
              <w:spacing w:lineRule="auto" w:line="285" w:before="0" w:after="0"/>
              <w:ind w:left="0" w:right="0" w:hanging="0"/>
              <w:jc w:val="center"/>
              <w:rPr/>
            </w:pPr>
            <w:r>
              <w:rPr/>
              <w:t>  ​ ​ ​</w:t>
            </w:r>
          </w:p>
        </w:tc>
        <w:tc>
          <w:tcPr>
            <w:tcW w:w="103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61" w:type="dxa"/>
            <w:tcBorders/>
            <w:vAlign w:val="center"/>
          </w:tcPr>
          <w:p>
            <w:pPr>
              <w:pStyle w:val="TableContents"/>
              <w:bidi w:val="0"/>
              <w:spacing w:lineRule="auto" w:line="285"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Change</w:t>
            </w:r>
          </w:p>
        </w:tc>
        <w:tc>
          <w:tcPr>
            <w:tcW w:w="346" w:type="dxa"/>
            <w:tcBorders/>
            <w:vAlign w:val="center"/>
          </w:tcPr>
          <w:p>
            <w:pPr>
              <w:pStyle w:val="TableContents"/>
              <w:bidi w:val="0"/>
              <w:spacing w:lineRule="auto" w:line="285" w:before="0" w:after="0"/>
              <w:ind w:left="0" w:right="0" w:hanging="0"/>
              <w:jc w:val="center"/>
              <w:rPr/>
            </w:pPr>
            <w:r>
              <w:rPr/>
              <w:t>  ​ ​ ​</w:t>
            </w:r>
          </w:p>
        </w:tc>
        <w:tc>
          <w:tcPr>
            <w:tcW w:w="97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Change</w:t>
            </w:r>
          </w:p>
        </w:tc>
        <w:tc>
          <w:tcPr>
            <w:tcW w:w="271" w:type="dxa"/>
            <w:tcBorders/>
            <w:vAlign w:val="center"/>
          </w:tcPr>
          <w:p>
            <w:pPr>
              <w:pStyle w:val="TableContents"/>
              <w:bidi w:val="0"/>
              <w:spacing w:lineRule="auto" w:line="285" w:before="0" w:after="0"/>
              <w:ind w:left="0" w:right="0" w:hanging="0"/>
              <w:jc w:val="center"/>
              <w:rPr/>
            </w:pPr>
            <w:r>
              <w:rPr/>
              <w:t> </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157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Revenue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9"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13"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205,897</w:t>
            </w:r>
          </w:p>
        </w:tc>
        <w:tc>
          <w:tcPr>
            <w:tcW w:w="375" w:type="dxa"/>
            <w:tcBorders/>
            <w:shd w:fill="CCEEFF" w:val="clear"/>
            <w:vAlign w:val="center"/>
          </w:tcPr>
          <w:p>
            <w:pPr>
              <w:pStyle w:val="TableContents"/>
              <w:bidi w:val="0"/>
              <w:spacing w:lineRule="auto" w:line="285" w:before="0" w:after="0"/>
              <w:ind w:left="0" w:right="0" w:hanging="0"/>
              <w:jc w:val="left"/>
              <w:rPr/>
            </w:pPr>
            <w:r>
              <w:rPr/>
              <w:t>​</w:t>
            </w:r>
          </w:p>
        </w:tc>
        <w:tc>
          <w:tcPr>
            <w:tcW w:w="219"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18"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221,786</w:t>
            </w:r>
          </w:p>
        </w:tc>
        <w:tc>
          <w:tcPr>
            <w:tcW w:w="361"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(15,889)</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97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(7.2)</w:t>
            </w:r>
          </w:p>
        </w:tc>
        <w:tc>
          <w:tcPr>
            <w:tcW w:w="27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r>
        <w:trPr/>
        <w:tc>
          <w:tcPr>
            <w:tcW w:w="157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Operating Income</w:t>
            </w:r>
          </w:p>
        </w:tc>
        <w:tc>
          <w:tcPr>
            <w:tcW w:w="346" w:type="dxa"/>
            <w:tcBorders/>
            <w:vAlign w:val="center"/>
          </w:tcPr>
          <w:p>
            <w:pPr>
              <w:pStyle w:val="TableContents"/>
              <w:bidi w:val="0"/>
              <w:spacing w:lineRule="auto" w:line="285" w:before="0" w:after="0"/>
              <w:ind w:left="0" w:right="0" w:hanging="0"/>
              <w:jc w:val="left"/>
              <w:rPr/>
            </w:pPr>
            <w:r>
              <w:rPr/>
              <w:t>​</w:t>
            </w:r>
          </w:p>
        </w:tc>
        <w:tc>
          <w:tcPr>
            <w:tcW w:w="219" w:type="dxa"/>
            <w:tcBorders/>
            <w:vAlign w:val="center"/>
          </w:tcPr>
          <w:p>
            <w:pPr>
              <w:pStyle w:val="TableContents"/>
              <w:bidi w:val="0"/>
              <w:spacing w:lineRule="auto" w:line="285" w:before="0" w:after="0"/>
              <w:ind w:left="0" w:right="0" w:hanging="0"/>
              <w:jc w:val="right"/>
              <w:rPr/>
            </w:pPr>
            <w:r>
              <w:rPr/>
              <w:t> </w:t>
            </w:r>
          </w:p>
        </w:tc>
        <w:tc>
          <w:tcPr>
            <w:tcW w:w="813"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8,063</w:t>
            </w:r>
          </w:p>
        </w:tc>
        <w:tc>
          <w:tcPr>
            <w:tcW w:w="375" w:type="dxa"/>
            <w:tcBorders/>
            <w:vAlign w:val="center"/>
          </w:tcPr>
          <w:p>
            <w:pPr>
              <w:pStyle w:val="TableContents"/>
              <w:bidi w:val="0"/>
              <w:spacing w:lineRule="auto" w:line="285" w:before="0" w:after="0"/>
              <w:ind w:left="0" w:right="0" w:hanging="0"/>
              <w:jc w:val="left"/>
              <w:rPr/>
            </w:pPr>
            <w:r>
              <w:rPr/>
              <w:t>​</w:t>
            </w:r>
          </w:p>
        </w:tc>
        <w:tc>
          <w:tcPr>
            <w:tcW w:w="219" w:type="dxa"/>
            <w:tcBorders/>
            <w:vAlign w:val="center"/>
          </w:tcPr>
          <w:p>
            <w:pPr>
              <w:pStyle w:val="TableContents"/>
              <w:bidi w:val="0"/>
              <w:spacing w:lineRule="auto" w:line="285" w:before="0" w:after="0"/>
              <w:ind w:left="0" w:right="0" w:hanging="0"/>
              <w:jc w:val="right"/>
              <w:rPr/>
            </w:pPr>
            <w:r>
              <w:rPr/>
              <w:t> </w:t>
            </w:r>
          </w:p>
        </w:tc>
        <w:tc>
          <w:tcPr>
            <w:tcW w:w="818"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17,273</w:t>
            </w:r>
          </w:p>
        </w:tc>
        <w:tc>
          <w:tcPr>
            <w:tcW w:w="361"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796"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(9,210)</w:t>
            </w:r>
          </w:p>
        </w:tc>
        <w:tc>
          <w:tcPr>
            <w:tcW w:w="346" w:type="dxa"/>
            <w:tcBorders/>
            <w:vAlign w:val="center"/>
          </w:tcPr>
          <w:p>
            <w:pPr>
              <w:pStyle w:val="TableContents"/>
              <w:bidi w:val="0"/>
              <w:spacing w:lineRule="auto" w:line="285" w:before="0" w:after="0"/>
              <w:ind w:left="0" w:right="0" w:hanging="0"/>
              <w:jc w:val="left"/>
              <w:rPr/>
            </w:pPr>
            <w:r>
              <w:rPr/>
              <w:t> </w:t>
            </w:r>
          </w:p>
        </w:tc>
        <w:tc>
          <w:tcPr>
            <w:tcW w:w="976"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(53.3)</w:t>
            </w:r>
          </w:p>
        </w:tc>
        <w:tc>
          <w:tcPr>
            <w:tcW w:w="27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157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Operating Margin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9" w:type="dxa"/>
            <w:tcBorders/>
            <w:shd w:fill="CCEEFF" w:val="clear"/>
            <w:vAlign w:val="center"/>
          </w:tcPr>
          <w:p>
            <w:pPr>
              <w:pStyle w:val="TableContents"/>
              <w:bidi w:val="0"/>
              <w:spacing w:lineRule="auto" w:line="285" w:before="0" w:after="0"/>
              <w:ind w:left="0" w:right="0" w:hanging="0"/>
              <w:jc w:val="right"/>
              <w:rPr/>
            </w:pPr>
            <w:r>
              <w:rPr/>
              <w:t> </w:t>
            </w:r>
          </w:p>
        </w:tc>
        <w:tc>
          <w:tcPr>
            <w:tcW w:w="813"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3.9</w:t>
            </w:r>
          </w:p>
        </w:tc>
        <w:tc>
          <w:tcPr>
            <w:tcW w:w="375"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  </w:t>
            </w:r>
          </w:p>
        </w:tc>
        <w:tc>
          <w:tcPr>
            <w:tcW w:w="219" w:type="dxa"/>
            <w:tcBorders/>
            <w:shd w:fill="CCEEFF" w:val="clear"/>
            <w:vAlign w:val="center"/>
          </w:tcPr>
          <w:p>
            <w:pPr>
              <w:pStyle w:val="TableContents"/>
              <w:bidi w:val="0"/>
              <w:spacing w:lineRule="auto" w:line="285" w:before="0" w:after="0"/>
              <w:ind w:left="0" w:right="0" w:hanging="0"/>
              <w:jc w:val="right"/>
              <w:rPr/>
            </w:pPr>
            <w:r>
              <w:rPr/>
              <w:t> </w:t>
            </w:r>
          </w:p>
        </w:tc>
        <w:tc>
          <w:tcPr>
            <w:tcW w:w="818"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7.8</w:t>
            </w:r>
          </w:p>
        </w:tc>
        <w:tc>
          <w:tcPr>
            <w:tcW w:w="36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  </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79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76" w:type="dxa"/>
            <w:tcBorders/>
            <w:shd w:fill="CCEEFF" w:val="clear"/>
            <w:vAlign w:val="center"/>
          </w:tcPr>
          <w:p>
            <w:pPr>
              <w:pStyle w:val="TableContents"/>
              <w:bidi w:val="0"/>
              <w:spacing w:lineRule="auto" w:line="285" w:before="0" w:after="0"/>
              <w:ind w:left="0" w:right="0" w:hanging="0"/>
              <w:jc w:val="right"/>
              <w:rPr/>
            </w:pPr>
            <w:r>
              <w:rPr/>
              <w:t>​</w:t>
            </w:r>
          </w:p>
        </w:tc>
        <w:tc>
          <w:tcPr>
            <w:tcW w:w="271" w:type="dxa"/>
            <w:tcBorders/>
            <w:shd w:fill="CCEEFF" w:val="clear"/>
            <w:vAlign w:val="center"/>
          </w:tcPr>
          <w:p>
            <w:pPr>
              <w:pStyle w:val="TableContents"/>
              <w:bidi w:val="0"/>
              <w:spacing w:lineRule="auto" w:line="285" w:before="0" w:after="0"/>
              <w:ind w:left="0" w:right="0" w:hanging="0"/>
              <w:jc w:val="left"/>
              <w:rPr/>
            </w:pPr>
            <w:r>
              <w:rPr/>
              <w:t>​</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both"/>
        <w:rPr>
          <w:shd w:fill="FFFF00" w:val="clear"/>
        </w:rPr>
      </w:pPr>
      <w:r>
        <w:rPr>
          <w:shd w:fill="FFFF00" w:val="clear"/>
        </w:rPr>
        <w:t>​</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decrease in revenue for the TTEC Digital segment was driven by lower recurring revenue and one-time on-premise related revenue.</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 xml:space="preserve">The operating income decrease is primarily attributable to lower margins in our recurring and professional services revenue. Included in operating income was amortization expense related to acquired intangibles of $7.3 million and $7.3 million for the six months ended June 30, 2026 and 2025, respectively. </w:t>
      </w:r>
    </w:p>
    <w:p>
      <w:pPr>
        <w:pStyle w:val="TextBody"/>
        <w:bidi w:val="0"/>
        <w:spacing w:lineRule="auto" w:line="285" w:before="0" w:after="120"/>
        <w:ind w:left="0" w:right="0" w:hanging="0"/>
        <w:jc w:val="both"/>
        <w:rPr>
          <w:rFonts w:ascii="Arial;Helvetica;sans-serif" w:hAnsi="Arial;Helvetica;sans-serif"/>
          <w:i/>
          <w:sz w:val="20"/>
        </w:rPr>
      </w:pPr>
      <w:r>
        <w:rPr>
          <w:rFonts w:ascii="Arial;Helvetica;sans-serif" w:hAnsi="Arial;Helvetica;sans-serif"/>
          <w:i/>
          <w:sz w:val="20"/>
        </w:rPr>
        <w:t>TTEC Engage</w:t>
      </w:r>
    </w:p>
    <w:tbl>
      <w:tblPr>
        <w:tblW w:w="7976" w:type="dxa"/>
        <w:jc w:val="left"/>
        <w:tblInd w:w="0" w:type="dxa"/>
        <w:tblLayout w:type="fixed"/>
        <w:tblCellMar>
          <w:top w:w="0" w:type="dxa"/>
          <w:left w:w="0" w:type="dxa"/>
          <w:bottom w:w="0" w:type="dxa"/>
          <w:right w:w="0" w:type="dxa"/>
        </w:tblCellMar>
      </w:tblPr>
      <w:tblGrid>
        <w:gridCol w:w="2071"/>
        <w:gridCol w:w="346"/>
        <w:gridCol w:w="219"/>
        <w:gridCol w:w="813"/>
        <w:gridCol w:w="375"/>
        <w:gridCol w:w="219"/>
        <w:gridCol w:w="818"/>
        <w:gridCol w:w="361"/>
        <w:gridCol w:w="211"/>
        <w:gridCol w:w="796"/>
        <w:gridCol w:w="346"/>
        <w:gridCol w:w="976"/>
        <w:gridCol w:w="271"/>
        <w:gridCol w:w="154"/>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1315085" cy="175260"/>
                      <wp:effectExtent l="0" t="0" r="0" b="0"/>
                      <wp:wrapNone/>
                      <wp:docPr id="441" name="Frame441"/>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19710" cy="175260"/>
                      <wp:effectExtent l="0" t="0" r="0" b="0"/>
                      <wp:wrapNone/>
                      <wp:docPr id="442" name="Frame4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139065" cy="175260"/>
                      <wp:effectExtent l="0" t="0" r="0" b="0"/>
                      <wp:wrapNone/>
                      <wp:docPr id="443" name="Frame443"/>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516255" cy="175260"/>
                      <wp:effectExtent l="0" t="0" r="0" b="0"/>
                      <wp:wrapNone/>
                      <wp:docPr id="444" name="Frame444"/>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38125" cy="175260"/>
                      <wp:effectExtent l="0" t="0" r="0" b="0"/>
                      <wp:wrapNone/>
                      <wp:docPr id="445" name="Frame445"/>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139065" cy="175260"/>
                      <wp:effectExtent l="0" t="0" r="0" b="0"/>
                      <wp:wrapNone/>
                      <wp:docPr id="446" name="Frame446"/>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519430" cy="175260"/>
                      <wp:effectExtent l="0" t="0" r="0" b="0"/>
                      <wp:wrapNone/>
                      <wp:docPr id="447" name="Frame447"/>
                      <a:graphic xmlns:a="http://schemas.openxmlformats.org/drawingml/2006/main">
                        <a:graphicData uri="http://schemas.microsoft.com/office/word/2010/wordprocessingShape">
                          <wps:wsp>
                            <wps:cNvSpPr txBox="1"/>
                            <wps:spPr>
                              <a:xfrm>
                                <a:off x="0" y="0"/>
                                <a:ext cx="5194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29235" cy="175260"/>
                      <wp:effectExtent l="0" t="0" r="0" b="0"/>
                      <wp:wrapNone/>
                      <wp:docPr id="448" name="Frame44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133985" cy="175260"/>
                      <wp:effectExtent l="0" t="0" r="0" b="0"/>
                      <wp:wrapNone/>
                      <wp:docPr id="449" name="Frame4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505460" cy="175260"/>
                      <wp:effectExtent l="0" t="0" r="0" b="0"/>
                      <wp:wrapNone/>
                      <wp:docPr id="450" name="Frame45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19710" cy="175260"/>
                      <wp:effectExtent l="0" t="0" r="0" b="0"/>
                      <wp:wrapNone/>
                      <wp:docPr id="451" name="Frame4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619760" cy="175260"/>
                      <wp:effectExtent l="0" t="0" r="0" b="0"/>
                      <wp:wrapNone/>
                      <wp:docPr id="452" name="Frame452"/>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172085" cy="175260"/>
                      <wp:effectExtent l="0" t="0" r="0" b="0"/>
                      <wp:wrapNone/>
                      <wp:docPr id="453" name="Frame453"/>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97790" cy="175260"/>
                      <wp:effectExtent l="0" t="0" r="0" b="0"/>
                      <wp:wrapNone/>
                      <wp:docPr id="454" name="Frame45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07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2444"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xml:space="preserve">Six Months Ended June 30, </w:t>
            </w:r>
          </w:p>
        </w:tc>
        <w:tc>
          <w:tcPr>
            <w:tcW w:w="361" w:type="dxa"/>
            <w:tcBorders/>
            <w:vAlign w:val="center"/>
          </w:tcPr>
          <w:p>
            <w:pPr>
              <w:pStyle w:val="TableContents"/>
              <w:bidi w:val="0"/>
              <w:spacing w:lineRule="auto" w:line="285" w:before="0" w:after="0"/>
              <w:ind w:left="0" w:right="0" w:hanging="0"/>
              <w:jc w:val="center"/>
              <w:rPr/>
            </w:pPr>
            <w:r>
              <w:rPr/>
              <w:t>​</w:t>
            </w:r>
          </w:p>
        </w:tc>
        <w:tc>
          <w:tcPr>
            <w:tcW w:w="211" w:type="dxa"/>
            <w:tcBorders/>
            <w:vAlign w:val="center"/>
          </w:tcPr>
          <w:p>
            <w:pPr>
              <w:pStyle w:val="TableContents"/>
              <w:bidi w:val="0"/>
              <w:spacing w:lineRule="auto" w:line="285" w:before="0" w:after="0"/>
              <w:ind w:left="0" w:right="0" w:hanging="0"/>
              <w:jc w:val="center"/>
              <w:rPr/>
            </w:pPr>
            <w:r>
              <w:rPr/>
              <w:t>​</w:t>
            </w:r>
          </w:p>
        </w:tc>
        <w:tc>
          <w:tcPr>
            <w:tcW w:w="79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976" w:type="dxa"/>
            <w:tcBorders/>
            <w:vAlign w:val="center"/>
          </w:tcPr>
          <w:p>
            <w:pPr>
              <w:pStyle w:val="TableContents"/>
              <w:bidi w:val="0"/>
              <w:spacing w:lineRule="auto" w:line="285" w:before="0" w:after="0"/>
              <w:ind w:left="0" w:right="0" w:hanging="0"/>
              <w:jc w:val="center"/>
              <w:rPr/>
            </w:pPr>
            <w:r>
              <w:rPr/>
              <w:t>​</w:t>
            </w:r>
          </w:p>
        </w:tc>
        <w:tc>
          <w:tcPr>
            <w:tcW w:w="271" w:type="dxa"/>
            <w:tcBorders/>
            <w:vAlign w:val="center"/>
          </w:tcPr>
          <w:p>
            <w:pPr>
              <w:pStyle w:val="TableContents"/>
              <w:bidi w:val="0"/>
              <w:spacing w:lineRule="auto" w:line="285" w:before="0" w:after="0"/>
              <w:ind w:left="0" w:right="0" w:hanging="0"/>
              <w:jc w:val="center"/>
              <w:rPr/>
            </w:pPr>
            <w:r>
              <w:rPr/>
              <w:t> </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207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03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375" w:type="dxa"/>
            <w:tcBorders/>
            <w:vAlign w:val="center"/>
          </w:tcPr>
          <w:p>
            <w:pPr>
              <w:pStyle w:val="TableContents"/>
              <w:bidi w:val="0"/>
              <w:spacing w:lineRule="auto" w:line="285" w:before="0" w:after="0"/>
              <w:ind w:left="0" w:right="0" w:hanging="0"/>
              <w:jc w:val="center"/>
              <w:rPr/>
            </w:pPr>
            <w:r>
              <w:rPr/>
              <w:t>  ​ ​ ​</w:t>
            </w:r>
          </w:p>
        </w:tc>
        <w:tc>
          <w:tcPr>
            <w:tcW w:w="103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61" w:type="dxa"/>
            <w:tcBorders/>
            <w:vAlign w:val="center"/>
          </w:tcPr>
          <w:p>
            <w:pPr>
              <w:pStyle w:val="TableContents"/>
              <w:bidi w:val="0"/>
              <w:spacing w:lineRule="auto" w:line="285"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Change</w:t>
            </w:r>
          </w:p>
        </w:tc>
        <w:tc>
          <w:tcPr>
            <w:tcW w:w="346" w:type="dxa"/>
            <w:tcBorders/>
            <w:vAlign w:val="center"/>
          </w:tcPr>
          <w:p>
            <w:pPr>
              <w:pStyle w:val="TableContents"/>
              <w:bidi w:val="0"/>
              <w:spacing w:lineRule="auto" w:line="285" w:before="0" w:after="0"/>
              <w:ind w:left="0" w:right="0" w:hanging="0"/>
              <w:jc w:val="center"/>
              <w:rPr/>
            </w:pPr>
            <w:r>
              <w:rPr/>
              <w:t>  ​ ​ ​</w:t>
            </w:r>
          </w:p>
        </w:tc>
        <w:tc>
          <w:tcPr>
            <w:tcW w:w="97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Change</w:t>
            </w:r>
          </w:p>
        </w:tc>
        <w:tc>
          <w:tcPr>
            <w:tcW w:w="271" w:type="dxa"/>
            <w:tcBorders/>
            <w:vAlign w:val="center"/>
          </w:tcPr>
          <w:p>
            <w:pPr>
              <w:pStyle w:val="TableContents"/>
              <w:bidi w:val="0"/>
              <w:spacing w:lineRule="auto" w:line="285" w:before="0" w:after="0"/>
              <w:ind w:left="0" w:right="0" w:hanging="0"/>
              <w:jc w:val="center"/>
              <w:rPr/>
            </w:pPr>
            <w:r>
              <w:rPr/>
              <w:t> </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207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Revenue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9"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13"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745,773</w:t>
            </w:r>
          </w:p>
        </w:tc>
        <w:tc>
          <w:tcPr>
            <w:tcW w:w="375" w:type="dxa"/>
            <w:tcBorders/>
            <w:shd w:fill="CCEEFF" w:val="clear"/>
            <w:vAlign w:val="center"/>
          </w:tcPr>
          <w:p>
            <w:pPr>
              <w:pStyle w:val="TableContents"/>
              <w:bidi w:val="0"/>
              <w:spacing w:lineRule="auto" w:line="285" w:before="0" w:after="0"/>
              <w:ind w:left="0" w:right="0" w:hanging="0"/>
              <w:jc w:val="left"/>
              <w:rPr/>
            </w:pPr>
            <w:r>
              <w:rPr/>
              <w:t>​</w:t>
            </w:r>
          </w:p>
        </w:tc>
        <w:tc>
          <w:tcPr>
            <w:tcW w:w="219"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18"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826,013</w:t>
            </w:r>
          </w:p>
        </w:tc>
        <w:tc>
          <w:tcPr>
            <w:tcW w:w="361"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(80,240)</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97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(9.7)</w:t>
            </w:r>
          </w:p>
        </w:tc>
        <w:tc>
          <w:tcPr>
            <w:tcW w:w="27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r>
        <w:trPr/>
        <w:tc>
          <w:tcPr>
            <w:tcW w:w="207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Operating Income (loss)</w:t>
            </w:r>
          </w:p>
        </w:tc>
        <w:tc>
          <w:tcPr>
            <w:tcW w:w="346" w:type="dxa"/>
            <w:tcBorders/>
            <w:vAlign w:val="center"/>
          </w:tcPr>
          <w:p>
            <w:pPr>
              <w:pStyle w:val="TableContents"/>
              <w:bidi w:val="0"/>
              <w:spacing w:lineRule="auto" w:line="285" w:before="0" w:after="0"/>
              <w:ind w:left="0" w:right="0" w:hanging="0"/>
              <w:jc w:val="left"/>
              <w:rPr/>
            </w:pPr>
            <w:r>
              <w:rPr/>
              <w:t>​</w:t>
            </w:r>
          </w:p>
        </w:tc>
        <w:tc>
          <w:tcPr>
            <w:tcW w:w="219" w:type="dxa"/>
            <w:tcBorders/>
            <w:vAlign w:val="center"/>
          </w:tcPr>
          <w:p>
            <w:pPr>
              <w:pStyle w:val="TableContents"/>
              <w:bidi w:val="0"/>
              <w:spacing w:lineRule="auto" w:line="285" w:before="0" w:after="0"/>
              <w:ind w:left="0" w:right="0" w:hanging="0"/>
              <w:jc w:val="right"/>
              <w:rPr/>
            </w:pPr>
            <w:r>
              <w:rPr/>
              <w:t> </w:t>
            </w:r>
          </w:p>
        </w:tc>
        <w:tc>
          <w:tcPr>
            <w:tcW w:w="813"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21,441</w:t>
            </w:r>
          </w:p>
        </w:tc>
        <w:tc>
          <w:tcPr>
            <w:tcW w:w="375" w:type="dxa"/>
            <w:tcBorders/>
            <w:vAlign w:val="center"/>
          </w:tcPr>
          <w:p>
            <w:pPr>
              <w:pStyle w:val="TableContents"/>
              <w:bidi w:val="0"/>
              <w:spacing w:lineRule="auto" w:line="285" w:before="0" w:after="0"/>
              <w:ind w:left="0" w:right="0" w:hanging="0"/>
              <w:jc w:val="left"/>
              <w:rPr/>
            </w:pPr>
            <w:r>
              <w:rPr/>
              <w:t>​</w:t>
            </w:r>
          </w:p>
        </w:tc>
        <w:tc>
          <w:tcPr>
            <w:tcW w:w="219" w:type="dxa"/>
            <w:tcBorders/>
            <w:vAlign w:val="center"/>
          </w:tcPr>
          <w:p>
            <w:pPr>
              <w:pStyle w:val="TableContents"/>
              <w:bidi w:val="0"/>
              <w:spacing w:lineRule="auto" w:line="285" w:before="0" w:after="0"/>
              <w:ind w:left="0" w:right="0" w:hanging="0"/>
              <w:jc w:val="right"/>
              <w:rPr/>
            </w:pPr>
            <w:r>
              <w:rPr/>
              <w:t> </w:t>
            </w:r>
          </w:p>
        </w:tc>
        <w:tc>
          <w:tcPr>
            <w:tcW w:w="818"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25,792</w:t>
            </w:r>
          </w:p>
        </w:tc>
        <w:tc>
          <w:tcPr>
            <w:tcW w:w="361"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796"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(4,351)</w:t>
            </w:r>
          </w:p>
        </w:tc>
        <w:tc>
          <w:tcPr>
            <w:tcW w:w="346" w:type="dxa"/>
            <w:tcBorders/>
            <w:vAlign w:val="center"/>
          </w:tcPr>
          <w:p>
            <w:pPr>
              <w:pStyle w:val="TableContents"/>
              <w:bidi w:val="0"/>
              <w:spacing w:lineRule="auto" w:line="285" w:before="0" w:after="0"/>
              <w:ind w:left="0" w:right="0" w:hanging="0"/>
              <w:jc w:val="left"/>
              <w:rPr/>
            </w:pPr>
            <w:r>
              <w:rPr/>
              <w:t> </w:t>
            </w:r>
          </w:p>
        </w:tc>
        <w:tc>
          <w:tcPr>
            <w:tcW w:w="976"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(16.9)</w:t>
            </w:r>
          </w:p>
        </w:tc>
        <w:tc>
          <w:tcPr>
            <w:tcW w:w="27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07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Operating Margin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9" w:type="dxa"/>
            <w:tcBorders/>
            <w:shd w:fill="CCEEFF" w:val="clear"/>
            <w:vAlign w:val="center"/>
          </w:tcPr>
          <w:p>
            <w:pPr>
              <w:pStyle w:val="TableContents"/>
              <w:bidi w:val="0"/>
              <w:spacing w:lineRule="auto" w:line="285" w:before="0" w:after="0"/>
              <w:ind w:left="0" w:right="0" w:hanging="0"/>
              <w:jc w:val="right"/>
              <w:rPr/>
            </w:pPr>
            <w:r>
              <w:rPr/>
              <w:t> </w:t>
            </w:r>
          </w:p>
        </w:tc>
        <w:tc>
          <w:tcPr>
            <w:tcW w:w="813"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2.9</w:t>
            </w:r>
          </w:p>
        </w:tc>
        <w:tc>
          <w:tcPr>
            <w:tcW w:w="375"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  </w:t>
            </w:r>
          </w:p>
        </w:tc>
        <w:tc>
          <w:tcPr>
            <w:tcW w:w="219" w:type="dxa"/>
            <w:tcBorders/>
            <w:shd w:fill="CCEEFF" w:val="clear"/>
            <w:vAlign w:val="center"/>
          </w:tcPr>
          <w:p>
            <w:pPr>
              <w:pStyle w:val="TableContents"/>
              <w:bidi w:val="0"/>
              <w:spacing w:lineRule="auto" w:line="285" w:before="0" w:after="0"/>
              <w:ind w:left="0" w:right="0" w:hanging="0"/>
              <w:jc w:val="right"/>
              <w:rPr/>
            </w:pPr>
            <w:r>
              <w:rPr/>
              <w:t> </w:t>
            </w:r>
          </w:p>
        </w:tc>
        <w:tc>
          <w:tcPr>
            <w:tcW w:w="818"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3.1</w:t>
            </w:r>
          </w:p>
        </w:tc>
        <w:tc>
          <w:tcPr>
            <w:tcW w:w="36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  </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79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76" w:type="dxa"/>
            <w:tcBorders/>
            <w:shd w:fill="CCEEFF" w:val="clear"/>
            <w:vAlign w:val="center"/>
          </w:tcPr>
          <w:p>
            <w:pPr>
              <w:pStyle w:val="TableContents"/>
              <w:bidi w:val="0"/>
              <w:spacing w:lineRule="auto" w:line="285" w:before="0" w:after="0"/>
              <w:ind w:left="0" w:right="0" w:hanging="0"/>
              <w:jc w:val="right"/>
              <w:rPr/>
            </w:pPr>
            <w:r>
              <w:rPr/>
              <w:t>​</w:t>
            </w:r>
          </w:p>
        </w:tc>
        <w:tc>
          <w:tcPr>
            <w:tcW w:w="271" w:type="dxa"/>
            <w:tcBorders/>
            <w:shd w:fill="CCEEFF" w:val="clear"/>
            <w:vAlign w:val="center"/>
          </w:tcPr>
          <w:p>
            <w:pPr>
              <w:pStyle w:val="TableContents"/>
              <w:bidi w:val="0"/>
              <w:spacing w:lineRule="auto" w:line="285" w:before="0" w:after="0"/>
              <w:ind w:left="0" w:right="0" w:hanging="0"/>
              <w:jc w:val="left"/>
              <w:rPr/>
            </w:pPr>
            <w:r>
              <w:rPr/>
              <w:t>​</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both"/>
        <w:rPr>
          <w:shd w:fill="FFFF00" w:val="clear"/>
        </w:rPr>
      </w:pPr>
      <w:r>
        <w:rPr>
          <w:shd w:fill="FFFF00" w:val="clear"/>
        </w:rPr>
        <w:t>​</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decrease in revenue for the TTEC Engage segment is primarily due to client attrition and the absence of revenue from a short-term contract that was completed during the prior year period.</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change in operating income (loss) was primarily related to lower revenue which exceeded the benefit of reduced operating expenses. Included in operating income was amortization expense related to acquired intangibles of $8.1 million and $8.1 million for the six months ended June 30, 2026 and 2025, respectively.</w:t>
      </w:r>
    </w:p>
    <w:p>
      <w:pPr>
        <w:pStyle w:val="TextBody"/>
        <w:bidi w:val="0"/>
        <w:spacing w:lineRule="auto" w:line="285" w:before="0" w:after="120"/>
        <w:ind w:left="0" w:right="0" w:hanging="0"/>
        <w:jc w:val="both"/>
        <w:rPr>
          <w:rFonts w:ascii="Arial;Helvetica;sans-serif" w:hAnsi="Arial;Helvetica;sans-serif"/>
          <w:i/>
          <w:sz w:val="20"/>
        </w:rPr>
      </w:pPr>
      <w:r>
        <w:rPr>
          <w:rFonts w:ascii="Arial;Helvetica;sans-serif" w:hAnsi="Arial;Helvetica;sans-serif"/>
          <w:i/>
          <w:sz w:val="20"/>
        </w:rPr>
        <w:t>Interest Income (Expense)</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For the six months ended June 30, 2026 interest income decreased to $0.5 million from $7.8 million in the same period in 2025 due to $7.3 million of interest income on an aged VAT receivable during the six months period ended June 30, 2025. Interest expense decreased to $33.7 million during 2026 from $38.0 million during 2025 due to lower utilization and lower rates.</w:t>
      </w:r>
    </w:p>
    <w:p>
      <w:pPr>
        <w:pStyle w:val="TextBody"/>
        <w:bidi w:val="0"/>
        <w:spacing w:lineRule="auto" w:line="285" w:before="0" w:after="120"/>
        <w:ind w:left="0" w:right="0" w:hanging="0"/>
        <w:jc w:val="both"/>
        <w:rPr>
          <w:rFonts w:ascii="Arial;Helvetica;sans-serif" w:hAnsi="Arial;Helvetica;sans-serif"/>
          <w:i/>
          <w:sz w:val="20"/>
        </w:rPr>
      </w:pPr>
      <w:r>
        <w:rPr>
          <w:rFonts w:ascii="Arial;Helvetica;sans-serif" w:hAnsi="Arial;Helvetica;sans-serif"/>
          <w:i/>
          <w:sz w:val="20"/>
        </w:rPr>
        <w:t>Other Income (Expense)</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For the six months ended June 30, 2026 Other income (expense), net decreased to net income of $1.8 million from net income of $3.3 million during the prior year period.</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Included in the six months ended June 30, 2026 was a $1.3 million gain due to change in foreign currency rates.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Included in the six months ended June 30, 2025 was a $6.6 million gain related to a recovery of an aged VAT receivable.</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32</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120"/>
        <w:ind w:left="0" w:right="0" w:hanging="0"/>
        <w:jc w:val="both"/>
        <w:rPr>
          <w:rFonts w:ascii="Arial;Helvetica;sans-serif" w:hAnsi="Arial;Helvetica;sans-serif"/>
          <w:i/>
          <w:sz w:val="20"/>
        </w:rPr>
      </w:pPr>
      <w:r>
        <w:rPr>
          <w:rFonts w:ascii="Arial;Helvetica;sans-serif" w:hAnsi="Arial;Helvetica;sans-serif"/>
          <w:i/>
          <w:sz w:val="20"/>
        </w:rPr>
        <w:t>Income Taxes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effective tax rate for the six months ended June 30, 2026 was 920.4%. This compared to an effective tax rate of 121.6% for the comparable period of 2025. The effective tax rate for the six months ended June 30, 2026 is primarily driven by the distribution of income between the U.S. and international tax jurisdictions, earnings in international jurisdictions currently under an income tax holiday, foreign currency gains and losses, and the impact of valuation allowances in the United States and several other jurisdictions.</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Liquidity and Capital Resources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Our principal sources of liquidity are our cash generated from operations, our cash and cash equivalents, and borrowings under our Credit Facility. During the six months ended June 30, 2026, we generated operating cash flows of $78.9 million. We believe that our cash generated from operations, existing cash and cash equivalents, and available credit will be sufficient to meet expected operating and capital expenditure requirements for the next 12 months. However, if our access to capital is restricted or our borrowing costs increase, our operations and financial condition could be adversely impacted.</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On August 7, 2026, we entered into the Eleventh Amendment to our Credit Agreement, which reduced our revolving credit facility commitment to $975.0 million, increased the SOFR credit margin from 3.00% to 3.25% through September 30, 2026, and from 6.00% to 6.25% thereafter, expanded the collateral and guarantee package (including certain assets of certain foreign subsidiaries and equity interests therein), and imposed additional restrictions on indebtedness, liens, investments, dispositions, acquisitions, and restricted payments. At the same time, the Eleventh Amendment eased certain of our financial covenants, increasing the maximum permitted net leverage ratio to up to 4.25 in fiscal 2026 and up to 4.00 in fiscal 2027 and reducing the minimum required interest coverage ratio to 2.00 in fiscal 2027, which we believe provides additional covenant compliance headroom necessary to operate the business.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 xml:space="preserve">The Company’s actual net leverage ratio of 3.85 as of June 30, 2026 exceeded the 3.75 maximum net leverage ratio then applicable to the quarter under the Tenth Amendment. To secure compliance with net leverage ratio for the quarter ended June 30, 2026, on July 15, 2026, prior to finalizing our financial statements for the quarter, we obtained a waiver, of the maximum net leverage ratio covenant for the quarter. </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We are also in discussions with our lender group regarding a potential extension of the maturity of the Credit Facility beyond 2027. We believe these amended terms, together with the covenant relief described above, will support our liquidity and covenant compliance over the next twelve months.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We manage a centralized global treasury function in the United States with a focus on safeguarding and optimizing the use of our global cash and cash equivalents. Our cash is held in the U.S. in U.S. dollars, and outside of the U.S. in U.S. dollars and foreign currencies. We expect to use our cash to fund working capital, global operations, dividends, acquisitions, and other strategic activities. While there are no assurances, we believe our global cash is well protected given our cash management practices, banking partners and utilization of diversified bank deposit accounts and other high-quality investments.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We have global operations that expose us to foreign currency exchange rate fluctuations that may positively or negatively impact our liquidity. To mitigate these risks, we enter into foreign exchange forward and option contracts through our cash flow hedging program. Please refer to Part I, Item 3. Quantitative and Qualitative Disclosures About Market Risk, Foreign Currency Risk, for further discussion. We are also exposed to interest rate fluctuations associated with our variable rate debt.</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following discussion highlights our cash flow activities during the six months ended June 30, 2026 and 2025.</w:t>
      </w:r>
    </w:p>
    <w:p>
      <w:pPr>
        <w:pStyle w:val="TextBody"/>
        <w:bidi w:val="0"/>
        <w:spacing w:lineRule="auto" w:line="285" w:before="0" w:after="120"/>
        <w:ind w:left="0" w:right="0" w:hanging="0"/>
        <w:jc w:val="both"/>
        <w:rPr>
          <w:rFonts w:ascii="Arial;Helvetica;sans-serif" w:hAnsi="Arial;Helvetica;sans-serif"/>
          <w:i/>
          <w:sz w:val="20"/>
        </w:rPr>
      </w:pPr>
      <w:r>
        <w:rPr>
          <w:rFonts w:ascii="Arial;Helvetica;sans-serif" w:hAnsi="Arial;Helvetica;sans-serif"/>
          <w:i/>
          <w:sz w:val="20"/>
        </w:rPr>
        <w:t>Cash and Cash Equivalents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 xml:space="preserve">We consider all liquid investments purchased within three months of their original maturity to be cash equivalents. Our cash and cash equivalents totaled $93.9 million and $82.9 million as of June 30, 2026 and December 31, 2025, respectively. </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We reinvest our cash flows to grow our client base, expand our infrastructure, invest in research and development, make strategic acquisitions and to pay dividends.</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33</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120"/>
        <w:ind w:left="0" w:right="0" w:hanging="0"/>
        <w:jc w:val="both"/>
        <w:rPr>
          <w:rFonts w:ascii="Arial;Helvetica;sans-serif" w:hAnsi="Arial;Helvetica;sans-serif"/>
          <w:i/>
          <w:sz w:val="20"/>
        </w:rPr>
      </w:pPr>
      <w:r>
        <w:rPr>
          <w:rFonts w:ascii="Arial;Helvetica;sans-serif" w:hAnsi="Arial;Helvetica;sans-serif"/>
          <w:i/>
          <w:sz w:val="20"/>
        </w:rPr>
        <w:t>Cash Flows from Operating Activities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 xml:space="preserve">For the six months ended June 30, 2026 and 2025, net cash flows provided by operating activities was $78.9 million and $114.3 million, respectively. The decrease is primarily due to a $21.6 million decrease in net cash income from operations and a $13.8 million decrease in net working capital. </w:t>
      </w:r>
    </w:p>
    <w:p>
      <w:pPr>
        <w:pStyle w:val="TextBody"/>
        <w:bidi w:val="0"/>
        <w:spacing w:lineRule="auto" w:line="285" w:before="0" w:after="120"/>
        <w:ind w:left="0" w:right="0" w:hanging="0"/>
        <w:jc w:val="both"/>
        <w:rPr>
          <w:rFonts w:ascii="Arial;Helvetica;sans-serif" w:hAnsi="Arial;Helvetica;sans-serif"/>
          <w:i/>
          <w:sz w:val="20"/>
        </w:rPr>
      </w:pPr>
      <w:r>
        <w:rPr>
          <w:rFonts w:ascii="Arial;Helvetica;sans-serif" w:hAnsi="Arial;Helvetica;sans-serif"/>
          <w:i/>
          <w:sz w:val="20"/>
        </w:rPr>
        <w:t>Cash Flows from Investing Activities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For the six months ended June 30, 2026 and 2025, net cash flows used in investing activities was $17.6 million and $12.4 million, respectively. The increase was primarily due to a $6.5 million increase in capital expenditures.</w:t>
      </w:r>
    </w:p>
    <w:p>
      <w:pPr>
        <w:pStyle w:val="TextBody"/>
        <w:bidi w:val="0"/>
        <w:spacing w:lineRule="auto" w:line="285" w:before="0" w:after="120"/>
        <w:ind w:left="0" w:right="0" w:hanging="0"/>
        <w:jc w:val="both"/>
        <w:rPr>
          <w:rFonts w:ascii="Arial;Helvetica;sans-serif" w:hAnsi="Arial;Helvetica;sans-serif"/>
          <w:i/>
          <w:sz w:val="20"/>
        </w:rPr>
      </w:pPr>
      <w:r>
        <w:rPr>
          <w:rFonts w:ascii="Arial;Helvetica;sans-serif" w:hAnsi="Arial;Helvetica;sans-serif"/>
          <w:i/>
          <w:sz w:val="20"/>
        </w:rPr>
        <w:t>Cash Flows from Financing Activities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For the six months ended June 30, 2026 and 2025, net cash flows used in financing activities was $51.4 million and $98.9 million, respectively. The change in net cash flows from 2025 to 2026 was primarily due to a $42.5 million net change in the line of credit.</w:t>
      </w:r>
    </w:p>
    <w:p>
      <w:pPr>
        <w:pStyle w:val="TextBody"/>
        <w:bidi w:val="0"/>
        <w:spacing w:lineRule="auto" w:line="285" w:before="0" w:after="120"/>
        <w:ind w:left="0" w:right="0" w:hanging="0"/>
        <w:jc w:val="both"/>
        <w:rPr>
          <w:rFonts w:ascii="Arial;Helvetica;sans-serif" w:hAnsi="Arial;Helvetica;sans-serif"/>
          <w:i/>
          <w:sz w:val="20"/>
        </w:rPr>
      </w:pPr>
      <w:r>
        <w:rPr>
          <w:rFonts w:ascii="Arial;Helvetica;sans-serif" w:hAnsi="Arial;Helvetica;sans-serif"/>
          <w:i/>
          <w:sz w:val="20"/>
        </w:rPr>
        <w:t>Free Cash Flow</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Free cash flow (see “Presentation of Non-GAAP Measurements” below for the definition of free cash flow) decreased for the six months ended June 30, 2026 compared to the six months ended June 30, 2025 primarily due to a decrease in net working capital and cash from operations. Free cash flow was $59.8 million and $101.7 million for the six months ended June 30, 2026 and 2025, respectively.</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Presentation of Non-GAAP Measurements</w:t>
      </w:r>
    </w:p>
    <w:p>
      <w:pPr>
        <w:pStyle w:val="TextBody"/>
        <w:bidi w:val="0"/>
        <w:spacing w:lineRule="auto" w:line="285" w:before="0" w:after="120"/>
        <w:ind w:left="0" w:right="0" w:hanging="0"/>
        <w:jc w:val="both"/>
        <w:rPr>
          <w:rFonts w:ascii="Arial;Helvetica;sans-serif" w:hAnsi="Arial;Helvetica;sans-serif"/>
          <w:i/>
          <w:sz w:val="20"/>
        </w:rPr>
      </w:pPr>
      <w:r>
        <w:rPr>
          <w:rFonts w:ascii="Arial;Helvetica;sans-serif" w:hAnsi="Arial;Helvetica;sans-serif"/>
          <w:i/>
          <w:sz w:val="20"/>
        </w:rPr>
        <w:t>Free Cash Flow</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Free cash flow is a non-GAAP liquidity measurement. We believe that free cash flow is useful to our investors because it measures, during a given period, the amount of cash generated that is available for debt obligations and investments other than purchases of property, plant and equipment. Free cash flow is not a measure determined by GAAP and should not be considered a substitute for “income from operations,” “net income,” “net cash provided by operating activities,” or any other measure determined in accordance with GAAP. We believe this non-GAAP liquidity measure is useful, in addition to the most directly comparable GAAP measure of “net cash provided by operating activities,” because free cash flow includes investments in operational assets. Free cash flow does not represent residual cash available for discretionary expenditures, since it includes cash required for debt service. Free cash flow also includes cash that may be necessary for acquisitions, investments and other needs that may arise.</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 following table reconciles net cash provided by operating activities to free cash flow for our consolidated results (in thousands):</w:t>
      </w:r>
    </w:p>
    <w:tbl>
      <w:tblPr>
        <w:tblW w:w="10002" w:type="dxa"/>
        <w:jc w:val="left"/>
        <w:tblInd w:w="0" w:type="dxa"/>
        <w:tblLayout w:type="fixed"/>
        <w:tblCellMar>
          <w:top w:w="0" w:type="dxa"/>
          <w:left w:w="0" w:type="dxa"/>
          <w:bottom w:w="0" w:type="dxa"/>
          <w:right w:w="0" w:type="dxa"/>
        </w:tblCellMar>
      </w:tblPr>
      <w:tblGrid>
        <w:gridCol w:w="4156"/>
        <w:gridCol w:w="346"/>
        <w:gridCol w:w="265"/>
        <w:gridCol w:w="851"/>
        <w:gridCol w:w="435"/>
        <w:gridCol w:w="265"/>
        <w:gridCol w:w="851"/>
        <w:gridCol w:w="346"/>
        <w:gridCol w:w="219"/>
        <w:gridCol w:w="707"/>
        <w:gridCol w:w="362"/>
        <w:gridCol w:w="219"/>
        <w:gridCol w:w="817"/>
        <w:gridCol w:w="163"/>
      </w:tblGrid>
      <w:tr>
        <w:trPr/>
        <w:tc>
          <w:tcPr>
            <w:tcW w:w="4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639060" cy="175260"/>
                      <wp:effectExtent l="0" t="0" r="0" b="0"/>
                      <wp:wrapNone/>
                      <wp:docPr id="455" name="Frame455"/>
                      <a:graphic xmlns:a="http://schemas.openxmlformats.org/drawingml/2006/main">
                        <a:graphicData uri="http://schemas.microsoft.com/office/word/2010/wordprocessingShape">
                          <wps:wsp>
                            <wps:cNvSpPr txBox="1"/>
                            <wps:spPr>
                              <a:xfrm>
                                <a:off x="0" y="0"/>
                                <a:ext cx="26390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19710" cy="175260"/>
                      <wp:effectExtent l="0" t="0" r="0" b="0"/>
                      <wp:wrapNone/>
                      <wp:docPr id="456" name="Frame4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168275" cy="175260"/>
                      <wp:effectExtent l="0" t="0" r="0" b="0"/>
                      <wp:wrapNone/>
                      <wp:docPr id="457" name="Frame457"/>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540385" cy="175260"/>
                      <wp:effectExtent l="0" t="0" r="0" b="0"/>
                      <wp:wrapNone/>
                      <wp:docPr id="458" name="Frame458"/>
                      <a:graphic xmlns:a="http://schemas.openxmlformats.org/drawingml/2006/main">
                        <a:graphicData uri="http://schemas.microsoft.com/office/word/2010/wordprocessingShape">
                          <wps:wsp>
                            <wps:cNvSpPr txBox="1"/>
                            <wps:spPr>
                              <a:xfrm>
                                <a:off x="0" y="0"/>
                                <a:ext cx="5403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276225" cy="175260"/>
                      <wp:effectExtent l="0" t="0" r="0" b="0"/>
                      <wp:wrapNone/>
                      <wp:docPr id="459" name="Frame459"/>
                      <a:graphic xmlns:a="http://schemas.openxmlformats.org/drawingml/2006/main">
                        <a:graphicData uri="http://schemas.microsoft.com/office/word/2010/wordprocessingShape">
                          <wps:wsp>
                            <wps:cNvSpPr txBox="1"/>
                            <wps:spPr>
                              <a:xfrm>
                                <a:off x="0" y="0"/>
                                <a:ext cx="2762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168275" cy="175260"/>
                      <wp:effectExtent l="0" t="0" r="0" b="0"/>
                      <wp:wrapNone/>
                      <wp:docPr id="460" name="Frame460"/>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540385" cy="175260"/>
                      <wp:effectExtent l="0" t="0" r="0" b="0"/>
                      <wp:wrapNone/>
                      <wp:docPr id="461" name="Frame461"/>
                      <a:graphic xmlns:a="http://schemas.openxmlformats.org/drawingml/2006/main">
                        <a:graphicData uri="http://schemas.microsoft.com/office/word/2010/wordprocessingShape">
                          <wps:wsp>
                            <wps:cNvSpPr txBox="1"/>
                            <wps:spPr>
                              <a:xfrm>
                                <a:off x="0" y="0"/>
                                <a:ext cx="5403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19710" cy="175260"/>
                      <wp:effectExtent l="0" t="0" r="0" b="0"/>
                      <wp:wrapNone/>
                      <wp:docPr id="462" name="Frame4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139065" cy="175260"/>
                      <wp:effectExtent l="0" t="0" r="0" b="0"/>
                      <wp:wrapNone/>
                      <wp:docPr id="463" name="Frame463"/>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448945" cy="175260"/>
                      <wp:effectExtent l="0" t="0" r="0" b="0"/>
                      <wp:wrapNone/>
                      <wp:docPr id="464" name="Frame464"/>
                      <a:graphic xmlns:a="http://schemas.openxmlformats.org/drawingml/2006/main">
                        <a:graphicData uri="http://schemas.microsoft.com/office/word/2010/wordprocessingShape">
                          <wps:wsp>
                            <wps:cNvSpPr txBox="1"/>
                            <wps:spPr>
                              <a:xfrm>
                                <a:off x="0" y="0"/>
                                <a:ext cx="4489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29870" cy="175260"/>
                      <wp:effectExtent l="0" t="0" r="0" b="0"/>
                      <wp:wrapNone/>
                      <wp:docPr id="465" name="Frame465"/>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139065" cy="175260"/>
                      <wp:effectExtent l="0" t="0" r="0" b="0"/>
                      <wp:wrapNone/>
                      <wp:docPr id="466" name="Frame466"/>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518795" cy="175260"/>
                      <wp:effectExtent l="0" t="0" r="0" b="0"/>
                      <wp:wrapNone/>
                      <wp:docPr id="467" name="Frame467"/>
                      <a:graphic xmlns:a="http://schemas.openxmlformats.org/drawingml/2006/main">
                        <a:graphicData uri="http://schemas.microsoft.com/office/word/2010/wordprocessingShape">
                          <wps:wsp>
                            <wps:cNvSpPr txBox="1"/>
                            <wps:spPr>
                              <a:xfrm>
                                <a:off x="0" y="0"/>
                                <a:ext cx="5187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103505" cy="175260"/>
                      <wp:effectExtent l="0" t="0" r="0" b="0"/>
                      <wp:wrapNone/>
                      <wp:docPr id="468" name="Frame468"/>
                      <a:graphic xmlns:a="http://schemas.openxmlformats.org/drawingml/2006/main">
                        <a:graphicData uri="http://schemas.microsoft.com/office/word/2010/wordprocessingShape">
                          <wps:wsp>
                            <wps:cNvSpPr txBox="1"/>
                            <wps:spPr>
                              <a:xfrm>
                                <a:off x="0" y="0"/>
                                <a:ext cx="1035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15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2667"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xml:space="preserve">Three Months Ended June 30, </w:t>
            </w:r>
          </w:p>
        </w:tc>
        <w:tc>
          <w:tcPr>
            <w:tcW w:w="346" w:type="dxa"/>
            <w:tcBorders/>
            <w:vAlign w:val="center"/>
          </w:tcPr>
          <w:p>
            <w:pPr>
              <w:pStyle w:val="TableContents"/>
              <w:bidi w:val="0"/>
              <w:spacing w:lineRule="auto" w:line="285" w:before="0" w:after="0"/>
              <w:ind w:left="0" w:right="0" w:hanging="0"/>
              <w:jc w:val="center"/>
              <w:rPr/>
            </w:pPr>
            <w:r>
              <w:rPr/>
              <w:t>​</w:t>
            </w:r>
          </w:p>
        </w:tc>
        <w:tc>
          <w:tcPr>
            <w:tcW w:w="2487" w:type="dxa"/>
            <w:gridSpan w:val="6"/>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xml:space="preserve">Six Months Ended June 30, </w:t>
            </w:r>
          </w:p>
        </w:tc>
      </w:tr>
      <w:tr>
        <w:trPr/>
        <w:tc>
          <w:tcPr>
            <w:tcW w:w="415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1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435" w:type="dxa"/>
            <w:tcBorders/>
            <w:vAlign w:val="center"/>
          </w:tcPr>
          <w:p>
            <w:pPr>
              <w:pStyle w:val="TableContents"/>
              <w:bidi w:val="0"/>
              <w:spacing w:lineRule="auto" w:line="285" w:before="0" w:after="0"/>
              <w:ind w:left="0" w:right="0" w:hanging="0"/>
              <w:jc w:val="center"/>
              <w:rPr/>
            </w:pPr>
            <w:r>
              <w:rPr/>
              <w:t>  ​ ​ ​</w:t>
            </w:r>
          </w:p>
        </w:tc>
        <w:tc>
          <w:tcPr>
            <w:tcW w:w="11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46" w:type="dxa"/>
            <w:tcBorders/>
            <w:vAlign w:val="center"/>
          </w:tcPr>
          <w:p>
            <w:pPr>
              <w:pStyle w:val="TableContents"/>
              <w:bidi w:val="0"/>
              <w:spacing w:lineRule="auto" w:line="285" w:before="0" w:after="0"/>
              <w:ind w:left="0" w:right="0" w:hanging="0"/>
              <w:jc w:val="center"/>
              <w:rPr/>
            </w:pPr>
            <w:r>
              <w:rPr/>
              <w:t>  ​ ​ ​</w:t>
            </w:r>
          </w:p>
        </w:tc>
        <w:tc>
          <w:tcPr>
            <w:tcW w:w="92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362" w:type="dxa"/>
            <w:tcBorders/>
            <w:vAlign w:val="center"/>
          </w:tcPr>
          <w:p>
            <w:pPr>
              <w:pStyle w:val="TableContents"/>
              <w:bidi w:val="0"/>
              <w:spacing w:lineRule="auto" w:line="285" w:before="0" w:after="0"/>
              <w:ind w:left="0" w:right="0" w:hanging="0"/>
              <w:jc w:val="center"/>
              <w:rPr/>
            </w:pPr>
            <w:r>
              <w:rPr/>
              <w:t>  ​ ​ ​</w:t>
            </w:r>
          </w:p>
        </w:tc>
        <w:tc>
          <w:tcPr>
            <w:tcW w:w="103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163" w:type="dxa"/>
            <w:tcBorders/>
            <w:vAlign w:val="center"/>
          </w:tcPr>
          <w:p>
            <w:pPr>
              <w:pStyle w:val="TableContents"/>
              <w:bidi w:val="0"/>
              <w:spacing w:lineRule="auto" w:line="285" w:before="0" w:after="0"/>
              <w:ind w:left="0" w:right="0" w:hanging="0"/>
              <w:jc w:val="center"/>
              <w:rPr/>
            </w:pPr>
            <w:r>
              <w:rPr/>
              <w:t>​</w:t>
            </w:r>
          </w:p>
        </w:tc>
      </w:tr>
      <w:tr>
        <w:trPr/>
        <w:tc>
          <w:tcPr>
            <w:tcW w:w="415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Net cash provided by operating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5"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5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51,341</w:t>
            </w:r>
          </w:p>
        </w:tc>
        <w:tc>
          <w:tcPr>
            <w:tcW w:w="435" w:type="dxa"/>
            <w:tcBorders/>
            <w:shd w:fill="CCEEFF" w:val="clear"/>
            <w:vAlign w:val="center"/>
          </w:tcPr>
          <w:p>
            <w:pPr>
              <w:pStyle w:val="TableContents"/>
              <w:bidi w:val="0"/>
              <w:spacing w:lineRule="auto" w:line="285" w:before="0" w:after="0"/>
              <w:ind w:left="0" w:right="0" w:hanging="0"/>
              <w:jc w:val="left"/>
              <w:rPr/>
            </w:pPr>
            <w:r>
              <w:rPr/>
              <w:t>​</w:t>
            </w:r>
          </w:p>
        </w:tc>
        <w:tc>
          <w:tcPr>
            <w:tcW w:w="265"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5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92,709</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219"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07"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78,876</w:t>
            </w:r>
          </w:p>
        </w:tc>
        <w:tc>
          <w:tcPr>
            <w:tcW w:w="362" w:type="dxa"/>
            <w:tcBorders/>
            <w:shd w:fill="CCEEFF" w:val="clear"/>
            <w:vAlign w:val="center"/>
          </w:tcPr>
          <w:p>
            <w:pPr>
              <w:pStyle w:val="TableContents"/>
              <w:bidi w:val="0"/>
              <w:spacing w:lineRule="auto" w:line="285" w:before="0" w:after="0"/>
              <w:ind w:left="0" w:right="0" w:hanging="0"/>
              <w:jc w:val="left"/>
              <w:rPr/>
            </w:pPr>
            <w:r>
              <w:rPr/>
              <w:t>​</w:t>
            </w:r>
          </w:p>
        </w:tc>
        <w:tc>
          <w:tcPr>
            <w:tcW w:w="219"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17"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114,301</w:t>
            </w:r>
          </w:p>
        </w:tc>
        <w:tc>
          <w:tcPr>
            <w:tcW w:w="163" w:type="dxa"/>
            <w:tcBorders/>
            <w:shd w:fill="CCEEFF" w:val="clear"/>
            <w:vAlign w:val="center"/>
          </w:tcPr>
          <w:p>
            <w:pPr>
              <w:pStyle w:val="TableContents"/>
              <w:bidi w:val="0"/>
              <w:spacing w:lineRule="auto" w:line="285" w:before="0" w:after="0"/>
              <w:ind w:left="0" w:right="0" w:hanging="0"/>
              <w:jc w:val="left"/>
              <w:rPr/>
            </w:pPr>
            <w:r>
              <w:rPr/>
              <w:t>​</w:t>
            </w:r>
          </w:p>
        </w:tc>
      </w:tr>
      <w:tr>
        <w:trPr/>
        <w:tc>
          <w:tcPr>
            <w:tcW w:w="415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Less: Purchases of property, plant and equipment</w:t>
            </w:r>
          </w:p>
        </w:tc>
        <w:tc>
          <w:tcPr>
            <w:tcW w:w="346" w:type="dxa"/>
            <w:tcBorders/>
            <w:vAlign w:val="center"/>
          </w:tcPr>
          <w:p>
            <w:pPr>
              <w:pStyle w:val="TableContents"/>
              <w:bidi w:val="0"/>
              <w:spacing w:lineRule="auto" w:line="285"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85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12,640</w:t>
            </w:r>
          </w:p>
        </w:tc>
        <w:tc>
          <w:tcPr>
            <w:tcW w:w="435" w:type="dxa"/>
            <w:tcBorders/>
            <w:vAlign w:val="center"/>
          </w:tcPr>
          <w:p>
            <w:pPr>
              <w:pStyle w:val="TableContents"/>
              <w:bidi w:val="0"/>
              <w:spacing w:lineRule="auto" w:line="285"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85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7,181</w:t>
            </w:r>
          </w:p>
        </w:tc>
        <w:tc>
          <w:tcPr>
            <w:tcW w:w="346" w:type="dxa"/>
            <w:tcBorders/>
            <w:vAlign w:val="center"/>
          </w:tcPr>
          <w:p>
            <w:pPr>
              <w:pStyle w:val="TableContents"/>
              <w:bidi w:val="0"/>
              <w:spacing w:lineRule="auto" w:line="285" w:before="0" w:after="0"/>
              <w:ind w:left="0" w:right="0" w:hanging="0"/>
              <w:jc w:val="right"/>
              <w:rPr/>
            </w:pPr>
            <w:r>
              <w:rPr/>
              <w:t>​</w:t>
            </w:r>
          </w:p>
        </w:tc>
        <w:tc>
          <w:tcPr>
            <w:tcW w:w="21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70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19,040</w:t>
            </w:r>
          </w:p>
        </w:tc>
        <w:tc>
          <w:tcPr>
            <w:tcW w:w="362" w:type="dxa"/>
            <w:tcBorders/>
            <w:vAlign w:val="center"/>
          </w:tcPr>
          <w:p>
            <w:pPr>
              <w:pStyle w:val="TableContents"/>
              <w:bidi w:val="0"/>
              <w:spacing w:lineRule="auto" w:line="285"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81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12,587</w:t>
            </w:r>
          </w:p>
        </w:tc>
        <w:tc>
          <w:tcPr>
            <w:tcW w:w="163" w:type="dxa"/>
            <w:tcBorders/>
            <w:vAlign w:val="center"/>
          </w:tcPr>
          <w:p>
            <w:pPr>
              <w:pStyle w:val="TableContents"/>
              <w:bidi w:val="0"/>
              <w:spacing w:lineRule="auto" w:line="285" w:before="0" w:after="0"/>
              <w:ind w:left="0" w:right="0" w:hanging="0"/>
              <w:jc w:val="left"/>
              <w:rPr/>
            </w:pPr>
            <w:r>
              <w:rPr/>
              <w:t>​</w:t>
            </w:r>
          </w:p>
        </w:tc>
      </w:tr>
      <w:tr>
        <w:trPr/>
        <w:tc>
          <w:tcPr>
            <w:tcW w:w="415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Free cash flow</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5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38,701</w:t>
            </w:r>
          </w:p>
        </w:tc>
        <w:tc>
          <w:tcPr>
            <w:tcW w:w="435" w:type="dxa"/>
            <w:tcBorders/>
            <w:shd w:fill="CCEEFF" w:val="clear"/>
            <w:vAlign w:val="center"/>
          </w:tcPr>
          <w:p>
            <w:pPr>
              <w:pStyle w:val="TableContents"/>
              <w:bidi w:val="0"/>
              <w:spacing w:lineRule="auto" w:line="285" w:before="0" w:after="0"/>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5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85,528</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21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0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59,836</w:t>
            </w:r>
          </w:p>
        </w:tc>
        <w:tc>
          <w:tcPr>
            <w:tcW w:w="362" w:type="dxa"/>
            <w:tcBorders/>
            <w:shd w:fill="CCEEFF" w:val="clear"/>
            <w:vAlign w:val="center"/>
          </w:tcPr>
          <w:p>
            <w:pPr>
              <w:pStyle w:val="TableContents"/>
              <w:bidi w:val="0"/>
              <w:spacing w:lineRule="auto" w:line="285" w:before="0" w:after="0"/>
              <w:ind w:left="0" w:right="0" w:hanging="0"/>
              <w:jc w:val="left"/>
              <w:rPr/>
            </w:pPr>
            <w:r>
              <w:rPr/>
              <w:t>​</w:t>
            </w:r>
          </w:p>
        </w:tc>
        <w:tc>
          <w:tcPr>
            <w:tcW w:w="21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1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101,714</w:t>
            </w:r>
          </w:p>
        </w:tc>
        <w:tc>
          <w:tcPr>
            <w:tcW w:w="163"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Obligations and Future Capital Requirements</w:t>
      </w:r>
    </w:p>
    <w:p>
      <w:pPr>
        <w:pStyle w:val="TextBody"/>
        <w:bidi w:val="0"/>
        <w:spacing w:lineRule="auto" w:line="285" w:before="0" w:after="120"/>
        <w:ind w:left="0" w:right="0" w:hanging="0"/>
        <w:jc w:val="both"/>
        <w:rPr/>
      </w:pPr>
      <w:r>
        <w:rPr>
          <w:rFonts w:ascii="Arial;Helvetica;sans-serif" w:hAnsi="Arial;Helvetica;sans-serif"/>
          <w:sz w:val="20"/>
        </w:rPr>
        <w:t xml:space="preserve">There were no material changes to the Company’s contractual obligations and future capital requirements outside the normal course of business from the date of our 2025 </w:t>
      </w:r>
      <w:hyperlink r:id="rId8">
        <w:r>
          <w:rPr>
            <w:rStyle w:val="InternetLink"/>
            <w:rFonts w:ascii="Arial;Helvetica;sans-serif" w:hAnsi="Arial;Helvetica;sans-serif"/>
            <w:b w:val="false"/>
            <w:i w:val="false"/>
            <w:caps w:val="false"/>
            <w:smallCaps w:val="false"/>
            <w:sz w:val="20"/>
          </w:rPr>
          <w:t>Form 10-K</w:t>
        </w:r>
      </w:hyperlink>
      <w:r>
        <w:rPr>
          <w:rFonts w:ascii="Arial;Helvetica;sans-serif" w:hAnsi="Arial;Helvetica;sans-serif"/>
          <w:sz w:val="20"/>
        </w:rPr>
        <w:t xml:space="preserve"> filing on February 26, 2026 through the filing of this report.</w:t>
      </w:r>
    </w:p>
    <w:p>
      <w:pPr>
        <w:pStyle w:val="TextBody"/>
        <w:bidi w:val="0"/>
        <w:spacing w:lineRule="auto" w:line="285" w:before="0" w:after="120"/>
        <w:ind w:left="0" w:right="0" w:hanging="0"/>
        <w:jc w:val="both"/>
        <w:rPr>
          <w:rFonts w:ascii="Arial;Helvetica;sans-serif" w:hAnsi="Arial;Helvetica;sans-serif"/>
          <w:i/>
          <w:sz w:val="20"/>
        </w:rPr>
      </w:pPr>
      <w:r>
        <w:rPr>
          <w:rFonts w:ascii="Arial;Helvetica;sans-serif" w:hAnsi="Arial;Helvetica;sans-serif"/>
          <w:i/>
          <w:sz w:val="20"/>
        </w:rPr>
        <w:t>Future Capital Requirements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We expect total capital expenditures in 2026 to be between 1.9% and 2.1% of revenue. Approximately 60% of these expected capital expenditures are to support growth in our business and 40% relate to the maintenance for existing assets. The anticipated level of 2026 capital expenditures are primarily driven by facility refreshes and maintenance, site optimizations, IT network modernization and PC refreshes, digital product development and ongoing site expansions/new sites but not at the same level as the prior year.</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34</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amount of capital required over the next 12 months will depend on our levels of investment in infrastructure necessary to maintain, upgrade or replace existing assets. Our working capital and capital expenditure requirements could also increase materially in the event of acquisitions or joint ventures, among other factors. These factors could require that we raise additional capital through future debt or equity financing. We can provide no assurance that we will be able to raise additional capital upon commercially reasonable terms acceptable to us.</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Client Concentration</w:t>
      </w:r>
    </w:p>
    <w:p>
      <w:pPr>
        <w:pStyle w:val="TextBody"/>
        <w:bidi w:val="0"/>
        <w:spacing w:lineRule="auto" w:line="285" w:before="0" w:after="120"/>
        <w:ind w:left="0" w:right="0" w:hanging="0"/>
        <w:jc w:val="both"/>
        <w:rPr>
          <w:rFonts w:ascii="Arial;Helvetica;sans-serif" w:hAnsi="Arial;Helvetica;sans-serif"/>
          <w:sz w:val="20"/>
        </w:rPr>
      </w:pPr>
      <w:bookmarkStart w:id="1757" w:name="_Hlk519679118"/>
      <w:bookmarkEnd w:id="1757"/>
      <w:r>
        <w:rPr>
          <w:rFonts w:ascii="Arial;Helvetica;sans-serif" w:hAnsi="Arial;Helvetica;sans-serif"/>
          <w:sz w:val="20"/>
        </w:rPr>
        <w:t>During the six months ended June 30, 2026 and 2025, one of our clients represented more than 10% of our total revenue. Our five largest clients, collectively, accounted for 34.7% and 32.2% of our consolidated revenue for the three months ended June 30, 2026 and 2025, respectively, and 34.0% and 31.3% of our consolidated revenue for the six months ended June 30, 2026 and 2025, respectively. We have had long-term relationships with our top five TTEC Engage clients, ranging from 6 to 26 years, with all of these clients having completed multiple contract renewals with us. The relative contribution of any single client to consolidated earnings is not always proportional to the relative revenue contribution on a consolidated basis and varies greatly based upon specific contract terms. In addition, clients may adjust business volumes served by us based on their business requirements. We believe the risk of this concentration is mitigated, in part, by the long-term contracts we have with our largest clients. Although certain client contracts may be terminated for convenience by either party, we believe this risk is mitigated, in part, by the service level disruptions and transition/migration costs that would arise for our clients if they terminated our contract for convenience.</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Some of the contracts with our five largest clients expire between 2026 and 2029, but many of our largest clients have multiple contracts with us with different expiration dates for different lines of work. We have historically renewed most of our contracts with our largest clients, but there can be no assurance that future contracts will be renewed or, if renewed, will be on terms as favorable as the existing contracts.</w:t>
      </w:r>
    </w:p>
    <w:p>
      <w:pPr>
        <w:pStyle w:val="TextBody"/>
        <w:bidi w:val="0"/>
        <w:spacing w:lineRule="auto" w:line="285" w:before="0" w:after="120"/>
        <w:ind w:left="0" w:right="0" w:hanging="0"/>
        <w:jc w:val="center"/>
        <w:rPr>
          <w:rFonts w:ascii="Arial;Helvetica;sans-serif" w:hAnsi="Arial;Helvetica;sans-serif"/>
          <w:b/>
          <w:sz w:val="20"/>
        </w:rPr>
      </w:pPr>
      <w:bookmarkStart w:id="1758" w:name="ITEM3_QUANTITATIVEANDQUALITATIVE_034322"/>
      <w:bookmarkStart w:id="1759" w:name="_ec2bc1c9_ff76_410b_b019_5d1fbbdf4e64"/>
      <w:bookmarkEnd w:id="1758"/>
      <w:bookmarkEnd w:id="1759"/>
      <w:r>
        <w:rPr>
          <w:rFonts w:ascii="Arial;Helvetica;sans-serif" w:hAnsi="Arial;Helvetica;sans-serif"/>
          <w:b/>
          <w:sz w:val="20"/>
        </w:rPr>
        <w:t>ITEM 3. QUANTITATIVE AND QUALITATIVE DISCLOSURES ABOUT MARKET RISK</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Market risk represents the risk of loss that may impact our consolidated financial position, consolidated results of operations, or consolidated cash flows due to adverse changes in financial and commodity market prices and rates. Market risk also includes credit and non-performance risk by counterparties to our various financial instruments. We are exposed to market risk due to changes in interest rates and foreign currency exchange rates (as measured against the U.S. dollar), as well as credit risk associated with potential non-performance of our counterparty banks. These exposures are directly related to our normal operating and funding activities. We enter into derivative instruments to manage and reduce the impact of currency exchange rate changes, primarily between the U.S. dollar/Philippine peso, the U.S. dollar/Mexican peso, and the Australian dollar/Philippine peso. To mitigate against credit and non-performance risk, it is our policy to only enter into derivative contracts and other financial instruments with investment grade counterparty financial institutions and, correspondingly, our derivative valuations reflect the creditworthiness of our counterparties. As of the date of this report, we have not experienced, nor do we anticipate, any issues related to derivative counterparty defaults.</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Interest Rate Risk</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interest rate on our Credit Agreement is variable based upon the Prime Rate and SOFR (in each case as defined in the Credit Agreement) and, therefore, is affected by changes in market interest rates. As of June 30, 2026, we had $855.0 million of outstanding borrowings under the Credit Agreement. Based upon average outstanding borrowings during the three months ended June 30, 2026, interest accrued at a rate of approximately 6.9% per annum. If the Prime Rate or SOFR increased by 100 basis points, there would be an annualized $1.0 million of additional interest expense per $100.0 million of outstanding borrowing under the Credit Agreement.</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35</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Foreign Currency Risk</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Our subsidiaries in the Philippines, Mexico, India, Bulgaria, Colombia, South Africa, Egypt and Poland use the local currency as their functional currency for paying labor and other operating costs. Conversely, revenue for these foreign subsidiaries is derived principally from client contracts that are invoiced and collected in U.S. dollars or other foreign currencies. As a result, we may experience foreign currency gains or losses, which may positively or negatively affect our results of operations attributed to these subsidiaries. For the six months ended June 30, 2026 and 2025, revenue associated with this foreign exchange risk was 28% and 23% of our consolidated revenue, respectively.</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In order to mitigate the risk of these non-functional foreign currencies weakening against the functional currencies of the servicing subsidiaries, which thereby decreases the economic benefit of performing work in these countries, we may hedge a portion, though not 100%, of the projected foreign currency exposure related to client programs served from these foreign countries through our cash flow hedging program. While our hedging strategy can protect us from adverse changes in foreign currency rates in the short term, an overall weakening of the non-functional foreign currencies would adversely impact margins in the segments of the servicing subsidiary over the long term.</w:t>
      </w:r>
    </w:p>
    <w:p>
      <w:pPr>
        <w:pStyle w:val="TextBody"/>
        <w:bidi w:val="0"/>
        <w:spacing w:lineRule="auto" w:line="285" w:before="0" w:after="120"/>
        <w:ind w:left="0" w:right="0" w:hanging="0"/>
        <w:jc w:val="both"/>
        <w:rPr>
          <w:rFonts w:ascii="Arial;Helvetica;sans-serif" w:hAnsi="Arial;Helvetica;sans-serif"/>
          <w:i/>
          <w:sz w:val="20"/>
        </w:rPr>
      </w:pPr>
      <w:r>
        <w:rPr>
          <w:rFonts w:ascii="Arial;Helvetica;sans-serif" w:hAnsi="Arial;Helvetica;sans-serif"/>
          <w:i/>
          <w:sz w:val="20"/>
        </w:rPr>
        <w:t>Cash Flow Hedging Program</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To reduce our exposure to foreign currency exchange rate fluctuations associated with forecasted revenue in non-functional currencies, we purchase forward and/or option contracts to acquire the functional currency of the foreign subsidiary at a fixed exchange rate at specific dates in the future. We have designated and accounted for these derivative instruments as cash flow hedges for forecasted revenue in non-functional currencies.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While we have implemented certain strategies to mitigate risks related to the impact of fluctuations in currency exchange rates, we cannot ensure that we will not recognize gains or losses from international transactions, as this is part of transacting business in an international environment. Not every exposure is or can be hedged and, where hedges are put in place based on expected foreign exchange exposure, they are based on forecasts for which actual results may differ from the original estimate. Failure to successfully hedge or anticipate currency risks properly could adversely affect our consolidated operating results.</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Our cash flow hedging instruments as of June 30, 2026 and December 31, 2025 are summarized as follows (in thousands). All hedging instruments are forward contracts, except as noted.</w:t>
      </w:r>
    </w:p>
    <w:p>
      <w:pPr>
        <w:pStyle w:val="TextBody"/>
        <w:bidi w:val="0"/>
        <w:spacing w:lineRule="auto" w:line="285" w:before="0" w:after="0"/>
        <w:ind w:left="0" w:right="0" w:hanging="0"/>
        <w:jc w:val="left"/>
        <w:rPr/>
      </w:pPr>
      <w:r>
        <w:rPr/>
        <w:t>​</w:t>
      </w:r>
    </w:p>
    <w:tbl>
      <w:tblPr>
        <w:tblW w:w="8392" w:type="dxa"/>
        <w:jc w:val="left"/>
        <w:tblInd w:w="0" w:type="dxa"/>
        <w:tblLayout w:type="fixed"/>
        <w:tblCellMar>
          <w:top w:w="0" w:type="dxa"/>
          <w:left w:w="0" w:type="dxa"/>
          <w:bottom w:w="0" w:type="dxa"/>
          <w:right w:w="0" w:type="dxa"/>
        </w:tblCellMar>
      </w:tblPr>
      <w:tblGrid>
        <w:gridCol w:w="1801"/>
        <w:gridCol w:w="346"/>
        <w:gridCol w:w="931"/>
        <w:gridCol w:w="346"/>
        <w:gridCol w:w="239"/>
        <w:gridCol w:w="767"/>
        <w:gridCol w:w="346"/>
        <w:gridCol w:w="346"/>
        <w:gridCol w:w="1066"/>
        <w:gridCol w:w="361"/>
        <w:gridCol w:w="346"/>
        <w:gridCol w:w="1306"/>
        <w:gridCol w:w="191"/>
      </w:tblGrid>
      <w:tr>
        <w:trPr/>
        <w:tc>
          <w:tcPr>
            <w:tcW w:w="180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left"/>
              <w:rPr/>
            </w:pPr>
            <w:r>
              <w:rPr/>
              <w:t>​</w:t>
            </w:r>
          </w:p>
        </w:tc>
        <w:tc>
          <w:tcPr>
            <w:tcW w:w="767"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066" w:type="dxa"/>
            <w:tcBorders/>
            <w:vAlign w:val="center"/>
          </w:tcPr>
          <w:p>
            <w:pPr>
              <w:pStyle w:val="TableContents"/>
              <w:bidi w:val="0"/>
              <w:spacing w:lineRule="auto" w:line="285" w:before="0" w:after="0"/>
              <w:ind w:left="0" w:right="0" w:hanging="0"/>
              <w:jc w:val="left"/>
              <w:rPr/>
            </w:pPr>
            <w:r>
              <w:rPr/>
              <w:t>​</w:t>
            </w:r>
          </w:p>
        </w:tc>
        <w:tc>
          <w:tcPr>
            <w:tcW w:w="36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306" w:type="dxa"/>
            <w:tcBorders/>
            <w:vAlign w:val="center"/>
          </w:tcPr>
          <w:p>
            <w:pPr>
              <w:pStyle w:val="TableContents"/>
              <w:bidi w:val="0"/>
              <w:spacing w:lineRule="auto" w:line="285" w:before="0" w:after="0"/>
              <w:ind w:left="0" w:right="0" w:hanging="0"/>
              <w:jc w:val="lef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180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931"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Local</w:t>
            </w:r>
          </w:p>
        </w:tc>
        <w:tc>
          <w:tcPr>
            <w:tcW w:w="346" w:type="dxa"/>
            <w:tcBorders/>
            <w:vAlign w:val="center"/>
          </w:tcPr>
          <w:p>
            <w:pPr>
              <w:pStyle w:val="TableContents"/>
              <w:bidi w:val="0"/>
              <w:spacing w:lineRule="auto" w:line="285" w:before="0" w:after="0"/>
              <w:ind w:left="0" w:right="0" w:hanging="0"/>
              <w:jc w:val="center"/>
              <w:rPr/>
            </w:pPr>
            <w:r>
              <w:rPr/>
              <w:t>  ​ ​ ​</w:t>
            </w:r>
          </w:p>
        </w:tc>
        <w:tc>
          <w:tcPr>
            <w:tcW w:w="239" w:type="dxa"/>
            <w:tcBorders/>
            <w:vAlign w:val="center"/>
          </w:tcPr>
          <w:p>
            <w:pPr>
              <w:pStyle w:val="TableContents"/>
              <w:bidi w:val="0"/>
              <w:spacing w:lineRule="auto" w:line="285" w:before="0" w:after="0"/>
              <w:ind w:left="0" w:right="0" w:hanging="0"/>
              <w:jc w:val="center"/>
              <w:rPr/>
            </w:pPr>
            <w:r>
              <w:rPr/>
              <w:t>​</w:t>
            </w:r>
          </w:p>
        </w:tc>
        <w:tc>
          <w:tcPr>
            <w:tcW w:w="767"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346" w:type="dxa"/>
            <w:tcBorders/>
            <w:vAlign w:val="center"/>
          </w:tcPr>
          <w:p>
            <w:pPr>
              <w:pStyle w:val="TableContents"/>
              <w:bidi w:val="0"/>
              <w:spacing w:lineRule="auto" w:line="285" w:before="0" w:after="0"/>
              <w:ind w:left="0" w:right="0" w:hanging="0"/>
              <w:jc w:val="center"/>
              <w:rPr/>
            </w:pPr>
            <w:r>
              <w:rPr/>
              <w:t>  ​ ​ ​</w:t>
            </w:r>
          </w:p>
        </w:tc>
        <w:tc>
          <w:tcPr>
            <w:tcW w:w="1066" w:type="dxa"/>
            <w:tcBorders/>
            <w:vAlign w:val="center"/>
          </w:tcPr>
          <w:p>
            <w:pPr>
              <w:pStyle w:val="TableContents"/>
              <w:bidi w:val="0"/>
              <w:spacing w:lineRule="auto" w:line="285" w:before="0" w:after="0"/>
              <w:ind w:left="0" w:right="0" w:hanging="0"/>
              <w:jc w:val="center"/>
              <w:rPr/>
            </w:pPr>
            <w:r>
              <w:rPr/>
              <w:t>​</w:t>
            </w:r>
          </w:p>
        </w:tc>
        <w:tc>
          <w:tcPr>
            <w:tcW w:w="361" w:type="dxa"/>
            <w:tcBorders/>
            <w:vAlign w:val="center"/>
          </w:tcPr>
          <w:p>
            <w:pPr>
              <w:pStyle w:val="TableContents"/>
              <w:bidi w:val="0"/>
              <w:spacing w:lineRule="auto" w:line="285" w:before="0" w:after="0"/>
              <w:ind w:left="0" w:right="0" w:hanging="0"/>
              <w:jc w:val="left"/>
              <w:rPr/>
            </w:pPr>
            <w:r>
              <w:rPr/>
              <w:t>  ​ ​ ​</w:t>
            </w:r>
          </w:p>
        </w:tc>
        <w:tc>
          <w:tcPr>
            <w:tcW w:w="346" w:type="dxa"/>
            <w:tcBorders/>
            <w:vAlign w:val="center"/>
          </w:tcPr>
          <w:p>
            <w:pPr>
              <w:pStyle w:val="TableContents"/>
              <w:bidi w:val="0"/>
              <w:spacing w:lineRule="auto" w:line="285" w:before="0" w:after="0"/>
              <w:ind w:left="0" w:right="0" w:hanging="0"/>
              <w:jc w:val="center"/>
              <w:rPr/>
            </w:pPr>
            <w:r>
              <w:rPr/>
              <w:t>  ​ ​ ​</w:t>
            </w:r>
          </w:p>
        </w:tc>
        <w:tc>
          <w:tcPr>
            <w:tcW w:w="1306"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180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931"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Currency</w:t>
            </w:r>
          </w:p>
        </w:tc>
        <w:tc>
          <w:tcPr>
            <w:tcW w:w="346" w:type="dxa"/>
            <w:tcBorders/>
            <w:vAlign w:val="center"/>
          </w:tcPr>
          <w:p>
            <w:pPr>
              <w:pStyle w:val="TableContents"/>
              <w:bidi w:val="0"/>
              <w:spacing w:lineRule="auto" w:line="285" w:before="0" w:after="0"/>
              <w:ind w:left="0" w:right="0" w:hanging="0"/>
              <w:jc w:val="center"/>
              <w:rPr/>
            </w:pPr>
            <w:r>
              <w:rPr/>
              <w:t>​</w:t>
            </w:r>
          </w:p>
        </w:tc>
        <w:tc>
          <w:tcPr>
            <w:tcW w:w="100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U.S. Dollar</w:t>
            </w:r>
          </w:p>
        </w:tc>
        <w:tc>
          <w:tcPr>
            <w:tcW w:w="34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066"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Maturing</w:t>
            </w:r>
          </w:p>
        </w:tc>
        <w:tc>
          <w:tcPr>
            <w:tcW w:w="36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306"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Contracts</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180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931"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Notional</w:t>
            </w:r>
          </w:p>
        </w:tc>
        <w:tc>
          <w:tcPr>
            <w:tcW w:w="346" w:type="dxa"/>
            <w:tcBorders/>
            <w:vAlign w:val="center"/>
          </w:tcPr>
          <w:p>
            <w:pPr>
              <w:pStyle w:val="TableContents"/>
              <w:bidi w:val="0"/>
              <w:spacing w:lineRule="auto" w:line="285" w:before="0" w:after="0"/>
              <w:ind w:left="0" w:right="0" w:hanging="0"/>
              <w:jc w:val="center"/>
              <w:rPr/>
            </w:pPr>
            <w:r>
              <w:rPr/>
              <w:t>​</w:t>
            </w:r>
          </w:p>
        </w:tc>
        <w:tc>
          <w:tcPr>
            <w:tcW w:w="100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Notional</w:t>
            </w:r>
          </w:p>
        </w:tc>
        <w:tc>
          <w:tcPr>
            <w:tcW w:w="34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066"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in the next</w:t>
            </w:r>
          </w:p>
        </w:tc>
        <w:tc>
          <w:tcPr>
            <w:tcW w:w="36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306"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Maturing</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180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As of June 30, 2026</w:t>
            </w:r>
          </w:p>
        </w:tc>
        <w:tc>
          <w:tcPr>
            <w:tcW w:w="346" w:type="dxa"/>
            <w:tcBorders/>
            <w:vAlign w:val="center"/>
          </w:tcPr>
          <w:p>
            <w:pPr>
              <w:pStyle w:val="TableContents"/>
              <w:bidi w:val="0"/>
              <w:spacing w:lineRule="auto" w:line="285"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Amount</w:t>
            </w:r>
          </w:p>
        </w:tc>
        <w:tc>
          <w:tcPr>
            <w:tcW w:w="346" w:type="dxa"/>
            <w:tcBorders/>
            <w:vAlign w:val="center"/>
          </w:tcPr>
          <w:p>
            <w:pPr>
              <w:pStyle w:val="TableContents"/>
              <w:bidi w:val="0"/>
              <w:spacing w:lineRule="auto" w:line="285" w:before="0" w:after="0"/>
              <w:ind w:left="0" w:right="0" w:hanging="0"/>
              <w:jc w:val="center"/>
              <w:rPr/>
            </w:pPr>
            <w:r>
              <w:rPr/>
              <w:t>​</w:t>
            </w:r>
          </w:p>
        </w:tc>
        <w:tc>
          <w:tcPr>
            <w:tcW w:w="100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Amount</w:t>
            </w:r>
          </w:p>
        </w:tc>
        <w:tc>
          <w:tcPr>
            <w:tcW w:w="34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06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12 months</w:t>
            </w:r>
          </w:p>
        </w:tc>
        <w:tc>
          <w:tcPr>
            <w:tcW w:w="36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30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Through</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180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Philippine Peso</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93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2,546,000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67"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43,123</w:t>
            </w:r>
          </w:p>
        </w:tc>
        <w:tc>
          <w:tcPr>
            <w:tcW w:w="346" w:type="dxa"/>
            <w:tcBorders/>
            <w:shd w:fill="CCEEFF" w:val="clear"/>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(1)</w:t>
            </w:r>
            <w:r>
              <w:rPr>
                <w:rFonts w:ascii="Arial;Helvetica;sans-serif" w:hAnsi="Arial;Helvetica;sans-serif"/>
                <w:sz w:val="18"/>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6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100.0</w:t>
            </w:r>
          </w:p>
        </w:tc>
        <w:tc>
          <w:tcPr>
            <w:tcW w:w="36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306" w:type="dxa"/>
            <w:tcBorders/>
            <w:shd w:fill="CCEEFF" w:val="clear"/>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March 2027</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180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Mexican Peso</w:t>
            </w:r>
          </w:p>
        </w:tc>
        <w:tc>
          <w:tcPr>
            <w:tcW w:w="346" w:type="dxa"/>
            <w:tcBorders/>
            <w:vAlign w:val="center"/>
          </w:tcPr>
          <w:p>
            <w:pPr>
              <w:pStyle w:val="TableContents"/>
              <w:bidi w:val="0"/>
              <w:spacing w:lineRule="auto" w:line="285" w:before="0" w:after="0"/>
              <w:ind w:left="0" w:right="0" w:hanging="0"/>
              <w:jc w:val="left"/>
              <w:rPr/>
            </w:pPr>
            <w:r>
              <w:rPr/>
              <w:t> </w:t>
            </w:r>
          </w:p>
        </w:tc>
        <w:tc>
          <w:tcPr>
            <w:tcW w:w="93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221,000</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right"/>
              <w:rPr/>
            </w:pPr>
            <w:r>
              <w:rPr/>
              <w:t> </w:t>
            </w:r>
          </w:p>
        </w:tc>
        <w:tc>
          <w:tcPr>
            <w:tcW w:w="767"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11,412</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066"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100.0</w:t>
            </w:r>
          </w:p>
        </w:tc>
        <w:tc>
          <w:tcPr>
            <w:tcW w:w="36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  </w:t>
            </w:r>
          </w:p>
        </w:tc>
        <w:tc>
          <w:tcPr>
            <w:tcW w:w="346" w:type="dxa"/>
            <w:tcBorders/>
            <w:vAlign w:val="center"/>
          </w:tcPr>
          <w:p>
            <w:pPr>
              <w:pStyle w:val="TableContents"/>
              <w:bidi w:val="0"/>
              <w:spacing w:lineRule="auto" w:line="285" w:before="0" w:after="0"/>
              <w:ind w:left="0" w:right="0" w:hanging="0"/>
              <w:jc w:val="left"/>
              <w:rPr/>
            </w:pPr>
            <w:r>
              <w:rPr/>
              <w:t>​</w:t>
            </w:r>
          </w:p>
        </w:tc>
        <w:tc>
          <w:tcPr>
            <w:tcW w:w="1306" w:type="dxa"/>
            <w:tcBorders/>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February 2027</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180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Colombian Peso</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93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2,000,000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76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477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6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100.0</w:t>
            </w:r>
          </w:p>
        </w:tc>
        <w:tc>
          <w:tcPr>
            <w:tcW w:w="36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306" w:type="dxa"/>
            <w:tcBorders/>
            <w:shd w:fill="CCEEFF" w:val="clear"/>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August 2026</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180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67"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55,012</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066" w:type="dxa"/>
            <w:tcBorders/>
            <w:vAlign w:val="center"/>
          </w:tcPr>
          <w:p>
            <w:pPr>
              <w:pStyle w:val="TableContents"/>
              <w:bidi w:val="0"/>
              <w:spacing w:lineRule="auto" w:line="285" w:before="0" w:after="0"/>
              <w:ind w:left="0" w:right="0" w:hanging="0"/>
              <w:jc w:val="right"/>
              <w:rPr/>
            </w:pPr>
            <w:r>
              <w:rPr/>
              <w:t>​</w:t>
            </w:r>
          </w:p>
        </w:tc>
        <w:tc>
          <w:tcPr>
            <w:tcW w:w="36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306"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tbl>
      <w:tblPr>
        <w:tblW w:w="8880" w:type="dxa"/>
        <w:jc w:val="left"/>
        <w:tblInd w:w="0" w:type="dxa"/>
        <w:tblLayout w:type="fixed"/>
        <w:tblCellMar>
          <w:top w:w="0" w:type="dxa"/>
          <w:left w:w="0" w:type="dxa"/>
          <w:bottom w:w="0" w:type="dxa"/>
          <w:right w:w="0" w:type="dxa"/>
        </w:tblCellMar>
      </w:tblPr>
      <w:tblGrid>
        <w:gridCol w:w="2281"/>
        <w:gridCol w:w="346"/>
        <w:gridCol w:w="931"/>
        <w:gridCol w:w="346"/>
        <w:gridCol w:w="239"/>
        <w:gridCol w:w="767"/>
        <w:gridCol w:w="271"/>
        <w:gridCol w:w="346"/>
        <w:gridCol w:w="1066"/>
        <w:gridCol w:w="361"/>
        <w:gridCol w:w="346"/>
        <w:gridCol w:w="1426"/>
        <w:gridCol w:w="154"/>
      </w:tblGrid>
      <w:tr>
        <w:trPr/>
        <w:tc>
          <w:tcPr>
            <w:tcW w:w="2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1448435" cy="175260"/>
                      <wp:effectExtent l="0" t="0" r="0" b="0"/>
                      <wp:wrapNone/>
                      <wp:docPr id="469" name="Frame469"/>
                      <a:graphic xmlns:a="http://schemas.openxmlformats.org/drawingml/2006/main">
                        <a:graphicData uri="http://schemas.microsoft.com/office/word/2010/wordprocessingShape">
                          <wps:wsp>
                            <wps:cNvSpPr txBox="1"/>
                            <wps:spPr>
                              <a:xfrm>
                                <a:off x="0" y="0"/>
                                <a:ext cx="1448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219710" cy="175260"/>
                      <wp:effectExtent l="0" t="0" r="0" b="0"/>
                      <wp:wrapNone/>
                      <wp:docPr id="470" name="Frame4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591185" cy="175260"/>
                      <wp:effectExtent l="0" t="0" r="0" b="0"/>
                      <wp:wrapNone/>
                      <wp:docPr id="471" name="Frame47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219710" cy="175260"/>
                      <wp:effectExtent l="0" t="0" r="0" b="0"/>
                      <wp:wrapNone/>
                      <wp:docPr id="472" name="Frame4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151765" cy="175260"/>
                      <wp:effectExtent l="0" t="0" r="0" b="0"/>
                      <wp:wrapNone/>
                      <wp:docPr id="473" name="Frame473"/>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487045" cy="175260"/>
                      <wp:effectExtent l="0" t="0" r="0" b="0"/>
                      <wp:wrapNone/>
                      <wp:docPr id="474" name="Frame474"/>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172085" cy="175260"/>
                      <wp:effectExtent l="0" t="0" r="0" b="0"/>
                      <wp:wrapNone/>
                      <wp:docPr id="475" name="Frame475"/>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219710" cy="175260"/>
                      <wp:effectExtent l="0" t="0" r="0" b="0"/>
                      <wp:wrapNone/>
                      <wp:docPr id="476" name="Frame4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676910" cy="175260"/>
                      <wp:effectExtent l="0" t="0" r="0" b="0"/>
                      <wp:wrapNone/>
                      <wp:docPr id="477" name="Frame477"/>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229235" cy="175260"/>
                      <wp:effectExtent l="0" t="0" r="0" b="0"/>
                      <wp:wrapNone/>
                      <wp:docPr id="478" name="Frame47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19710" cy="175260"/>
                      <wp:effectExtent l="0" t="0" r="0" b="0"/>
                      <wp:wrapNone/>
                      <wp:docPr id="479" name="Frame4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905510" cy="175260"/>
                      <wp:effectExtent l="0" t="0" r="0" b="0"/>
                      <wp:wrapNone/>
                      <wp:docPr id="480" name="Frame480"/>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97790" cy="175260"/>
                      <wp:effectExtent l="0" t="0" r="0" b="0"/>
                      <wp:wrapNone/>
                      <wp:docPr id="481" name="Frame48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2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931"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Local</w:t>
            </w:r>
          </w:p>
        </w:tc>
        <w:tc>
          <w:tcPr>
            <w:tcW w:w="346" w:type="dxa"/>
            <w:tcBorders/>
            <w:vAlign w:val="center"/>
          </w:tcPr>
          <w:p>
            <w:pPr>
              <w:pStyle w:val="TableContents"/>
              <w:bidi w:val="0"/>
              <w:spacing w:lineRule="auto" w:line="285" w:before="0" w:after="0"/>
              <w:ind w:left="0" w:right="0" w:hanging="0"/>
              <w:jc w:val="center"/>
              <w:rPr/>
            </w:pPr>
            <w:r>
              <w:rPr/>
              <w:t>  ​ ​ ​</w:t>
            </w:r>
          </w:p>
        </w:tc>
        <w:tc>
          <w:tcPr>
            <w:tcW w:w="239" w:type="dxa"/>
            <w:tcBorders/>
            <w:vAlign w:val="center"/>
          </w:tcPr>
          <w:p>
            <w:pPr>
              <w:pStyle w:val="TableContents"/>
              <w:bidi w:val="0"/>
              <w:spacing w:lineRule="auto" w:line="285" w:before="0" w:after="0"/>
              <w:ind w:left="0" w:right="0" w:hanging="0"/>
              <w:jc w:val="center"/>
              <w:rPr/>
            </w:pPr>
            <w:r>
              <w:rPr/>
              <w:t>​</w:t>
            </w:r>
          </w:p>
        </w:tc>
        <w:tc>
          <w:tcPr>
            <w:tcW w:w="767" w:type="dxa"/>
            <w:tcBorders/>
            <w:vAlign w:val="center"/>
          </w:tcPr>
          <w:p>
            <w:pPr>
              <w:pStyle w:val="TableContents"/>
              <w:bidi w:val="0"/>
              <w:spacing w:lineRule="auto" w:line="285" w:before="0" w:after="0"/>
              <w:ind w:left="0" w:right="0" w:hanging="0"/>
              <w:jc w:val="center"/>
              <w:rPr/>
            </w:pPr>
            <w:r>
              <w:rPr/>
              <w:t>​</w:t>
            </w:r>
          </w:p>
        </w:tc>
        <w:tc>
          <w:tcPr>
            <w:tcW w:w="271" w:type="dxa"/>
            <w:tcBorders/>
            <w:vAlign w:val="center"/>
          </w:tcPr>
          <w:p>
            <w:pPr>
              <w:pStyle w:val="TableContents"/>
              <w:bidi w:val="0"/>
              <w:spacing w:lineRule="auto" w:line="285" w:before="0" w:after="0"/>
              <w:ind w:left="0" w:right="0" w:hanging="0"/>
              <w:jc w:val="center"/>
              <w:rPr/>
            </w:pPr>
            <w:r>
              <w:rPr/>
              <w:t> </w:t>
            </w:r>
          </w:p>
        </w:tc>
        <w:tc>
          <w:tcPr>
            <w:tcW w:w="346" w:type="dxa"/>
            <w:tcBorders/>
            <w:vAlign w:val="center"/>
          </w:tcPr>
          <w:p>
            <w:pPr>
              <w:pStyle w:val="TableContents"/>
              <w:bidi w:val="0"/>
              <w:spacing w:lineRule="auto" w:line="285" w:before="0" w:after="0"/>
              <w:ind w:left="0" w:right="0" w:hanging="0"/>
              <w:jc w:val="center"/>
              <w:rPr/>
            </w:pPr>
            <w:r>
              <w:rPr/>
              <w:t>  ​ ​ ​</w:t>
            </w:r>
          </w:p>
        </w:tc>
        <w:tc>
          <w:tcPr>
            <w:tcW w:w="1066" w:type="dxa"/>
            <w:tcBorders/>
            <w:vAlign w:val="center"/>
          </w:tcPr>
          <w:p>
            <w:pPr>
              <w:pStyle w:val="TableContents"/>
              <w:bidi w:val="0"/>
              <w:spacing w:lineRule="auto" w:line="285" w:before="0" w:after="0"/>
              <w:ind w:left="0" w:right="0" w:hanging="0"/>
              <w:jc w:val="left"/>
              <w:rPr/>
            </w:pPr>
            <w:r>
              <w:rPr/>
              <w:t>​</w:t>
            </w:r>
          </w:p>
        </w:tc>
        <w:tc>
          <w:tcPr>
            <w:tcW w:w="36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4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2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931"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Currency</w:t>
            </w:r>
          </w:p>
        </w:tc>
        <w:tc>
          <w:tcPr>
            <w:tcW w:w="346" w:type="dxa"/>
            <w:tcBorders/>
            <w:vAlign w:val="center"/>
          </w:tcPr>
          <w:p>
            <w:pPr>
              <w:pStyle w:val="TableContents"/>
              <w:bidi w:val="0"/>
              <w:spacing w:lineRule="auto" w:line="285" w:before="0" w:after="0"/>
              <w:ind w:left="0" w:right="0" w:hanging="0"/>
              <w:jc w:val="center"/>
              <w:rPr/>
            </w:pPr>
            <w:r>
              <w:rPr/>
              <w:t>​</w:t>
            </w:r>
          </w:p>
        </w:tc>
        <w:tc>
          <w:tcPr>
            <w:tcW w:w="100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U.S. Dollar</w:t>
            </w:r>
          </w:p>
        </w:tc>
        <w:tc>
          <w:tcPr>
            <w:tcW w:w="271" w:type="dxa"/>
            <w:tcBorders/>
            <w:vAlign w:val="center"/>
          </w:tcPr>
          <w:p>
            <w:pPr>
              <w:pStyle w:val="TableContents"/>
              <w:bidi w:val="0"/>
              <w:spacing w:lineRule="auto" w:line="285" w:before="0" w:after="0"/>
              <w:ind w:left="0" w:right="0" w:hanging="0"/>
              <w:jc w:val="center"/>
              <w:rPr/>
            </w:pPr>
            <w:r>
              <w:rPr/>
              <w:t> </w:t>
            </w:r>
          </w:p>
        </w:tc>
        <w:tc>
          <w:tcPr>
            <w:tcW w:w="346" w:type="dxa"/>
            <w:tcBorders/>
            <w:vAlign w:val="center"/>
          </w:tcPr>
          <w:p>
            <w:pPr>
              <w:pStyle w:val="TableContents"/>
              <w:bidi w:val="0"/>
              <w:spacing w:lineRule="auto" w:line="285" w:before="0" w:after="0"/>
              <w:ind w:left="0" w:right="0" w:hanging="0"/>
              <w:jc w:val="center"/>
              <w:rPr/>
            </w:pPr>
            <w:r>
              <w:rPr/>
              <w:t>​</w:t>
            </w:r>
          </w:p>
        </w:tc>
        <w:tc>
          <w:tcPr>
            <w:tcW w:w="1066"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Maturing</w:t>
            </w:r>
          </w:p>
        </w:tc>
        <w:tc>
          <w:tcPr>
            <w:tcW w:w="36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426"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Contracts</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2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931"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Notional</w:t>
            </w:r>
          </w:p>
        </w:tc>
        <w:tc>
          <w:tcPr>
            <w:tcW w:w="346" w:type="dxa"/>
            <w:tcBorders/>
            <w:vAlign w:val="center"/>
          </w:tcPr>
          <w:p>
            <w:pPr>
              <w:pStyle w:val="TableContents"/>
              <w:bidi w:val="0"/>
              <w:spacing w:lineRule="auto" w:line="285" w:before="0" w:after="0"/>
              <w:ind w:left="0" w:right="0" w:hanging="0"/>
              <w:jc w:val="center"/>
              <w:rPr/>
            </w:pPr>
            <w:r>
              <w:rPr/>
              <w:t>​</w:t>
            </w:r>
          </w:p>
        </w:tc>
        <w:tc>
          <w:tcPr>
            <w:tcW w:w="100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Notional</w:t>
            </w:r>
          </w:p>
        </w:tc>
        <w:tc>
          <w:tcPr>
            <w:tcW w:w="271" w:type="dxa"/>
            <w:tcBorders/>
            <w:vAlign w:val="center"/>
          </w:tcPr>
          <w:p>
            <w:pPr>
              <w:pStyle w:val="TableContents"/>
              <w:bidi w:val="0"/>
              <w:spacing w:lineRule="auto" w:line="285" w:before="0" w:after="0"/>
              <w:ind w:left="0" w:right="0" w:hanging="0"/>
              <w:jc w:val="center"/>
              <w:rPr/>
            </w:pPr>
            <w:r>
              <w:rPr/>
              <w:t> </w:t>
            </w:r>
          </w:p>
        </w:tc>
        <w:tc>
          <w:tcPr>
            <w:tcW w:w="346" w:type="dxa"/>
            <w:tcBorders/>
            <w:vAlign w:val="center"/>
          </w:tcPr>
          <w:p>
            <w:pPr>
              <w:pStyle w:val="TableContents"/>
              <w:bidi w:val="0"/>
              <w:spacing w:lineRule="auto" w:line="285" w:before="0" w:after="0"/>
              <w:ind w:left="0" w:right="0" w:hanging="0"/>
              <w:jc w:val="center"/>
              <w:rPr/>
            </w:pPr>
            <w:r>
              <w:rPr/>
              <w:t>​</w:t>
            </w:r>
          </w:p>
        </w:tc>
        <w:tc>
          <w:tcPr>
            <w:tcW w:w="1066"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in the next</w:t>
            </w:r>
          </w:p>
        </w:tc>
        <w:tc>
          <w:tcPr>
            <w:tcW w:w="36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426"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Maturing</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2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As of December 31, 2025</w:t>
            </w:r>
          </w:p>
        </w:tc>
        <w:tc>
          <w:tcPr>
            <w:tcW w:w="346" w:type="dxa"/>
            <w:tcBorders/>
            <w:vAlign w:val="center"/>
          </w:tcPr>
          <w:p>
            <w:pPr>
              <w:pStyle w:val="TableContents"/>
              <w:bidi w:val="0"/>
              <w:spacing w:lineRule="auto" w:line="285"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Amount</w:t>
            </w:r>
          </w:p>
        </w:tc>
        <w:tc>
          <w:tcPr>
            <w:tcW w:w="346" w:type="dxa"/>
            <w:tcBorders/>
            <w:vAlign w:val="center"/>
          </w:tcPr>
          <w:p>
            <w:pPr>
              <w:pStyle w:val="TableContents"/>
              <w:bidi w:val="0"/>
              <w:spacing w:lineRule="auto" w:line="285" w:before="0" w:after="0"/>
              <w:ind w:left="0" w:right="0" w:hanging="0"/>
              <w:jc w:val="center"/>
              <w:rPr/>
            </w:pPr>
            <w:r>
              <w:rPr/>
              <w:t>​</w:t>
            </w:r>
          </w:p>
        </w:tc>
        <w:tc>
          <w:tcPr>
            <w:tcW w:w="100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Amount</w:t>
            </w:r>
          </w:p>
        </w:tc>
        <w:tc>
          <w:tcPr>
            <w:tcW w:w="271" w:type="dxa"/>
            <w:tcBorders/>
            <w:vAlign w:val="center"/>
          </w:tcPr>
          <w:p>
            <w:pPr>
              <w:pStyle w:val="TableContents"/>
              <w:bidi w:val="0"/>
              <w:spacing w:lineRule="auto" w:line="285" w:before="0" w:after="0"/>
              <w:ind w:left="0" w:right="0" w:hanging="0"/>
              <w:jc w:val="center"/>
              <w:rPr/>
            </w:pPr>
            <w:r>
              <w:rPr/>
              <w:t> </w:t>
            </w:r>
          </w:p>
        </w:tc>
        <w:tc>
          <w:tcPr>
            <w:tcW w:w="346" w:type="dxa"/>
            <w:tcBorders/>
            <w:vAlign w:val="center"/>
          </w:tcPr>
          <w:p>
            <w:pPr>
              <w:pStyle w:val="TableContents"/>
              <w:bidi w:val="0"/>
              <w:spacing w:lineRule="auto" w:line="285" w:before="0" w:after="0"/>
              <w:ind w:left="0" w:right="0" w:hanging="0"/>
              <w:jc w:val="center"/>
              <w:rPr/>
            </w:pPr>
            <w:r>
              <w:rPr/>
              <w:t>​</w:t>
            </w:r>
          </w:p>
        </w:tc>
        <w:tc>
          <w:tcPr>
            <w:tcW w:w="106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12 months</w:t>
            </w:r>
          </w:p>
        </w:tc>
        <w:tc>
          <w:tcPr>
            <w:tcW w:w="36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4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Through</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28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Philippine Peso</w:t>
            </w:r>
          </w:p>
        </w:tc>
        <w:tc>
          <w:tcPr>
            <w:tcW w:w="346" w:type="dxa"/>
            <w:tcBorders/>
            <w:vAlign w:val="center"/>
          </w:tcPr>
          <w:p>
            <w:pPr>
              <w:pStyle w:val="TableContents"/>
              <w:bidi w:val="0"/>
              <w:spacing w:lineRule="auto" w:line="285" w:before="0" w:after="0"/>
              <w:ind w:left="0" w:right="0" w:hanging="0"/>
              <w:jc w:val="left"/>
              <w:rPr/>
            </w:pPr>
            <w:r>
              <w:rPr/>
              <w:t> </w:t>
            </w:r>
          </w:p>
        </w:tc>
        <w:tc>
          <w:tcPr>
            <w:tcW w:w="93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4,025,000</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67"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69,458</w:t>
            </w:r>
          </w:p>
        </w:tc>
        <w:tc>
          <w:tcPr>
            <w:tcW w:w="271" w:type="dxa"/>
            <w:tcBorders/>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(1)</w:t>
            </w:r>
            <w:r>
              <w:rPr>
                <w:rFonts w:ascii="Arial;Helvetica;sans-serif" w:hAnsi="Arial;Helvetica;sans-serif"/>
                <w:sz w:val="18"/>
              </w:rPr>
              <w:t>​</w:t>
            </w:r>
          </w:p>
        </w:tc>
        <w:tc>
          <w:tcPr>
            <w:tcW w:w="346" w:type="dxa"/>
            <w:tcBorders/>
            <w:vAlign w:val="center"/>
          </w:tcPr>
          <w:p>
            <w:pPr>
              <w:pStyle w:val="TableContents"/>
              <w:bidi w:val="0"/>
              <w:spacing w:lineRule="auto" w:line="285" w:before="0" w:after="0"/>
              <w:ind w:left="0" w:right="0" w:hanging="0"/>
              <w:jc w:val="left"/>
              <w:rPr/>
            </w:pPr>
            <w:r>
              <w:rPr/>
              <w:t>​</w:t>
            </w:r>
          </w:p>
        </w:tc>
        <w:tc>
          <w:tcPr>
            <w:tcW w:w="1066"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97.0</w:t>
            </w:r>
          </w:p>
        </w:tc>
        <w:tc>
          <w:tcPr>
            <w:tcW w:w="36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  </w:t>
            </w:r>
          </w:p>
        </w:tc>
        <w:tc>
          <w:tcPr>
            <w:tcW w:w="346" w:type="dxa"/>
            <w:tcBorders/>
            <w:vAlign w:val="center"/>
          </w:tcPr>
          <w:p>
            <w:pPr>
              <w:pStyle w:val="TableContents"/>
              <w:bidi w:val="0"/>
              <w:spacing w:lineRule="auto" w:line="285" w:before="0" w:after="0"/>
              <w:ind w:left="0" w:right="0" w:hanging="0"/>
              <w:jc w:val="left"/>
              <w:rPr/>
            </w:pPr>
            <w:r>
              <w:rPr/>
              <w:t>​</w:t>
            </w:r>
          </w:p>
        </w:tc>
        <w:tc>
          <w:tcPr>
            <w:tcW w:w="1426" w:type="dxa"/>
            <w:tcBorders/>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March 2027</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28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Mexican Peso</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93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314,000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0"/>
              <w:ind w:left="0" w:right="0" w:hanging="0"/>
              <w:jc w:val="right"/>
              <w:rPr/>
            </w:pPr>
            <w:r>
              <w:rPr/>
              <w:t> </w:t>
            </w:r>
          </w:p>
        </w:tc>
        <w:tc>
          <w:tcPr>
            <w:tcW w:w="767"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15,618</w:t>
            </w:r>
          </w:p>
        </w:tc>
        <w:tc>
          <w:tcPr>
            <w:tcW w:w="27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6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100.0</w:t>
            </w:r>
          </w:p>
        </w:tc>
        <w:tc>
          <w:tcPr>
            <w:tcW w:w="36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426" w:type="dxa"/>
            <w:tcBorders/>
            <w:shd w:fill="CCEEFF" w:val="clear"/>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December 2026</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r>
        <w:trPr/>
        <w:tc>
          <w:tcPr>
            <w:tcW w:w="228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Colombian Peso</w:t>
            </w:r>
          </w:p>
        </w:tc>
        <w:tc>
          <w:tcPr>
            <w:tcW w:w="346" w:type="dxa"/>
            <w:tcBorders/>
            <w:vAlign w:val="center"/>
          </w:tcPr>
          <w:p>
            <w:pPr>
              <w:pStyle w:val="TableContents"/>
              <w:bidi w:val="0"/>
              <w:spacing w:lineRule="auto" w:line="285" w:before="0" w:after="0"/>
              <w:ind w:left="0" w:right="0" w:hanging="0"/>
              <w:jc w:val="left"/>
              <w:rPr/>
            </w:pPr>
            <w:r>
              <w:rPr/>
              <w:t> </w:t>
            </w:r>
          </w:p>
        </w:tc>
        <w:tc>
          <w:tcPr>
            <w:tcW w:w="93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8,000,000</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76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1,931</w:t>
            </w:r>
          </w:p>
        </w:tc>
        <w:tc>
          <w:tcPr>
            <w:tcW w:w="27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066"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100.0</w:t>
            </w:r>
          </w:p>
        </w:tc>
        <w:tc>
          <w:tcPr>
            <w:tcW w:w="36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  </w:t>
            </w:r>
          </w:p>
        </w:tc>
        <w:tc>
          <w:tcPr>
            <w:tcW w:w="346" w:type="dxa"/>
            <w:tcBorders/>
            <w:vAlign w:val="center"/>
          </w:tcPr>
          <w:p>
            <w:pPr>
              <w:pStyle w:val="TableContents"/>
              <w:bidi w:val="0"/>
              <w:spacing w:lineRule="auto" w:line="285" w:before="0" w:after="0"/>
              <w:ind w:left="0" w:right="0" w:hanging="0"/>
              <w:jc w:val="left"/>
              <w:rPr/>
            </w:pPr>
            <w:r>
              <w:rPr/>
              <w:t>​</w:t>
            </w:r>
          </w:p>
        </w:tc>
        <w:tc>
          <w:tcPr>
            <w:tcW w:w="1426" w:type="dxa"/>
            <w:tcBorders/>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August 2026</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28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67"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87,007</w:t>
            </w:r>
          </w:p>
        </w:tc>
        <w:tc>
          <w:tcPr>
            <w:tcW w:w="27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66" w:type="dxa"/>
            <w:tcBorders/>
            <w:shd w:fill="CCEEFF" w:val="clear"/>
            <w:vAlign w:val="center"/>
          </w:tcPr>
          <w:p>
            <w:pPr>
              <w:pStyle w:val="TableContents"/>
              <w:bidi w:val="0"/>
              <w:spacing w:lineRule="auto" w:line="285" w:before="0" w:after="0"/>
              <w:ind w:left="0" w:right="0" w:hanging="0"/>
              <w:jc w:val="left"/>
              <w:rPr/>
            </w:pPr>
            <w:r>
              <w:rPr/>
              <w:t>​</w:t>
            </w:r>
          </w:p>
        </w:tc>
        <w:tc>
          <w:tcPr>
            <w:tcW w:w="36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426" w:type="dxa"/>
            <w:tcBorders/>
            <w:shd w:fill="CCEEFF" w:val="clear"/>
            <w:vAlign w:val="center"/>
          </w:tcPr>
          <w:p>
            <w:pPr>
              <w:pStyle w:val="TableContents"/>
              <w:bidi w:val="0"/>
              <w:spacing w:lineRule="auto" w:line="285" w:before="0" w:after="0"/>
              <w:ind w:left="0" w:right="0" w:hanging="0"/>
              <w:jc w:val="left"/>
              <w:rPr/>
            </w:pPr>
            <w:r>
              <w:rPr/>
              <w:t>​</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(1)</w:t>
            </w:r>
          </w:p>
        </w:tc>
        <w:tc>
          <w:tcPr>
            <w:tcW w:w="99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Includes contracts to purchase Philippine pesos in exchange for New Zealand dollars and Australian dollars, which are translated into equivalent U.S. dollars on June 30, 2026 and December 31, 2025.</w:t>
            </w:r>
          </w:p>
        </w:tc>
      </w:tr>
    </w:tbl>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36</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 fair value of our cash flow hedges as of June 30, 2026 was assets/(liabilities) (in thousands):</w:t>
      </w:r>
    </w:p>
    <w:p>
      <w:pPr>
        <w:pStyle w:val="TextBody"/>
        <w:bidi w:val="0"/>
        <w:spacing w:lineRule="auto" w:line="285" w:before="0" w:after="0"/>
        <w:ind w:left="0" w:right="0" w:hanging="0"/>
        <w:jc w:val="left"/>
        <w:rPr/>
      </w:pPr>
      <w:r>
        <w:rPr/>
        <w:t>​</w:t>
      </w:r>
    </w:p>
    <w:tbl>
      <w:tblPr>
        <w:tblW w:w="5099" w:type="dxa"/>
        <w:jc w:val="left"/>
        <w:tblInd w:w="0" w:type="dxa"/>
        <w:tblLayout w:type="fixed"/>
        <w:tblCellMar>
          <w:top w:w="0" w:type="dxa"/>
          <w:left w:w="0" w:type="dxa"/>
          <w:bottom w:w="0" w:type="dxa"/>
          <w:right w:w="0" w:type="dxa"/>
        </w:tblCellMar>
      </w:tblPr>
      <w:tblGrid>
        <w:gridCol w:w="1486"/>
        <w:gridCol w:w="346"/>
        <w:gridCol w:w="301"/>
        <w:gridCol w:w="989"/>
        <w:gridCol w:w="346"/>
        <w:gridCol w:w="359"/>
        <w:gridCol w:w="1081"/>
        <w:gridCol w:w="191"/>
      </w:tblGrid>
      <w:tr>
        <w:trPr/>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943610" cy="175260"/>
                      <wp:effectExtent l="0" t="0" r="0" b="0"/>
                      <wp:wrapNone/>
                      <wp:docPr id="482" name="Frame482"/>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219710" cy="175260"/>
                      <wp:effectExtent l="0" t="0" r="0" b="0"/>
                      <wp:wrapNone/>
                      <wp:docPr id="483" name="Frame4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191135" cy="175260"/>
                      <wp:effectExtent l="0" t="0" r="0" b="0"/>
                      <wp:wrapNone/>
                      <wp:docPr id="484" name="Frame484"/>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628015" cy="175260"/>
                      <wp:effectExtent l="0" t="0" r="0" b="0"/>
                      <wp:wrapNone/>
                      <wp:docPr id="485" name="Frame485"/>
                      <a:graphic xmlns:a="http://schemas.openxmlformats.org/drawingml/2006/main">
                        <a:graphicData uri="http://schemas.microsoft.com/office/word/2010/wordprocessingShape">
                          <wps:wsp>
                            <wps:cNvSpPr txBox="1"/>
                            <wps:spPr>
                              <a:xfrm>
                                <a:off x="0" y="0"/>
                                <a:ext cx="6280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219710" cy="175260"/>
                      <wp:effectExtent l="0" t="0" r="0" b="0"/>
                      <wp:wrapNone/>
                      <wp:docPr id="486" name="Frame4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227965" cy="175260"/>
                      <wp:effectExtent l="0" t="0" r="0" b="0"/>
                      <wp:wrapNone/>
                      <wp:docPr id="487" name="Frame487"/>
                      <a:graphic xmlns:a="http://schemas.openxmlformats.org/drawingml/2006/main">
                        <a:graphicData uri="http://schemas.microsoft.com/office/word/2010/wordprocessingShape">
                          <wps:wsp>
                            <wps:cNvSpPr txBox="1"/>
                            <wps:spPr>
                              <a:xfrm>
                                <a:off x="0" y="0"/>
                                <a:ext cx="2279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686435" cy="175260"/>
                      <wp:effectExtent l="0" t="0" r="0" b="0"/>
                      <wp:wrapNone/>
                      <wp:docPr id="488" name="Frame488"/>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121285" cy="175260"/>
                      <wp:effectExtent l="0" t="0" r="0" b="0"/>
                      <wp:wrapNone/>
                      <wp:docPr id="489" name="Frame489"/>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48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01" w:type="dxa"/>
            <w:tcBorders/>
            <w:vAlign w:val="center"/>
          </w:tcPr>
          <w:p>
            <w:pPr>
              <w:pStyle w:val="TableContents"/>
              <w:bidi w:val="0"/>
              <w:spacing w:lineRule="auto" w:line="285" w:before="0" w:after="0"/>
              <w:ind w:left="0" w:right="0" w:hanging="0"/>
              <w:jc w:val="left"/>
              <w:rPr/>
            </w:pPr>
            <w:r>
              <w:rPr/>
              <w:t>​</w:t>
            </w:r>
          </w:p>
        </w:tc>
        <w:tc>
          <w:tcPr>
            <w:tcW w:w="98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440"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Maturing in the</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148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29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June 30, 2026</w:t>
            </w:r>
          </w:p>
        </w:tc>
        <w:tc>
          <w:tcPr>
            <w:tcW w:w="346" w:type="dxa"/>
            <w:tcBorders/>
            <w:vAlign w:val="center"/>
          </w:tcPr>
          <w:p>
            <w:pPr>
              <w:pStyle w:val="TableContents"/>
              <w:bidi w:val="0"/>
              <w:spacing w:lineRule="auto" w:line="285" w:before="0" w:after="0"/>
              <w:ind w:left="0" w:right="0" w:hanging="0"/>
              <w:jc w:val="center"/>
              <w:rPr/>
            </w:pPr>
            <w:r>
              <w:rPr/>
              <w:t>  ​ ​ ​</w:t>
            </w:r>
          </w:p>
        </w:tc>
        <w:tc>
          <w:tcPr>
            <w:tcW w:w="14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Next 12 Months</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148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Philippine Peso</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0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989"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(1,728)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59"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108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(1,728)</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148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Mexican Peso</w:t>
            </w:r>
          </w:p>
        </w:tc>
        <w:tc>
          <w:tcPr>
            <w:tcW w:w="346" w:type="dxa"/>
            <w:tcBorders/>
            <w:vAlign w:val="center"/>
          </w:tcPr>
          <w:p>
            <w:pPr>
              <w:pStyle w:val="TableContents"/>
              <w:bidi w:val="0"/>
              <w:spacing w:lineRule="auto" w:line="285" w:before="0" w:after="0"/>
              <w:ind w:left="0" w:right="0" w:hanging="0"/>
              <w:jc w:val="left"/>
              <w:rPr/>
            </w:pPr>
            <w:r>
              <w:rPr/>
              <w:t>​</w:t>
            </w:r>
          </w:p>
        </w:tc>
        <w:tc>
          <w:tcPr>
            <w:tcW w:w="301" w:type="dxa"/>
            <w:tcBorders/>
            <w:vAlign w:val="center"/>
          </w:tcPr>
          <w:p>
            <w:pPr>
              <w:pStyle w:val="TableContents"/>
              <w:bidi w:val="0"/>
              <w:spacing w:lineRule="auto" w:line="285" w:before="0" w:after="0"/>
              <w:ind w:left="0" w:right="0" w:hanging="0"/>
              <w:jc w:val="right"/>
              <w:rPr/>
            </w:pPr>
            <w:r>
              <w:rPr/>
              <w:t> </w:t>
            </w:r>
          </w:p>
        </w:tc>
        <w:tc>
          <w:tcPr>
            <w:tcW w:w="989"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1,114</w:t>
            </w:r>
          </w:p>
        </w:tc>
        <w:tc>
          <w:tcPr>
            <w:tcW w:w="346" w:type="dxa"/>
            <w:tcBorders/>
            <w:vAlign w:val="center"/>
          </w:tcPr>
          <w:p>
            <w:pPr>
              <w:pStyle w:val="TableContents"/>
              <w:bidi w:val="0"/>
              <w:spacing w:lineRule="auto" w:line="285" w:before="0" w:after="0"/>
              <w:ind w:left="0" w:right="0" w:hanging="0"/>
              <w:jc w:val="left"/>
              <w:rPr/>
            </w:pPr>
            <w:r>
              <w:rPr/>
              <w:t>​</w:t>
            </w:r>
          </w:p>
        </w:tc>
        <w:tc>
          <w:tcPr>
            <w:tcW w:w="359" w:type="dxa"/>
            <w:tcBorders/>
            <w:vAlign w:val="center"/>
          </w:tcPr>
          <w:p>
            <w:pPr>
              <w:pStyle w:val="TableContents"/>
              <w:bidi w:val="0"/>
              <w:spacing w:lineRule="auto" w:line="285" w:before="0" w:after="0"/>
              <w:ind w:left="0" w:right="0" w:hanging="0"/>
              <w:jc w:val="right"/>
              <w:rPr/>
            </w:pPr>
            <w:r>
              <w:rPr/>
              <w:t> </w:t>
            </w:r>
          </w:p>
        </w:tc>
        <w:tc>
          <w:tcPr>
            <w:tcW w:w="108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1,114</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148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Colombian Peso</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8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5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10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104</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148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0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8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(510)</w:t>
            </w:r>
          </w:p>
        </w:tc>
        <w:tc>
          <w:tcPr>
            <w:tcW w:w="346" w:type="dxa"/>
            <w:tcBorders/>
            <w:vAlign w:val="center"/>
          </w:tcPr>
          <w:p>
            <w:pPr>
              <w:pStyle w:val="TableContents"/>
              <w:bidi w:val="0"/>
              <w:spacing w:lineRule="auto" w:line="285" w:before="0" w:after="0"/>
              <w:ind w:left="0" w:right="0" w:hanging="0"/>
              <w:jc w:val="left"/>
              <w:rPr/>
            </w:pPr>
            <w:r>
              <w:rPr/>
              <w:t>​</w:t>
            </w:r>
          </w:p>
        </w:tc>
        <w:tc>
          <w:tcPr>
            <w:tcW w:w="35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(510)</w:t>
            </w:r>
          </w:p>
        </w:tc>
        <w:tc>
          <w:tcPr>
            <w:tcW w:w="191"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Our cash flow hedges are valued using models based on market observable inputs, including both forward and spot foreign exchange rates, implied volatility, and counterparty credit risk. The decrease in fair value from December 31, 2025 reflects changes in the currency translation between the U.S. dollar and Mexican peso and U.S. dollar and Philippine pesos.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We recorded net (losses)/gains of $(0.7) million and $0.5 million for settled cash flow hedge contracts and the related premiums for the six months ended June 30, 2026 and 2025, respectively. These (losses)/gains were reflected in Revenue in the accompanying Consolidated Statements of Comprehensive Income (Loss). If the exchange rates between our various currency pairs were to increase or decrease by 10% from current period-end levels, we would incur a material gain or loss on the contracts. However, any gain or loss would be mitigated by corresponding increases or decreases in our underlying exposures.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Other than the transactions hedged as discussed above and in Part I, Item 1. Financial Statements, Note 5 to the Consolidated Financial Statements, the majority of the transactions of our U.S. and foreign operations are denominated in their respective local currency. However, transactions are denominated in other currencies from time-to-time. We do not currently engage in hedging activities related to these types of foreign currency risks because we believe them to be insignificant as we endeavor to settle these accounts on a timely basis. For the six months ended June 30, 2026 and 2025, approximately 19% and 17%, respectively, of revenue was derived from contracts denominated in currencies other than the U.S. dollar. Our results from operations and revenue could be adversely affected if the U.S. dollar strengthens significantly against foreign currencies.</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Fair Value of Debt and Equity Securities</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We did not have any material investments in marketable debt or equity securities as of June 30, 2026 or December 31, 2025.</w:t>
      </w:r>
    </w:p>
    <w:p>
      <w:pPr>
        <w:pStyle w:val="TextBody"/>
        <w:bidi w:val="0"/>
        <w:spacing w:lineRule="auto" w:line="285" w:before="0" w:after="0"/>
        <w:ind w:left="0" w:right="0" w:hanging="0"/>
        <w:jc w:val="left"/>
        <w:rPr/>
      </w:pPr>
      <w:r>
        <w:rPr/>
        <w:t>​</w:t>
      </w:r>
    </w:p>
    <w:p>
      <w:pPr>
        <w:pStyle w:val="TextBody"/>
        <w:bidi w:val="0"/>
        <w:spacing w:lineRule="auto" w:line="285" w:before="0" w:after="120"/>
        <w:ind w:left="0" w:right="0" w:hanging="0"/>
        <w:jc w:val="center"/>
        <w:rPr>
          <w:rFonts w:ascii="Arial;Helvetica;sans-serif" w:hAnsi="Arial;Helvetica;sans-serif"/>
          <w:b/>
          <w:sz w:val="20"/>
        </w:rPr>
      </w:pPr>
      <w:bookmarkStart w:id="1760" w:name="ITEM4_CONTROLSANDPROCEDURES_121019"/>
      <w:bookmarkStart w:id="1761" w:name="_debbbb1a_18ef_4898_aeb1_fa3794c7bdae"/>
      <w:bookmarkEnd w:id="1760"/>
      <w:bookmarkEnd w:id="1761"/>
      <w:r>
        <w:rPr>
          <w:rFonts w:ascii="Arial;Helvetica;sans-serif" w:hAnsi="Arial;Helvetica;sans-serif"/>
          <w:b/>
          <w:sz w:val="20"/>
        </w:rPr>
        <w:t>ITEM 4. CONTROLS AND PROCEDURES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This report includes the certifications of our Chief Executive Officer (the “CEO”) and Chief Financial Officer (the “CFO”) required by Rule 13a-14 of the Securities Exchange Act of 1934 (the “Exchange Act”). See Exhibits 31.1 and 31.2. This Item 4 includes information concerning the controls and control evaluations referred to in those certifications.</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Disclosure Controls and Procedures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 xml:space="preserve">Disclosure controls and procedures (as defined in Rules 13a-15(e) and 15d-15(e) under the Exchange Act) are designed to provide reasonable assurance that information required to be disclosed in reports filed or submitted under the Exchange Act is recorded, processed, summarized, and reported within the time periods specified in SEC rules and forms and that such information is accumulated and communicated to management, including our CEO and CFO, as appropriate, to allow timely decisions regarding required disclosure. </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 xml:space="preserve">We carried out an evaluation under the supervision and with the participation of management, including the CEO and CFO, of the effectiveness of our disclosure controls and procedures, as of June 30, 2026, the end of the period covered by this Form 10-Q. Based on this evaluation, our CEO and CFO have concluded that the Company’s disclosure controls and procedures were effective at the reasonable assurance level. </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37</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 xml:space="preserve">Inherent Limitations of Internal Controls </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Our management, including the CEO and CFO, believes that any disclosure controls and procedures or internal controls and procedures, no matter how well conceived and operated, can provide only reasonable, not absolute, assurance that the objectives of internal controls are met. Further, the design of internal controls must consider the benefits of controls relative to their costs. Inherent limitations within internal controls include the realities that judgments in decision-making can be faulty, and that breakdowns can occur because of simple errors or mistakes. Additionally, controls can be circumvented by the individual acts of some persons, by collusion of two or more people, or by unauthorized override of controls. Over time, controls may become inadequate because of changes in conditions or deterioration in the degree of compliance with associated policies or procedures. While the objective of the design of any system of controls is to provide reasonable assurance of the effectiveness of controls, such design is also based in part upon certain assumptions about the likelihood of future events, and such assumptions, while reasonable, may not take into account all potential future conditions. Thus, even effective internal control over financial reporting can only provide reasonable assurance of achieving their objectives. Therefore, because of the inherent limitations in cost effective internal controls, misstatements due to error or fraud may occur and may not be prevented or detected.</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Changes in Internal Control over Financial Reporting</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There were no changes in our internal control over financial reporting during the quarter ended June 30, 2026 that have materially affected, or are reasonably likely to materially affect, our internal control over financial reporting.</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b/>
          <w:sz w:val="20"/>
        </w:rPr>
      </w:pPr>
      <w:bookmarkStart w:id="1762" w:name="PARTII_OTHERINFORMATION_121023"/>
      <w:bookmarkStart w:id="1763" w:name="_b829ab52_865d_42c0_be7e_88330fe3e96b"/>
      <w:bookmarkEnd w:id="1762"/>
      <w:bookmarkEnd w:id="1763"/>
      <w:r>
        <w:rPr>
          <w:rFonts w:ascii="Arial;Helvetica;sans-serif" w:hAnsi="Arial;Helvetica;sans-serif"/>
          <w:b/>
          <w:sz w:val="20"/>
        </w:rPr>
        <w:t>PART II. OTHER INFORMATION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b/>
          <w:sz w:val="20"/>
        </w:rPr>
      </w:pPr>
      <w:bookmarkStart w:id="1764" w:name="ITEM1_LEGALPROCEEDINGS_121025"/>
      <w:bookmarkEnd w:id="1764"/>
      <w:r>
        <w:rPr>
          <w:rFonts w:ascii="Arial;Helvetica;sans-serif" w:hAnsi="Arial;Helvetica;sans-serif"/>
          <w:b/>
          <w:sz w:val="20"/>
        </w:rPr>
        <w:t>ITEM 1. LEGAL PROCEEDINGS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 information set forth under the caption “Legal Proceedings” in Part I, Item 1. Financial Statements, Note 9 to the Consolidated Financial Statements of this Form 10-Q is hereby incorporated by reference.</w:t>
      </w:r>
    </w:p>
    <w:p>
      <w:pPr>
        <w:pStyle w:val="TextBody"/>
        <w:bidi w:val="0"/>
        <w:spacing w:lineRule="auto" w:line="285" w:before="0" w:after="0"/>
        <w:ind w:left="0" w:right="0" w:hanging="0"/>
        <w:jc w:val="left"/>
        <w:rPr/>
      </w:pPr>
      <w:r>
        <w:rPr/>
        <w:t>​</w:t>
      </w:r>
    </w:p>
    <w:p>
      <w:pPr>
        <w:pStyle w:val="TextBody"/>
        <w:bidi w:val="0"/>
        <w:spacing w:lineRule="auto" w:line="285" w:before="0" w:after="120"/>
        <w:ind w:left="0" w:right="0" w:hanging="0"/>
        <w:jc w:val="center"/>
        <w:rPr>
          <w:rFonts w:ascii="Arial;Helvetica;sans-serif" w:hAnsi="Arial;Helvetica;sans-serif"/>
          <w:b/>
          <w:sz w:val="20"/>
        </w:rPr>
      </w:pPr>
      <w:bookmarkStart w:id="1765" w:name="ITEM1A_RISKFACTORS_121028"/>
      <w:bookmarkStart w:id="1766" w:name="_3ee8140e_d8c2_4a3f_b274_faa73db4c46f"/>
      <w:bookmarkEnd w:id="1765"/>
      <w:bookmarkEnd w:id="1766"/>
      <w:r>
        <w:rPr>
          <w:rFonts w:ascii="Arial;Helvetica;sans-serif" w:hAnsi="Arial;Helvetica;sans-serif"/>
          <w:b/>
          <w:sz w:val="20"/>
        </w:rPr>
        <w:t>ITEM 1A. RISK FACTORS</w:t>
      </w:r>
    </w:p>
    <w:p>
      <w:pPr>
        <w:pStyle w:val="TextBody"/>
        <w:bidi w:val="0"/>
        <w:spacing w:lineRule="auto" w:line="285" w:before="0" w:after="120"/>
        <w:ind w:left="0" w:right="0" w:hanging="0"/>
        <w:jc w:val="both"/>
        <w:rPr/>
      </w:pPr>
      <w:bookmarkStart w:id="1767" w:name="_Hlk506305936"/>
      <w:bookmarkEnd w:id="1767"/>
      <w:r>
        <w:rPr>
          <w:rFonts w:ascii="Arial;Helvetica;sans-serif" w:hAnsi="Arial;Helvetica;sans-serif"/>
          <w:sz w:val="20"/>
        </w:rPr>
        <w:t xml:space="preserve">There were no material changes to the Risk Factors described in Item 1A. Risk Factors included in our Annual Report on </w:t>
      </w:r>
      <w:hyperlink r:id="rId9">
        <w:r>
          <w:rPr>
            <w:rStyle w:val="InternetLink"/>
            <w:rFonts w:ascii="Arial;Helvetica;sans-serif" w:hAnsi="Arial;Helvetica;sans-serif"/>
            <w:b w:val="false"/>
            <w:i w:val="false"/>
            <w:caps w:val="false"/>
            <w:smallCaps w:val="false"/>
            <w:sz w:val="20"/>
          </w:rPr>
          <w:t>Form 10-K</w:t>
        </w:r>
      </w:hyperlink>
      <w:r>
        <w:rPr>
          <w:rFonts w:ascii="Arial;Helvetica;sans-serif" w:hAnsi="Arial;Helvetica;sans-serif"/>
          <w:sz w:val="20"/>
        </w:rPr>
        <w:t xml:space="preserve"> for the year ended December 31, 2025.</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b/>
          <w:sz w:val="20"/>
        </w:rPr>
      </w:pPr>
      <w:bookmarkStart w:id="1768" w:name="ITEM5OTHERINFORMATION_469585"/>
      <w:bookmarkStart w:id="1769" w:name="_fd34cd6d_cd27_4460_8ea1_7da633f0faa7"/>
      <w:bookmarkEnd w:id="1768"/>
      <w:bookmarkEnd w:id="1769"/>
      <w:r>
        <w:rPr>
          <w:rFonts w:ascii="Arial;Helvetica;sans-serif" w:hAnsi="Arial;Helvetica;sans-serif"/>
          <w:b/>
          <w:sz w:val="20"/>
        </w:rPr>
        <w:t>ITEM 5. OTHER INFORMATION</w:t>
      </w:r>
    </w:p>
    <w:p>
      <w:pPr>
        <w:pStyle w:val="TextBody"/>
        <w:bidi w:val="0"/>
        <w:spacing w:lineRule="auto" w:line="285" w:before="0" w:after="0"/>
        <w:ind w:left="0" w:right="0" w:hanging="0"/>
        <w:jc w:val="both"/>
        <w:rPr/>
      </w:pPr>
      <w:r>
        <w:rPr/>
        <w:t>​</w:t>
      </w:r>
    </w:p>
    <w:p>
      <w:pPr>
        <w:pStyle w:val="TextBody"/>
        <w:bidi w:val="0"/>
        <w:spacing w:lineRule="auto" w:line="285" w:before="0" w:after="120"/>
        <w:ind w:left="0" w:right="0" w:hanging="0"/>
        <w:jc w:val="both"/>
        <w:rPr/>
      </w:pPr>
      <w:r>
        <w:rPr>
          <w:rFonts w:ascii="Arial;Helvetica;sans-serif" w:hAnsi="Arial;Helvetica;sans-serif"/>
          <w:b/>
          <w:sz w:val="20"/>
        </w:rPr>
        <w:t xml:space="preserve">John Abou Appointment as Chief Executive Officer of TTEC Engage. </w:t>
      </w:r>
      <w:r>
        <w:rPr>
          <w:rFonts w:ascii="Arial;Helvetica;sans-serif" w:hAnsi="Arial;Helvetica;sans-serif"/>
          <w:sz w:val="20"/>
        </w:rPr>
        <w:t xml:space="preserve">Effective August 5, 2026, the Company appointed John Abou, as Chief Executive Officer of TTEC Engage business segment. Mr. Abou previously served as the President of this business segment. As a result of this appointment, Mr. Abou continues to be an executive officer of the Company. Information about Mr. Abou and his past business experience is set forth in the definitive Proxy Statement on </w:t>
      </w:r>
      <w:hyperlink r:id="rId10">
        <w:r>
          <w:rPr>
            <w:rStyle w:val="InternetLink"/>
            <w:rFonts w:ascii="Arial;Helvetica;sans-serif" w:hAnsi="Arial;Helvetica;sans-serif"/>
            <w:b w:val="false"/>
            <w:i w:val="false"/>
            <w:caps w:val="false"/>
            <w:smallCaps w:val="false"/>
            <w:sz w:val="20"/>
          </w:rPr>
          <w:t>Schedule 14A</w:t>
        </w:r>
      </w:hyperlink>
      <w:r>
        <w:rPr>
          <w:rFonts w:ascii="Arial;Helvetica;sans-serif" w:hAnsi="Arial;Helvetica;sans-serif"/>
          <w:sz w:val="20"/>
        </w:rPr>
        <w:t xml:space="preserve"> filed by the Company with the SEC on April 10, 2026. In connection with his appointment, on August 5, 2026, TTEC Services Corporation, the wholly subsidiary of the Company and the main operating company for TTEC Engage business segment entered into an amendment to Mr. Abou’s Employment Agreement, dated as of July 17, 2024, (the “Amendment”). </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38</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Pursuant to the Amendment Mr. Abou’s base salary increased from $600,000 to $625,000; his annual variable incentive plan target opportunity was set at up to 100% of base salary beginning with the 2026 performance year, with a guaranteed 2027 variable incentive payment (payable in 2028) equal to the greater of 50% of target ($312,500) or the amount actually earned based on performance. The Amendment also provides for a long-term incentive award consisting of 300,000 restricted stock units (“RSUs) vesting in two equal installments on the 12- and 18-month anniversaries of the grant date, and 426,000 performance-based restricted stock units (“PRSUs) eligible to vest based on TTEC Engage’s adjusted EBITDA performance through fiscal year 2028. If the Company experiences a change in control event before December 31, 2028, the PRSU portion of the award would convert to RSUs as if TTEC Engage performed at target for fiscal year 2028 with a vesting schedule to be aligned with the RSU portion of this long-term incentive award. The Amendment also modifies Mr. Abou’s severance entitlement to 18 months of base salary in case of a termination without cause or for good reason, and to two times base salary upon a qualifying termination in connection with a change in control event. The foregoing summary does not purport to be complete and is qualified in its entirety by reference to the full text of the Amendment, which is filed as Exhibit 10.1 to this Quarterly Report on Form 10-Q.</w:t>
      </w:r>
    </w:p>
    <w:p>
      <w:pPr>
        <w:pStyle w:val="TextBody"/>
        <w:bidi w:val="0"/>
        <w:spacing w:lineRule="auto" w:line="285" w:before="0" w:after="120"/>
        <w:ind w:left="0" w:right="0" w:hanging="0"/>
        <w:jc w:val="both"/>
        <w:rPr/>
      </w:pPr>
      <w:r>
        <w:rPr>
          <w:rFonts w:ascii="Arial;Helvetica;sans-serif" w:hAnsi="Arial;Helvetica;sans-serif"/>
          <w:b/>
          <w:sz w:val="20"/>
        </w:rPr>
        <w:t>Christopher Brown Appointment as President of TTEC Digital</w:t>
      </w:r>
      <w:r>
        <w:rPr>
          <w:rFonts w:ascii="Arial;Helvetica;sans-serif" w:hAnsi="Arial;Helvetica;sans-serif"/>
          <w:sz w:val="20"/>
        </w:rPr>
        <w:t xml:space="preserve">. As previously reported in the Company’s Current Report on </w:t>
      </w:r>
      <w:hyperlink r:id="rId11">
        <w:r>
          <w:rPr>
            <w:rStyle w:val="InternetLink"/>
            <w:rFonts w:ascii="Arial;Helvetica;sans-serif" w:hAnsi="Arial;Helvetica;sans-serif"/>
            <w:b w:val="false"/>
            <w:i w:val="false"/>
            <w:caps w:val="false"/>
            <w:smallCaps w:val="false"/>
            <w:sz w:val="20"/>
          </w:rPr>
          <w:t>Form 8-K</w:t>
        </w:r>
      </w:hyperlink>
      <w:r>
        <w:rPr>
          <w:rFonts w:ascii="Arial;Helvetica;sans-serif" w:hAnsi="Arial;Helvetica;sans-serif"/>
          <w:sz w:val="20"/>
        </w:rPr>
        <w:t xml:space="preserve"> filed with the SEC on March 23, 2026, the Company announced the appointment of Christopher J. Brown as President of TTEC Digital. As a result of this appointment, Mr. Brown became an executive officer of the Company. Information about Mr. Brown and his past business experience is set forth in the definitive Proxy Statement on </w:t>
      </w:r>
      <w:hyperlink r:id="rId12">
        <w:r>
          <w:rPr>
            <w:rStyle w:val="InternetLink"/>
            <w:rFonts w:ascii="Arial;Helvetica;sans-serif" w:hAnsi="Arial;Helvetica;sans-serif"/>
            <w:b w:val="false"/>
            <w:i w:val="false"/>
            <w:caps w:val="false"/>
            <w:smallCaps w:val="false"/>
            <w:sz w:val="20"/>
          </w:rPr>
          <w:t>Schedule 14A</w:t>
        </w:r>
      </w:hyperlink>
      <w:r>
        <w:rPr>
          <w:rFonts w:ascii="Arial;Helvetica;sans-serif" w:hAnsi="Arial;Helvetica;sans-serif"/>
          <w:sz w:val="20"/>
        </w:rPr>
        <w:t xml:space="preserve"> filed by the Company with the SEC on April 10, 2026. In connection with Mr. Brown’s appointment, on August 5, 2026, TTEC Digital LLC, the wholly owned subsidiary of the Company, and the main operating company of TTEC Digital business segment entered into an executive employment agreement with Mr. Brown effective the date of his appointment (“Brown Employment Agreement”). Pursuant to the terms of the Brown Employment Agreement, his base salary was set at $500,000; his annual variable incentive plan target opportunity and his long-term incentive program (“LTIP”) opportunity was set at up to 100% of base salary. The Brown Employment Agreement also sets Mr. Brown’s severance entitlement to 18 months of base salary in case of a termination without cause or for good reason, and two times base salary upon a qualifying termination in connection with a change in control event. The foregoing summary does not purport to be complete and is qualified in its entirety by reference to the full text of the employment agreement, which is filed as Exhibit 10.2 to this Quarterly Report on Form 10-Q or a subsequent filing.</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b/>
          <w:sz w:val="20"/>
        </w:rPr>
        <w:t xml:space="preserve">Executive Retention Program. </w:t>
      </w:r>
      <w:r>
        <w:rPr>
          <w:rFonts w:ascii="Arial;Helvetica;sans-serif" w:hAnsi="Arial;Helvetica;sans-serif"/>
          <w:sz w:val="20"/>
        </w:rPr>
        <w:t xml:space="preserve">On July 24, 2026, the Compensation Committee of the Board approved a one-time senior executive retention bonus program (the “Retention Program”) to incentivize continuity of leadership among the Chief Executive Officer’s direct reports through one or more anticipated transformational transactions in 2026–2027, including potential mergers and acquisitions, financing transactions, restructurings, or asset divestitures. All of the Chief Executive Officer’s direct reports participate in the Retention Program. Awards are structured as cash and/or cash and RSUs, vesting in two equal tranches 12 and 18 months after grant, subject to continued employment, with prorated payment upon a qualifying involuntary termination. The receipt of the awards is contingent on the participants’ continuing employment with the Company as of payment/vesting dates, provided however that the awards are subject to proration, if the participants’ employment with the Company is terminated for any reason, except cause, before the payment/vesting dates. </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Company’s participating named executive officers were granted the following awards: effective July 24, 2026, Kenneth R. Wagers, III, Chief Financial Officer, was granted 100,000 RSUs (grant date fair value of $210,000) and a $350,000 cash award, for a total value of $560,000, with the cash award payable 50% in July 2027 and 50% in January 2028</w:t>
      </w:r>
      <w:r>
        <w:rPr>
          <w:rFonts w:ascii="Arial;Helvetica;sans-serif" w:hAnsi="Arial;Helvetica;sans-serif"/>
          <w:b/>
          <w:sz w:val="20"/>
        </w:rPr>
        <w:t xml:space="preserve">, </w:t>
      </w:r>
      <w:r>
        <w:rPr>
          <w:rFonts w:ascii="Arial;Helvetica;sans-serif" w:hAnsi="Arial;Helvetica;sans-serif"/>
          <w:sz w:val="20"/>
        </w:rPr>
        <w:t>and the RSUs vesting on July 24, 2027 and January 24, 2028; Christopher J. Brown, President of TTEC Digital, was granted 75,000 RSUs (grant date fair value of $157,500) and a $300,000 cash award, for a total value of $457,500, on the same schedule as Mr. Wagers; and John Abou, Chief Executive Officer of TTEC Engage, was granted a cash award of $625,000, payable 50% in March, 2027 and the remaining 50% in April 2027. See Exhibits 10.3 and 10.4.</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During the three months ended June 30, 2026, none of the Company's directors or officers (as defined in Rule 16a-1(f) of the Exchange Act) adopted, terminated or modified a Rule 10b5-1 trading arrangement or non-Rule 10b5-1 trading arrangement, as such terms are defined in Item 408 of Regulation S-K.</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39</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0"/>
        <w:ind w:left="0" w:right="0" w:hanging="0"/>
        <w:jc w:val="center"/>
        <w:rPr>
          <w:rFonts w:ascii="Arial;Helvetica;sans-serif" w:hAnsi="Arial;Helvetica;sans-serif"/>
          <w:b/>
          <w:sz w:val="20"/>
        </w:rPr>
      </w:pPr>
      <w:bookmarkStart w:id="1770" w:name="ITEM6_EXHIBITS_121036"/>
      <w:bookmarkStart w:id="1771" w:name="_d761f0e9_5e60_46ad_9c35_80f2eceed486"/>
      <w:bookmarkEnd w:id="1770"/>
      <w:bookmarkEnd w:id="1771"/>
      <w:r>
        <w:rPr>
          <w:rFonts w:ascii="Arial;Helvetica;sans-serif" w:hAnsi="Arial;Helvetica;sans-serif"/>
          <w:b/>
          <w:sz w:val="20"/>
        </w:rPr>
        <w:t>ITEM 6. EXHIBITS</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34"/>
        <w:gridCol w:w="346"/>
        <w:gridCol w:w="6885"/>
        <w:gridCol w:w="109"/>
        <w:gridCol w:w="550"/>
        <w:gridCol w:w="114"/>
        <w:gridCol w:w="692"/>
        <w:gridCol w:w="114"/>
        <w:gridCol w:w="661"/>
      </w:tblGrid>
      <w:tr>
        <w:trPr/>
        <w:tc>
          <w:tcPr>
            <w:tcW w:w="73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219710" cy="175260"/>
                      <wp:effectExtent l="0" t="0" r="0" b="0"/>
                      <wp:wrapNone/>
                      <wp:docPr id="490" name="Frame4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885"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550" w:type="dxa"/>
            <w:tcBorders/>
            <w:vAlign w:val="center"/>
          </w:tcPr>
          <w:p>
            <w:pPr>
              <w:pStyle w:val="TableContents"/>
              <w:bidi w:val="0"/>
              <w:spacing w:lineRule="auto" w:line="285" w:before="0" w:after="0"/>
              <w:ind w:left="0" w:right="0" w:hanging="0"/>
              <w:jc w:val="left"/>
              <w:rPr/>
            </w:pPr>
            <w:r>
              <w:rPr/>
              <w:t>​</w:t>
            </w:r>
          </w:p>
        </w:tc>
        <w:tc>
          <w:tcPr>
            <w:tcW w:w="114" w:type="dxa"/>
            <w:tcBorders/>
            <w:vAlign w:val="center"/>
          </w:tcPr>
          <w:p>
            <w:pPr>
              <w:pStyle w:val="TableContents"/>
              <w:bidi w:val="0"/>
              <w:spacing w:lineRule="auto" w:line="285" w:before="0" w:after="0"/>
              <w:ind w:left="0" w:right="0" w:hanging="0"/>
              <w:jc w:val="left"/>
              <w:rPr/>
            </w:pPr>
            <w:r>
              <w:rPr/>
              <w:t>​</w:t>
            </w:r>
          </w:p>
        </w:tc>
        <w:tc>
          <w:tcPr>
            <w:tcW w:w="692" w:type="dxa"/>
            <w:tcBorders/>
            <w:vAlign w:val="center"/>
          </w:tcPr>
          <w:p>
            <w:pPr>
              <w:pStyle w:val="TableContents"/>
              <w:bidi w:val="0"/>
              <w:spacing w:lineRule="auto" w:line="285" w:before="0" w:after="0"/>
              <w:ind w:left="0" w:right="0" w:hanging="0"/>
              <w:jc w:val="left"/>
              <w:rPr/>
            </w:pPr>
            <w:r>
              <w:rPr/>
              <w:t>​</w:t>
            </w:r>
          </w:p>
        </w:tc>
        <w:tc>
          <w:tcPr>
            <w:tcW w:w="114" w:type="dxa"/>
            <w:tcBorders/>
            <w:vAlign w:val="center"/>
          </w:tcPr>
          <w:p>
            <w:pPr>
              <w:pStyle w:val="TableContents"/>
              <w:bidi w:val="0"/>
              <w:spacing w:lineRule="auto" w:line="285" w:before="0" w:after="0"/>
              <w:ind w:left="0" w:right="0" w:hanging="0"/>
              <w:jc w:val="left"/>
              <w:rPr/>
            </w:pPr>
            <w:r>
              <w:rPr/>
              <w:t>​</w:t>
            </w:r>
          </w:p>
        </w:tc>
        <w:tc>
          <w:tcPr>
            <w:tcW w:w="661" w:type="dxa"/>
            <w:tcBorders/>
            <w:vAlign w:val="center"/>
          </w:tcPr>
          <w:p>
            <w:pPr>
              <w:pStyle w:val="TableContents"/>
              <w:bidi w:val="0"/>
              <w:spacing w:lineRule="auto" w:line="285" w:before="0" w:after="0"/>
              <w:ind w:left="0" w:right="0" w:hanging="0"/>
              <w:jc w:val="left"/>
              <w:rPr/>
            </w:pPr>
            <w:r>
              <w:rPr/>
              <w:t>​</w:t>
            </w:r>
          </w:p>
        </w:tc>
      </w:tr>
      <w:tr>
        <w:trPr/>
        <w:tc>
          <w:tcPr>
            <w:tcW w:w="734" w:type="dxa"/>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b/>
                <w:sz w:val="16"/>
              </w:rPr>
            </w:pPr>
            <w:r>
              <w:rPr>
                <w:rFonts w:ascii="Arial;Helvetica;sans-serif" w:hAnsi="Arial;Helvetica;sans-serif"/>
                <w:b/>
                <w:sz w:val="16"/>
              </w:rPr>
              <w:t>Exhibit </w:t>
            </w:r>
          </w:p>
        </w:tc>
        <w:tc>
          <w:tcPr>
            <w:tcW w:w="346" w:type="dxa"/>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left"/>
              <w:rPr/>
            </w:pPr>
            <w:r>
              <w:rPr/>
              <w:t>​</w:t>
            </w:r>
          </w:p>
        </w:tc>
        <w:tc>
          <w:tcPr>
            <w:tcW w:w="6885" w:type="dxa"/>
            <w:tcBorders/>
            <w:shd w:fill="FFFFFF" w:val="clear"/>
            <w:vAlign w:val="center"/>
          </w:tcPr>
          <w:p>
            <w:pPr>
              <w:pStyle w:val="TableContents"/>
              <w:bidi w:val="0"/>
              <w:spacing w:lineRule="auto" w:line="285" w:before="0" w:after="0"/>
              <w:ind w:left="0" w:right="0" w:hanging="0"/>
              <w:jc w:val="center"/>
              <w:rPr/>
            </w:pPr>
            <w:r>
              <w:rPr/>
              <w:t>​</w:t>
            </w:r>
          </w:p>
        </w:tc>
        <w:tc>
          <w:tcPr>
            <w:tcW w:w="109" w:type="dxa"/>
            <w:tcBorders/>
            <w:shd w:fill="FFFFFF" w:val="clear"/>
            <w:vAlign w:val="center"/>
          </w:tcPr>
          <w:p>
            <w:pPr>
              <w:pStyle w:val="TableContents"/>
              <w:bidi w:val="0"/>
              <w:spacing w:lineRule="auto" w:line="285" w:before="0" w:after="0"/>
              <w:ind w:left="0" w:right="0" w:hanging="0"/>
              <w:jc w:val="center"/>
              <w:rPr/>
            </w:pPr>
            <w:r>
              <w:rPr/>
              <w:t>​</w:t>
            </w:r>
          </w:p>
        </w:tc>
        <w:tc>
          <w:tcPr>
            <w:tcW w:w="2131" w:type="dxa"/>
            <w:gridSpan w:val="5"/>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Incorporated Herein by Reference</w:t>
            </w:r>
          </w:p>
        </w:tc>
      </w:tr>
      <w:tr>
        <w:trPr/>
        <w:tc>
          <w:tcPr>
            <w:tcW w:w="734" w:type="dxa"/>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b/>
                <w:sz w:val="16"/>
              </w:rPr>
            </w:pPr>
            <w:r>
              <w:rPr>
                <w:rFonts w:ascii="Arial;Helvetica;sans-serif" w:hAnsi="Arial;Helvetica;sans-serif"/>
                <w:b/>
                <w:sz w:val="16"/>
              </w:rPr>
              <w:t>No.</w:t>
            </w:r>
          </w:p>
        </w:tc>
        <w:tc>
          <w:tcPr>
            <w:tcW w:w="346" w:type="dxa"/>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left"/>
              <w:rPr/>
            </w:pPr>
            <w:r>
              <w:rPr/>
              <w:t>  ​ ​ ​</w:t>
            </w:r>
          </w:p>
        </w:tc>
        <w:tc>
          <w:tcPr>
            <w:tcW w:w="6885" w:type="dxa"/>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Exhibit Description</w:t>
            </w:r>
          </w:p>
        </w:tc>
        <w:tc>
          <w:tcPr>
            <w:tcW w:w="109" w:type="dxa"/>
            <w:tcBorders/>
            <w:shd w:fill="FFFFFF" w:val="clear"/>
            <w:vAlign w:val="center"/>
          </w:tcPr>
          <w:p>
            <w:pPr>
              <w:pStyle w:val="TableContents"/>
              <w:bidi w:val="0"/>
              <w:spacing w:lineRule="auto" w:line="285" w:before="0" w:after="0"/>
              <w:ind w:left="0" w:right="0" w:hanging="0"/>
              <w:jc w:val="center"/>
              <w:rPr/>
            </w:pPr>
            <w:r>
              <w:rPr/>
              <w:t>​</w:t>
            </w:r>
          </w:p>
        </w:tc>
        <w:tc>
          <w:tcPr>
            <w:tcW w:w="550"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Form</w:t>
            </w:r>
          </w:p>
        </w:tc>
        <w:tc>
          <w:tcPr>
            <w:tcW w:w="114" w:type="dxa"/>
            <w:tcBorders/>
            <w:shd w:fill="FFFFFF" w:val="clear"/>
            <w:vAlign w:val="center"/>
          </w:tcPr>
          <w:p>
            <w:pPr>
              <w:pStyle w:val="TableContents"/>
              <w:bidi w:val="0"/>
              <w:spacing w:lineRule="auto" w:line="285" w:before="0" w:after="0"/>
              <w:ind w:left="0" w:right="0" w:hanging="0"/>
              <w:jc w:val="center"/>
              <w:rPr/>
            </w:pPr>
            <w:r>
              <w:rPr/>
              <w:t>​</w:t>
            </w:r>
          </w:p>
        </w:tc>
        <w:tc>
          <w:tcPr>
            <w:tcW w:w="692"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Exhibit</w:t>
            </w:r>
          </w:p>
        </w:tc>
        <w:tc>
          <w:tcPr>
            <w:tcW w:w="114" w:type="dxa"/>
            <w:tcBorders>
              <w:top w:val="single" w:sz="2" w:space="0" w:color="000000"/>
            </w:tcBorders>
            <w:shd w:fill="FFFFFF" w:val="clear"/>
            <w:tcMar>
              <w:top w:w="28" w:type="dxa"/>
            </w:tcMar>
            <w:vAlign w:val="center"/>
          </w:tcPr>
          <w:p>
            <w:pPr>
              <w:pStyle w:val="TableContents"/>
              <w:bidi w:val="0"/>
              <w:spacing w:lineRule="auto" w:line="285" w:before="0" w:after="0"/>
              <w:ind w:left="0" w:right="0" w:hanging="0"/>
              <w:jc w:val="center"/>
              <w:rPr/>
            </w:pPr>
            <w:r>
              <w:rPr/>
              <w:t>​</w:t>
            </w:r>
          </w:p>
        </w:tc>
        <w:tc>
          <w:tcPr>
            <w:tcW w:w="661"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Filing Date</w:t>
            </w:r>
          </w:p>
        </w:tc>
      </w:tr>
      <w:tr>
        <w:trPr/>
        <w:tc>
          <w:tcPr>
            <w:tcW w:w="734" w:type="dxa"/>
            <w:tcBorders>
              <w:top w:val="single" w:sz="2" w:space="0" w:color="000000"/>
            </w:tcBorders>
            <w:tcMar>
              <w:top w:w="28" w:type="dxa"/>
            </w:tcMar>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219710" cy="175260"/>
                      <wp:effectExtent l="0" t="0" r="0" b="0"/>
                      <wp:wrapNone/>
                      <wp:docPr id="491" name="Frame4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885" w:type="dxa"/>
            <w:tcBorders>
              <w:top w:val="single" w:sz="2" w:space="0" w:color="000000"/>
            </w:tcBorders>
            <w:tcMar>
              <w:top w:w="28" w:type="dxa"/>
            </w:tcMar>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550" w:type="dxa"/>
            <w:tcBorders>
              <w:top w:val="single" w:sz="2" w:space="0" w:color="000000"/>
            </w:tcBorders>
            <w:tcMar>
              <w:top w:w="28" w:type="dxa"/>
            </w:tcMar>
            <w:vAlign w:val="center"/>
          </w:tcPr>
          <w:p>
            <w:pPr>
              <w:pStyle w:val="TableContents"/>
              <w:bidi w:val="0"/>
              <w:spacing w:lineRule="auto" w:line="285" w:before="0" w:after="0"/>
              <w:ind w:left="0" w:right="0" w:hanging="0"/>
              <w:jc w:val="left"/>
              <w:rPr/>
            </w:pPr>
            <w:r>
              <w:rPr/>
              <w:t>​</w:t>
            </w:r>
          </w:p>
        </w:tc>
        <w:tc>
          <w:tcPr>
            <w:tcW w:w="114" w:type="dxa"/>
            <w:tcBorders/>
            <w:vAlign w:val="center"/>
          </w:tcPr>
          <w:p>
            <w:pPr>
              <w:pStyle w:val="TableContents"/>
              <w:bidi w:val="0"/>
              <w:spacing w:lineRule="auto" w:line="285" w:before="0" w:after="0"/>
              <w:ind w:left="0" w:right="0" w:hanging="0"/>
              <w:jc w:val="left"/>
              <w:rPr/>
            </w:pPr>
            <w:r>
              <w:rPr/>
              <w:t>​</w:t>
            </w:r>
          </w:p>
        </w:tc>
        <w:tc>
          <w:tcPr>
            <w:tcW w:w="692" w:type="dxa"/>
            <w:tcBorders>
              <w:top w:val="single" w:sz="2" w:space="0" w:color="000000"/>
            </w:tcBorders>
            <w:tcMar>
              <w:top w:w="28" w:type="dxa"/>
            </w:tcMar>
            <w:vAlign w:val="center"/>
          </w:tcPr>
          <w:p>
            <w:pPr>
              <w:pStyle w:val="TableContents"/>
              <w:bidi w:val="0"/>
              <w:spacing w:lineRule="auto" w:line="285" w:before="0" w:after="0"/>
              <w:ind w:left="0" w:right="0" w:hanging="0"/>
              <w:jc w:val="left"/>
              <w:rPr/>
            </w:pPr>
            <w:r>
              <w:rPr/>
              <w:t>​</w:t>
            </w:r>
          </w:p>
        </w:tc>
        <w:tc>
          <w:tcPr>
            <w:tcW w:w="114" w:type="dxa"/>
            <w:tcBorders/>
            <w:vAlign w:val="center"/>
          </w:tcPr>
          <w:p>
            <w:pPr>
              <w:pStyle w:val="TableContents"/>
              <w:bidi w:val="0"/>
              <w:spacing w:lineRule="auto" w:line="285" w:before="0" w:after="0"/>
              <w:ind w:left="0" w:right="0" w:hanging="0"/>
              <w:jc w:val="left"/>
              <w:rPr/>
            </w:pPr>
            <w:r>
              <w:rPr/>
              <w:t>​</w:t>
            </w:r>
          </w:p>
        </w:tc>
        <w:tc>
          <w:tcPr>
            <w:tcW w:w="661" w:type="dxa"/>
            <w:tcBorders>
              <w:top w:val="single" w:sz="2" w:space="0" w:color="000000"/>
            </w:tcBorders>
            <w:tcMar>
              <w:top w:w="28" w:type="dxa"/>
            </w:tcMar>
            <w:vAlign w:val="center"/>
          </w:tcPr>
          <w:p>
            <w:pPr>
              <w:pStyle w:val="TableContents"/>
              <w:bidi w:val="0"/>
              <w:spacing w:lineRule="auto" w:line="285" w:before="0" w:after="0"/>
              <w:ind w:left="0" w:right="0" w:hanging="0"/>
              <w:jc w:val="left"/>
              <w:rPr/>
            </w:pPr>
            <w:r>
              <w:rPr/>
              <w:t>​</w:t>
            </w:r>
          </w:p>
        </w:tc>
      </w:tr>
      <w:tr>
        <w:trPr/>
        <w:tc>
          <w:tcPr>
            <w:tcW w:w="734" w:type="dxa"/>
            <w:tcBorders/>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3.1</w:t>
            </w:r>
          </w:p>
        </w:tc>
        <w:tc>
          <w:tcPr>
            <w:tcW w:w="346" w:type="dxa"/>
            <w:tcBorders/>
            <w:vAlign w:val="center"/>
          </w:tcPr>
          <w:p>
            <w:pPr>
              <w:pStyle w:val="TableContents"/>
              <w:bidi w:val="0"/>
              <w:spacing w:lineRule="auto" w:line="285" w:before="0" w:after="0"/>
              <w:ind w:left="0" w:right="0" w:hanging="0"/>
              <w:jc w:val="right"/>
              <w:rPr/>
            </w:pPr>
            <w:r>
              <w:rPr/>
              <w:t>​</w:t>
            </w:r>
          </w:p>
        </w:tc>
        <w:tc>
          <w:tcPr>
            <w:tcW w:w="6885" w:type="dxa"/>
            <w:tcBorders/>
            <w:vAlign w:val="center"/>
          </w:tcPr>
          <w:p>
            <w:pPr>
              <w:pStyle w:val="TableContents"/>
              <w:bidi w:val="0"/>
              <w:spacing w:lineRule="auto" w:line="285" w:before="0" w:after="0"/>
              <w:ind w:left="0" w:right="0" w:hanging="0"/>
              <w:jc w:val="both"/>
              <w:rPr/>
            </w:pPr>
            <w:hyperlink r:id="rId13">
              <w:r>
                <w:rPr>
                  <w:rStyle w:val="InternetLink"/>
                  <w:rFonts w:ascii="Arial;Helvetica;sans-serif" w:hAnsi="Arial;Helvetica;sans-serif"/>
                  <w:b w:val="false"/>
                  <w:i w:val="false"/>
                  <w:caps w:val="false"/>
                  <w:smallCaps w:val="false"/>
                  <w:sz w:val="20"/>
                </w:rPr>
                <w:t>Certificate of Formation of TTEC Holdings, Inc., a Texas corporation, dated May 22, 2026</w:t>
              </w:r>
            </w:hyperlink>
          </w:p>
        </w:tc>
        <w:tc>
          <w:tcPr>
            <w:tcW w:w="109" w:type="dxa"/>
            <w:tcBorders/>
            <w:vAlign w:val="center"/>
          </w:tcPr>
          <w:p>
            <w:pPr>
              <w:pStyle w:val="TableContents"/>
              <w:bidi w:val="0"/>
              <w:spacing w:lineRule="auto" w:line="285" w:before="0" w:after="0"/>
              <w:ind w:left="0" w:right="0" w:hanging="0"/>
              <w:jc w:val="right"/>
              <w:rPr/>
            </w:pPr>
            <w:r>
              <w:rPr/>
              <w:t>​</w:t>
            </w:r>
          </w:p>
        </w:tc>
        <w:tc>
          <w:tcPr>
            <w:tcW w:w="550" w:type="dxa"/>
            <w:tcBorders/>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8-K</w:t>
            </w:r>
          </w:p>
        </w:tc>
        <w:tc>
          <w:tcPr>
            <w:tcW w:w="114" w:type="dxa"/>
            <w:tcBorders/>
            <w:vAlign w:val="center"/>
          </w:tcPr>
          <w:p>
            <w:pPr>
              <w:pStyle w:val="TableContents"/>
              <w:bidi w:val="0"/>
              <w:spacing w:lineRule="auto" w:line="285" w:before="0" w:after="0"/>
              <w:ind w:left="0" w:right="0" w:hanging="0"/>
              <w:jc w:val="right"/>
              <w:rPr/>
            </w:pPr>
            <w:r>
              <w:rPr/>
              <w:t>​</w:t>
            </w:r>
          </w:p>
        </w:tc>
        <w:tc>
          <w:tcPr>
            <w:tcW w:w="692" w:type="dxa"/>
            <w:tcBorders/>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3.1</w:t>
            </w:r>
          </w:p>
        </w:tc>
        <w:tc>
          <w:tcPr>
            <w:tcW w:w="114" w:type="dxa"/>
            <w:tcBorders/>
            <w:vAlign w:val="center"/>
          </w:tcPr>
          <w:p>
            <w:pPr>
              <w:pStyle w:val="TableContents"/>
              <w:bidi w:val="0"/>
              <w:spacing w:lineRule="auto" w:line="285" w:before="0" w:after="0"/>
              <w:ind w:left="0" w:right="0" w:hanging="0"/>
              <w:jc w:val="right"/>
              <w:rPr/>
            </w:pPr>
            <w:r>
              <w:rPr/>
              <w:t>​</w:t>
            </w:r>
          </w:p>
        </w:tc>
        <w:tc>
          <w:tcPr>
            <w:tcW w:w="661" w:type="dxa"/>
            <w:tcBorders/>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5/27/2026</w:t>
            </w:r>
          </w:p>
        </w:tc>
      </w:tr>
      <w:tr>
        <w:trPr/>
        <w:tc>
          <w:tcPr>
            <w:tcW w:w="73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219710" cy="175260"/>
                      <wp:effectExtent l="0" t="0" r="0" b="0"/>
                      <wp:wrapNone/>
                      <wp:docPr id="492" name="Frame4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885"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550" w:type="dxa"/>
            <w:tcBorders/>
            <w:vAlign w:val="center"/>
          </w:tcPr>
          <w:p>
            <w:pPr>
              <w:pStyle w:val="TableContents"/>
              <w:bidi w:val="0"/>
              <w:spacing w:lineRule="auto" w:line="285" w:before="0" w:after="0"/>
              <w:ind w:left="0" w:right="0" w:hanging="0"/>
              <w:jc w:val="left"/>
              <w:rPr/>
            </w:pPr>
            <w:r>
              <w:rPr/>
              <w:t>​</w:t>
            </w:r>
          </w:p>
        </w:tc>
        <w:tc>
          <w:tcPr>
            <w:tcW w:w="114" w:type="dxa"/>
            <w:tcBorders/>
            <w:vAlign w:val="center"/>
          </w:tcPr>
          <w:p>
            <w:pPr>
              <w:pStyle w:val="TableContents"/>
              <w:bidi w:val="0"/>
              <w:spacing w:lineRule="auto" w:line="285" w:before="0" w:after="0"/>
              <w:ind w:left="0" w:right="0" w:hanging="0"/>
              <w:jc w:val="left"/>
              <w:rPr/>
            </w:pPr>
            <w:r>
              <w:rPr/>
              <w:t>​</w:t>
            </w:r>
          </w:p>
        </w:tc>
        <w:tc>
          <w:tcPr>
            <w:tcW w:w="692" w:type="dxa"/>
            <w:tcBorders/>
            <w:vAlign w:val="center"/>
          </w:tcPr>
          <w:p>
            <w:pPr>
              <w:pStyle w:val="TableContents"/>
              <w:bidi w:val="0"/>
              <w:spacing w:lineRule="auto" w:line="285" w:before="0" w:after="0"/>
              <w:ind w:left="0" w:right="0" w:hanging="0"/>
              <w:jc w:val="left"/>
              <w:rPr/>
            </w:pPr>
            <w:r>
              <w:rPr/>
              <w:t>​</w:t>
            </w:r>
          </w:p>
        </w:tc>
        <w:tc>
          <w:tcPr>
            <w:tcW w:w="114" w:type="dxa"/>
            <w:tcBorders/>
            <w:vAlign w:val="center"/>
          </w:tcPr>
          <w:p>
            <w:pPr>
              <w:pStyle w:val="TableContents"/>
              <w:bidi w:val="0"/>
              <w:spacing w:lineRule="auto" w:line="285" w:before="0" w:after="0"/>
              <w:ind w:left="0" w:right="0" w:hanging="0"/>
              <w:jc w:val="left"/>
              <w:rPr/>
            </w:pPr>
            <w:r>
              <w:rPr/>
              <w:t>​</w:t>
            </w:r>
          </w:p>
        </w:tc>
        <w:tc>
          <w:tcPr>
            <w:tcW w:w="661" w:type="dxa"/>
            <w:tcBorders/>
            <w:vAlign w:val="center"/>
          </w:tcPr>
          <w:p>
            <w:pPr>
              <w:pStyle w:val="TableContents"/>
              <w:bidi w:val="0"/>
              <w:spacing w:lineRule="auto" w:line="285" w:before="0" w:after="0"/>
              <w:ind w:left="0" w:right="0" w:hanging="0"/>
              <w:jc w:val="left"/>
              <w:rPr/>
            </w:pPr>
            <w:r>
              <w:rPr/>
              <w:t>​</w:t>
            </w:r>
          </w:p>
        </w:tc>
      </w:tr>
      <w:tr>
        <w:trPr/>
        <w:tc>
          <w:tcPr>
            <w:tcW w:w="734" w:type="dxa"/>
            <w:tcBorders/>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3.2</w:t>
            </w:r>
          </w:p>
        </w:tc>
        <w:tc>
          <w:tcPr>
            <w:tcW w:w="346" w:type="dxa"/>
            <w:tcBorders/>
            <w:vAlign w:val="center"/>
          </w:tcPr>
          <w:p>
            <w:pPr>
              <w:pStyle w:val="TableContents"/>
              <w:bidi w:val="0"/>
              <w:spacing w:lineRule="auto" w:line="285" w:before="0" w:after="0"/>
              <w:ind w:left="0" w:right="0" w:hanging="0"/>
              <w:jc w:val="right"/>
              <w:rPr/>
            </w:pPr>
            <w:r>
              <w:rPr/>
              <w:t>​</w:t>
            </w:r>
          </w:p>
        </w:tc>
        <w:tc>
          <w:tcPr>
            <w:tcW w:w="6885" w:type="dxa"/>
            <w:tcBorders/>
            <w:vAlign w:val="center"/>
          </w:tcPr>
          <w:p>
            <w:pPr>
              <w:pStyle w:val="TableContents"/>
              <w:bidi w:val="0"/>
              <w:spacing w:lineRule="auto" w:line="285" w:before="0" w:after="0"/>
              <w:ind w:left="0" w:right="0" w:hanging="0"/>
              <w:jc w:val="both"/>
              <w:rPr/>
            </w:pPr>
            <w:hyperlink r:id="rId14">
              <w:r>
                <w:rPr>
                  <w:rStyle w:val="InternetLink"/>
                  <w:rFonts w:ascii="Arial;Helvetica;sans-serif" w:hAnsi="Arial;Helvetica;sans-serif"/>
                  <w:b w:val="false"/>
                  <w:i w:val="false"/>
                  <w:caps w:val="false"/>
                  <w:smallCaps w:val="false"/>
                  <w:sz w:val="20"/>
                </w:rPr>
                <w:t>Bylaws of TTEC Holdings, Inc., a Texas corporation</w:t>
              </w:r>
            </w:hyperlink>
          </w:p>
        </w:tc>
        <w:tc>
          <w:tcPr>
            <w:tcW w:w="109" w:type="dxa"/>
            <w:tcBorders/>
            <w:vAlign w:val="center"/>
          </w:tcPr>
          <w:p>
            <w:pPr>
              <w:pStyle w:val="TableContents"/>
              <w:bidi w:val="0"/>
              <w:spacing w:lineRule="auto" w:line="285" w:before="0" w:after="0"/>
              <w:ind w:left="0" w:right="0" w:hanging="0"/>
              <w:jc w:val="right"/>
              <w:rPr/>
            </w:pPr>
            <w:r>
              <w:rPr/>
              <w:t>​</w:t>
            </w:r>
          </w:p>
        </w:tc>
        <w:tc>
          <w:tcPr>
            <w:tcW w:w="550" w:type="dxa"/>
            <w:tcBorders/>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8-K</w:t>
            </w:r>
          </w:p>
        </w:tc>
        <w:tc>
          <w:tcPr>
            <w:tcW w:w="114" w:type="dxa"/>
            <w:tcBorders/>
            <w:vAlign w:val="center"/>
          </w:tcPr>
          <w:p>
            <w:pPr>
              <w:pStyle w:val="TableContents"/>
              <w:bidi w:val="0"/>
              <w:spacing w:lineRule="auto" w:line="285" w:before="0" w:after="0"/>
              <w:ind w:left="0" w:right="0" w:hanging="0"/>
              <w:jc w:val="right"/>
              <w:rPr/>
            </w:pPr>
            <w:r>
              <w:rPr/>
              <w:t>​</w:t>
            </w:r>
          </w:p>
        </w:tc>
        <w:tc>
          <w:tcPr>
            <w:tcW w:w="692" w:type="dxa"/>
            <w:tcBorders/>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3.2</w:t>
            </w:r>
          </w:p>
        </w:tc>
        <w:tc>
          <w:tcPr>
            <w:tcW w:w="114" w:type="dxa"/>
            <w:tcBorders/>
            <w:vAlign w:val="center"/>
          </w:tcPr>
          <w:p>
            <w:pPr>
              <w:pStyle w:val="TableContents"/>
              <w:bidi w:val="0"/>
              <w:spacing w:lineRule="auto" w:line="285" w:before="0" w:after="0"/>
              <w:ind w:left="0" w:right="0" w:hanging="0"/>
              <w:jc w:val="right"/>
              <w:rPr/>
            </w:pPr>
            <w:r>
              <w:rPr/>
              <w:t>​</w:t>
            </w:r>
          </w:p>
        </w:tc>
        <w:tc>
          <w:tcPr>
            <w:tcW w:w="661" w:type="dxa"/>
            <w:tcBorders/>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5/27/2026</w:t>
            </w:r>
          </w:p>
        </w:tc>
      </w:tr>
      <w:tr>
        <w:trPr/>
        <w:tc>
          <w:tcPr>
            <w:tcW w:w="73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219710" cy="175260"/>
                      <wp:effectExtent l="0" t="0" r="0" b="0"/>
                      <wp:wrapNone/>
                      <wp:docPr id="493" name="Frame4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885"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550" w:type="dxa"/>
            <w:tcBorders/>
            <w:vAlign w:val="center"/>
          </w:tcPr>
          <w:p>
            <w:pPr>
              <w:pStyle w:val="TableContents"/>
              <w:bidi w:val="0"/>
              <w:spacing w:lineRule="auto" w:line="285" w:before="0" w:after="0"/>
              <w:ind w:left="0" w:right="0" w:hanging="0"/>
              <w:jc w:val="left"/>
              <w:rPr/>
            </w:pPr>
            <w:r>
              <w:rPr/>
              <w:t>​</w:t>
            </w:r>
          </w:p>
        </w:tc>
        <w:tc>
          <w:tcPr>
            <w:tcW w:w="114" w:type="dxa"/>
            <w:tcBorders/>
            <w:vAlign w:val="center"/>
          </w:tcPr>
          <w:p>
            <w:pPr>
              <w:pStyle w:val="TableContents"/>
              <w:bidi w:val="0"/>
              <w:spacing w:lineRule="auto" w:line="285" w:before="0" w:after="0"/>
              <w:ind w:left="0" w:right="0" w:hanging="0"/>
              <w:jc w:val="left"/>
              <w:rPr/>
            </w:pPr>
            <w:r>
              <w:rPr/>
              <w:t>​</w:t>
            </w:r>
          </w:p>
        </w:tc>
        <w:tc>
          <w:tcPr>
            <w:tcW w:w="692" w:type="dxa"/>
            <w:tcBorders/>
            <w:vAlign w:val="center"/>
          </w:tcPr>
          <w:p>
            <w:pPr>
              <w:pStyle w:val="TableContents"/>
              <w:bidi w:val="0"/>
              <w:spacing w:lineRule="auto" w:line="285" w:before="0" w:after="0"/>
              <w:ind w:left="0" w:right="0" w:hanging="0"/>
              <w:jc w:val="left"/>
              <w:rPr/>
            </w:pPr>
            <w:r>
              <w:rPr/>
              <w:t>​</w:t>
            </w:r>
          </w:p>
        </w:tc>
        <w:tc>
          <w:tcPr>
            <w:tcW w:w="114" w:type="dxa"/>
            <w:tcBorders/>
            <w:vAlign w:val="center"/>
          </w:tcPr>
          <w:p>
            <w:pPr>
              <w:pStyle w:val="TableContents"/>
              <w:bidi w:val="0"/>
              <w:spacing w:lineRule="auto" w:line="285" w:before="0" w:after="0"/>
              <w:ind w:left="0" w:right="0" w:hanging="0"/>
              <w:jc w:val="left"/>
              <w:rPr/>
            </w:pPr>
            <w:r>
              <w:rPr/>
              <w:t>​</w:t>
            </w:r>
          </w:p>
        </w:tc>
        <w:tc>
          <w:tcPr>
            <w:tcW w:w="661" w:type="dxa"/>
            <w:tcBorders/>
            <w:vAlign w:val="center"/>
          </w:tcPr>
          <w:p>
            <w:pPr>
              <w:pStyle w:val="TableContents"/>
              <w:bidi w:val="0"/>
              <w:spacing w:lineRule="auto" w:line="285" w:before="0" w:after="0"/>
              <w:ind w:left="0" w:right="0" w:hanging="0"/>
              <w:jc w:val="left"/>
              <w:rPr/>
            </w:pPr>
            <w:r>
              <w:rPr/>
              <w:t>​</w:t>
            </w:r>
          </w:p>
        </w:tc>
      </w:tr>
      <w:tr>
        <w:trPr/>
        <w:tc>
          <w:tcPr>
            <w:tcW w:w="734" w:type="dxa"/>
            <w:tcBorders/>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4.1*</w:t>
            </w:r>
          </w:p>
        </w:tc>
        <w:tc>
          <w:tcPr>
            <w:tcW w:w="346" w:type="dxa"/>
            <w:tcBorders/>
            <w:vAlign w:val="center"/>
          </w:tcPr>
          <w:p>
            <w:pPr>
              <w:pStyle w:val="TableContents"/>
              <w:bidi w:val="0"/>
              <w:spacing w:lineRule="auto" w:line="285" w:before="0" w:after="0"/>
              <w:ind w:left="0" w:right="0" w:hanging="0"/>
              <w:jc w:val="left"/>
              <w:rPr/>
            </w:pPr>
            <w:r>
              <w:rPr/>
              <w:t>​</w:t>
            </w:r>
          </w:p>
        </w:tc>
        <w:tc>
          <w:tcPr>
            <w:tcW w:w="6885" w:type="dxa"/>
            <w:tcBorders/>
            <w:vAlign w:val="center"/>
          </w:tcPr>
          <w:p>
            <w:pPr>
              <w:pStyle w:val="TableContents"/>
              <w:bidi w:val="0"/>
              <w:spacing w:lineRule="auto" w:line="285" w:before="0" w:after="0"/>
              <w:ind w:left="0" w:right="0" w:hanging="0"/>
              <w:jc w:val="both"/>
              <w:rPr/>
            </w:pPr>
            <w:hyperlink w:anchor="ttec-20260630xex4d1.htm">
              <w:r>
                <w:rPr>
                  <w:rStyle w:val="InternetLink"/>
                  <w:rFonts w:ascii="Arial;Helvetica;sans-serif" w:hAnsi="Arial;Helvetica;sans-serif"/>
                  <w:b w:val="false"/>
                  <w:i w:val="false"/>
                  <w:caps w:val="false"/>
                  <w:smallCaps w:val="false"/>
                  <w:sz w:val="20"/>
                </w:rPr>
                <w:t>Description of Securities of TTEC Holdings, Inc. registered pursuant to Section 12 of the Securities Act of 1934</w:t>
              </w:r>
            </w:hyperlink>
          </w:p>
        </w:tc>
        <w:tc>
          <w:tcPr>
            <w:tcW w:w="109" w:type="dxa"/>
            <w:tcBorders/>
            <w:vAlign w:val="center"/>
          </w:tcPr>
          <w:p>
            <w:pPr>
              <w:pStyle w:val="TableContents"/>
              <w:bidi w:val="0"/>
              <w:spacing w:lineRule="auto" w:line="285" w:before="0" w:after="0"/>
              <w:ind w:left="0" w:right="0" w:hanging="0"/>
              <w:jc w:val="left"/>
              <w:rPr/>
            </w:pPr>
            <w:r>
              <w:rPr/>
              <w:t>​</w:t>
            </w:r>
          </w:p>
        </w:tc>
        <w:tc>
          <w:tcPr>
            <w:tcW w:w="550" w:type="dxa"/>
            <w:tcBorders/>
            <w:vAlign w:val="center"/>
          </w:tcPr>
          <w:p>
            <w:pPr>
              <w:pStyle w:val="TableContents"/>
              <w:bidi w:val="0"/>
              <w:spacing w:lineRule="auto" w:line="285" w:before="0" w:after="0"/>
              <w:ind w:left="0" w:right="0" w:hanging="0"/>
              <w:jc w:val="left"/>
              <w:rPr/>
            </w:pPr>
            <w:r>
              <w:rPr/>
              <w:t>​</w:t>
            </w:r>
          </w:p>
        </w:tc>
        <w:tc>
          <w:tcPr>
            <w:tcW w:w="114" w:type="dxa"/>
            <w:tcBorders/>
            <w:vAlign w:val="center"/>
          </w:tcPr>
          <w:p>
            <w:pPr>
              <w:pStyle w:val="TableContents"/>
              <w:bidi w:val="0"/>
              <w:spacing w:lineRule="auto" w:line="285" w:before="0" w:after="0"/>
              <w:ind w:left="0" w:right="0" w:hanging="0"/>
              <w:jc w:val="left"/>
              <w:rPr/>
            </w:pPr>
            <w:r>
              <w:rPr/>
              <w:t>​</w:t>
            </w:r>
          </w:p>
        </w:tc>
        <w:tc>
          <w:tcPr>
            <w:tcW w:w="692" w:type="dxa"/>
            <w:tcBorders/>
            <w:vAlign w:val="center"/>
          </w:tcPr>
          <w:p>
            <w:pPr>
              <w:pStyle w:val="TableContents"/>
              <w:bidi w:val="0"/>
              <w:spacing w:lineRule="auto" w:line="285" w:before="0" w:after="0"/>
              <w:ind w:left="0" w:right="0" w:hanging="0"/>
              <w:jc w:val="left"/>
              <w:rPr/>
            </w:pPr>
            <w:r>
              <w:rPr/>
              <w:t>​</w:t>
            </w:r>
          </w:p>
        </w:tc>
        <w:tc>
          <w:tcPr>
            <w:tcW w:w="114" w:type="dxa"/>
            <w:tcBorders/>
            <w:vAlign w:val="center"/>
          </w:tcPr>
          <w:p>
            <w:pPr>
              <w:pStyle w:val="TableContents"/>
              <w:bidi w:val="0"/>
              <w:spacing w:lineRule="auto" w:line="285" w:before="0" w:after="0"/>
              <w:ind w:left="0" w:right="0" w:hanging="0"/>
              <w:jc w:val="left"/>
              <w:rPr/>
            </w:pPr>
            <w:r>
              <w:rPr/>
              <w:t>​</w:t>
            </w:r>
          </w:p>
        </w:tc>
        <w:tc>
          <w:tcPr>
            <w:tcW w:w="661" w:type="dxa"/>
            <w:tcBorders/>
            <w:vAlign w:val="center"/>
          </w:tcPr>
          <w:p>
            <w:pPr>
              <w:pStyle w:val="TableContents"/>
              <w:bidi w:val="0"/>
              <w:spacing w:lineRule="auto" w:line="285" w:before="0" w:after="0"/>
              <w:ind w:left="0" w:right="0" w:hanging="0"/>
              <w:jc w:val="left"/>
              <w:rPr/>
            </w:pPr>
            <w:r>
              <w:rPr/>
              <w:t>​</w:t>
            </w:r>
          </w:p>
        </w:tc>
      </w:tr>
      <w:tr>
        <w:trPr/>
        <w:tc>
          <w:tcPr>
            <w:tcW w:w="73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219710" cy="175260"/>
                      <wp:effectExtent l="0" t="0" r="0" b="0"/>
                      <wp:wrapNone/>
                      <wp:docPr id="494" name="Frame4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885" w:type="dxa"/>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550" w:type="dxa"/>
            <w:tcBorders/>
            <w:vAlign w:val="center"/>
          </w:tcPr>
          <w:p>
            <w:pPr>
              <w:pStyle w:val="TableContents"/>
              <w:bidi w:val="0"/>
              <w:spacing w:lineRule="auto" w:line="285" w:before="0" w:after="0"/>
              <w:ind w:left="0" w:right="0" w:hanging="0"/>
              <w:jc w:val="left"/>
              <w:rPr/>
            </w:pPr>
            <w:r>
              <w:rPr/>
              <w:t>​</w:t>
            </w:r>
          </w:p>
        </w:tc>
        <w:tc>
          <w:tcPr>
            <w:tcW w:w="114" w:type="dxa"/>
            <w:tcBorders/>
            <w:vAlign w:val="center"/>
          </w:tcPr>
          <w:p>
            <w:pPr>
              <w:pStyle w:val="TableContents"/>
              <w:bidi w:val="0"/>
              <w:spacing w:lineRule="auto" w:line="285" w:before="0" w:after="0"/>
              <w:ind w:left="0" w:right="0" w:hanging="0"/>
              <w:jc w:val="left"/>
              <w:rPr/>
            </w:pPr>
            <w:r>
              <w:rPr/>
              <w:t>​</w:t>
            </w:r>
          </w:p>
        </w:tc>
        <w:tc>
          <w:tcPr>
            <w:tcW w:w="692" w:type="dxa"/>
            <w:tcBorders/>
            <w:vAlign w:val="center"/>
          </w:tcPr>
          <w:p>
            <w:pPr>
              <w:pStyle w:val="TableContents"/>
              <w:bidi w:val="0"/>
              <w:spacing w:lineRule="auto" w:line="285" w:before="0" w:after="0"/>
              <w:ind w:left="0" w:right="0" w:hanging="0"/>
              <w:jc w:val="left"/>
              <w:rPr/>
            </w:pPr>
            <w:r>
              <w:rPr/>
              <w:t>​</w:t>
            </w:r>
          </w:p>
        </w:tc>
        <w:tc>
          <w:tcPr>
            <w:tcW w:w="114" w:type="dxa"/>
            <w:tcBorders/>
            <w:vAlign w:val="center"/>
          </w:tcPr>
          <w:p>
            <w:pPr>
              <w:pStyle w:val="TableContents"/>
              <w:bidi w:val="0"/>
              <w:spacing w:lineRule="auto" w:line="285" w:before="0" w:after="0"/>
              <w:ind w:left="0" w:right="0" w:hanging="0"/>
              <w:jc w:val="left"/>
              <w:rPr/>
            </w:pPr>
            <w:r>
              <w:rPr/>
              <w:t>​</w:t>
            </w:r>
          </w:p>
        </w:tc>
        <w:tc>
          <w:tcPr>
            <w:tcW w:w="661" w:type="dxa"/>
            <w:tcBorders/>
            <w:vAlign w:val="center"/>
          </w:tcPr>
          <w:p>
            <w:pPr>
              <w:pStyle w:val="TableContents"/>
              <w:bidi w:val="0"/>
              <w:spacing w:lineRule="auto" w:line="285" w:before="0" w:after="0"/>
              <w:ind w:left="0" w:right="0" w:hanging="0"/>
              <w:jc w:val="left"/>
              <w:rPr/>
            </w:pPr>
            <w:r>
              <w:rPr/>
              <w:t>​</w:t>
            </w:r>
          </w:p>
        </w:tc>
      </w:tr>
      <w:tr>
        <w:trPr/>
        <w:tc>
          <w:tcPr>
            <w:tcW w:w="734" w:type="dxa"/>
            <w:tcBorders/>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10.1*</w:t>
            </w:r>
          </w:p>
        </w:tc>
        <w:tc>
          <w:tcPr>
            <w:tcW w:w="346" w:type="dxa"/>
            <w:tcBorders/>
            <w:vAlign w:val="center"/>
          </w:tcPr>
          <w:p>
            <w:pPr>
              <w:pStyle w:val="TableContents"/>
              <w:bidi w:val="0"/>
              <w:spacing w:lineRule="auto" w:line="285" w:before="0" w:after="0"/>
              <w:ind w:left="0" w:right="0" w:hanging="0"/>
              <w:jc w:val="left"/>
              <w:rPr/>
            </w:pPr>
            <w:r>
              <w:rPr/>
              <w:t>​</w:t>
            </w:r>
          </w:p>
        </w:tc>
        <w:tc>
          <w:tcPr>
            <w:tcW w:w="6885" w:type="dxa"/>
            <w:tcBorders/>
            <w:vAlign w:val="center"/>
          </w:tcPr>
          <w:p>
            <w:pPr>
              <w:pStyle w:val="TableContents"/>
              <w:bidi w:val="0"/>
              <w:spacing w:lineRule="auto" w:line="285" w:before="0" w:after="0"/>
              <w:ind w:left="0" w:right="0" w:hanging="0"/>
              <w:jc w:val="both"/>
              <w:rPr/>
            </w:pPr>
            <w:hyperlink w:anchor="ttec-20260630xex10d1.htm">
              <w:r>
                <w:rPr>
                  <w:rStyle w:val="InternetLink"/>
                  <w:rFonts w:ascii="Arial;Helvetica;sans-serif" w:hAnsi="Arial;Helvetica;sans-serif"/>
                  <w:b w:val="false"/>
                  <w:i w:val="false"/>
                  <w:caps w:val="false"/>
                  <w:smallCaps w:val="false"/>
                  <w:sz w:val="20"/>
                </w:rPr>
                <w:t>Amendment to Executive Employment Agreement on July 17, 2024, executed to be effective August 5, 2026, by and between John P. Abou and TTEC Services Corporation</w:t>
              </w:r>
            </w:hyperlink>
          </w:p>
        </w:tc>
        <w:tc>
          <w:tcPr>
            <w:tcW w:w="109" w:type="dxa"/>
            <w:tcBorders/>
            <w:vAlign w:val="center"/>
          </w:tcPr>
          <w:p>
            <w:pPr>
              <w:pStyle w:val="TableContents"/>
              <w:bidi w:val="0"/>
              <w:spacing w:lineRule="auto" w:line="285" w:before="0" w:after="0"/>
              <w:ind w:left="0" w:right="0" w:hanging="0"/>
              <w:jc w:val="left"/>
              <w:rPr/>
            </w:pPr>
            <w:r>
              <w:rPr/>
              <w:t>​</w:t>
            </w:r>
          </w:p>
        </w:tc>
        <w:tc>
          <w:tcPr>
            <w:tcW w:w="550" w:type="dxa"/>
            <w:tcBorders/>
            <w:vAlign w:val="center"/>
          </w:tcPr>
          <w:p>
            <w:pPr>
              <w:pStyle w:val="TableContents"/>
              <w:bidi w:val="0"/>
              <w:spacing w:lineRule="auto" w:line="285" w:before="0" w:after="0"/>
              <w:ind w:left="0" w:right="0" w:hanging="0"/>
              <w:jc w:val="left"/>
              <w:rPr/>
            </w:pPr>
            <w:r>
              <w:rPr/>
              <w:t>​</w:t>
            </w:r>
          </w:p>
        </w:tc>
        <w:tc>
          <w:tcPr>
            <w:tcW w:w="114" w:type="dxa"/>
            <w:tcBorders/>
            <w:vAlign w:val="center"/>
          </w:tcPr>
          <w:p>
            <w:pPr>
              <w:pStyle w:val="TableContents"/>
              <w:bidi w:val="0"/>
              <w:spacing w:lineRule="auto" w:line="285" w:before="0" w:after="0"/>
              <w:ind w:left="0" w:right="0" w:hanging="0"/>
              <w:jc w:val="left"/>
              <w:rPr/>
            </w:pPr>
            <w:r>
              <w:rPr/>
              <w:t>​</w:t>
            </w:r>
          </w:p>
        </w:tc>
        <w:tc>
          <w:tcPr>
            <w:tcW w:w="692" w:type="dxa"/>
            <w:tcBorders/>
            <w:vAlign w:val="center"/>
          </w:tcPr>
          <w:p>
            <w:pPr>
              <w:pStyle w:val="TableContents"/>
              <w:bidi w:val="0"/>
              <w:spacing w:lineRule="auto" w:line="285" w:before="0" w:after="0"/>
              <w:ind w:left="0" w:right="0" w:hanging="0"/>
              <w:jc w:val="left"/>
              <w:rPr/>
            </w:pPr>
            <w:r>
              <w:rPr/>
              <w:t>​</w:t>
            </w:r>
          </w:p>
        </w:tc>
        <w:tc>
          <w:tcPr>
            <w:tcW w:w="114" w:type="dxa"/>
            <w:tcBorders/>
            <w:vAlign w:val="center"/>
          </w:tcPr>
          <w:p>
            <w:pPr>
              <w:pStyle w:val="TableContents"/>
              <w:bidi w:val="0"/>
              <w:spacing w:lineRule="auto" w:line="285" w:before="0" w:after="0"/>
              <w:ind w:left="0" w:right="0" w:hanging="0"/>
              <w:jc w:val="left"/>
              <w:rPr/>
            </w:pPr>
            <w:r>
              <w:rPr/>
              <w:t>​</w:t>
            </w:r>
          </w:p>
        </w:tc>
        <w:tc>
          <w:tcPr>
            <w:tcW w:w="661" w:type="dxa"/>
            <w:tcBorders/>
            <w:vAlign w:val="center"/>
          </w:tcPr>
          <w:p>
            <w:pPr>
              <w:pStyle w:val="TableContents"/>
              <w:bidi w:val="0"/>
              <w:spacing w:lineRule="auto" w:line="285" w:before="0" w:after="0"/>
              <w:ind w:left="0" w:right="0" w:hanging="0"/>
              <w:jc w:val="left"/>
              <w:rPr/>
            </w:pPr>
            <w:r>
              <w:rPr/>
              <w:t>​</w:t>
            </w:r>
          </w:p>
        </w:tc>
      </w:tr>
      <w:tr>
        <w:trPr/>
        <w:tc>
          <w:tcPr>
            <w:tcW w:w="73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219710" cy="175260"/>
                      <wp:effectExtent l="0" t="0" r="0" b="0"/>
                      <wp:wrapNone/>
                      <wp:docPr id="495" name="Frame4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885"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550" w:type="dxa"/>
            <w:tcBorders/>
            <w:vAlign w:val="center"/>
          </w:tcPr>
          <w:p>
            <w:pPr>
              <w:pStyle w:val="TableContents"/>
              <w:bidi w:val="0"/>
              <w:spacing w:lineRule="auto" w:line="285" w:before="0" w:after="0"/>
              <w:ind w:left="0" w:right="0" w:hanging="0"/>
              <w:jc w:val="left"/>
              <w:rPr/>
            </w:pPr>
            <w:r>
              <w:rPr/>
              <w:t>​</w:t>
            </w:r>
          </w:p>
        </w:tc>
        <w:tc>
          <w:tcPr>
            <w:tcW w:w="114" w:type="dxa"/>
            <w:tcBorders/>
            <w:vAlign w:val="center"/>
          </w:tcPr>
          <w:p>
            <w:pPr>
              <w:pStyle w:val="TableContents"/>
              <w:bidi w:val="0"/>
              <w:spacing w:lineRule="auto" w:line="285" w:before="0" w:after="0"/>
              <w:ind w:left="0" w:right="0" w:hanging="0"/>
              <w:jc w:val="left"/>
              <w:rPr/>
            </w:pPr>
            <w:r>
              <w:rPr/>
              <w:t>​</w:t>
            </w:r>
          </w:p>
        </w:tc>
        <w:tc>
          <w:tcPr>
            <w:tcW w:w="692" w:type="dxa"/>
            <w:tcBorders/>
            <w:vAlign w:val="center"/>
          </w:tcPr>
          <w:p>
            <w:pPr>
              <w:pStyle w:val="TableContents"/>
              <w:bidi w:val="0"/>
              <w:spacing w:lineRule="auto" w:line="285" w:before="0" w:after="0"/>
              <w:ind w:left="0" w:right="0" w:hanging="0"/>
              <w:jc w:val="left"/>
              <w:rPr/>
            </w:pPr>
            <w:r>
              <w:rPr/>
              <w:t>​</w:t>
            </w:r>
          </w:p>
        </w:tc>
        <w:tc>
          <w:tcPr>
            <w:tcW w:w="114" w:type="dxa"/>
            <w:tcBorders/>
            <w:vAlign w:val="center"/>
          </w:tcPr>
          <w:p>
            <w:pPr>
              <w:pStyle w:val="TableContents"/>
              <w:bidi w:val="0"/>
              <w:spacing w:lineRule="auto" w:line="285" w:before="0" w:after="0"/>
              <w:ind w:left="0" w:right="0" w:hanging="0"/>
              <w:jc w:val="left"/>
              <w:rPr/>
            </w:pPr>
            <w:r>
              <w:rPr/>
              <w:t>​</w:t>
            </w:r>
          </w:p>
        </w:tc>
        <w:tc>
          <w:tcPr>
            <w:tcW w:w="661" w:type="dxa"/>
            <w:tcBorders/>
            <w:vAlign w:val="center"/>
          </w:tcPr>
          <w:p>
            <w:pPr>
              <w:pStyle w:val="TableContents"/>
              <w:bidi w:val="0"/>
              <w:spacing w:lineRule="auto" w:line="285" w:before="0" w:after="0"/>
              <w:ind w:left="0" w:right="0" w:hanging="0"/>
              <w:jc w:val="left"/>
              <w:rPr/>
            </w:pPr>
            <w:r>
              <w:rPr/>
              <w:t>​</w:t>
            </w:r>
          </w:p>
        </w:tc>
      </w:tr>
      <w:tr>
        <w:trPr/>
        <w:tc>
          <w:tcPr>
            <w:tcW w:w="734" w:type="dxa"/>
            <w:tcBorders/>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10.2*</w:t>
            </w:r>
          </w:p>
        </w:tc>
        <w:tc>
          <w:tcPr>
            <w:tcW w:w="346" w:type="dxa"/>
            <w:tcBorders/>
            <w:vAlign w:val="center"/>
          </w:tcPr>
          <w:p>
            <w:pPr>
              <w:pStyle w:val="TableContents"/>
              <w:bidi w:val="0"/>
              <w:spacing w:lineRule="auto" w:line="285" w:before="0" w:after="0"/>
              <w:ind w:left="0" w:right="0" w:hanging="0"/>
              <w:jc w:val="right"/>
              <w:rPr/>
            </w:pPr>
            <w:r>
              <w:rPr/>
              <w:t>​</w:t>
            </w:r>
          </w:p>
        </w:tc>
        <w:tc>
          <w:tcPr>
            <w:tcW w:w="6885" w:type="dxa"/>
            <w:tcBorders/>
            <w:vAlign w:val="center"/>
          </w:tcPr>
          <w:p>
            <w:pPr>
              <w:pStyle w:val="TableContents"/>
              <w:bidi w:val="0"/>
              <w:spacing w:lineRule="auto" w:line="285" w:before="0" w:after="0"/>
              <w:ind w:left="0" w:right="0" w:hanging="0"/>
              <w:jc w:val="both"/>
              <w:rPr/>
            </w:pPr>
            <w:hyperlink w:anchor="ttec-20260630xex10d2.htm">
              <w:r>
                <w:rPr>
                  <w:rStyle w:val="InternetLink"/>
                  <w:rFonts w:ascii="Arial;Helvetica;sans-serif" w:hAnsi="Arial;Helvetica;sans-serif"/>
                  <w:b w:val="false"/>
                  <w:i w:val="false"/>
                  <w:caps w:val="false"/>
                  <w:smallCaps w:val="false"/>
                  <w:sz w:val="20"/>
                </w:rPr>
                <w:t>Executive Employment Agreement executed on August 7, 2026 to be effective as of the date of appointment on March 17, 2026, by and between Christopher J. Brown and TTEC Digital LLC</w:t>
              </w:r>
            </w:hyperlink>
          </w:p>
        </w:tc>
        <w:tc>
          <w:tcPr>
            <w:tcW w:w="109" w:type="dxa"/>
            <w:tcBorders/>
            <w:vAlign w:val="center"/>
          </w:tcPr>
          <w:p>
            <w:pPr>
              <w:pStyle w:val="TableContents"/>
              <w:bidi w:val="0"/>
              <w:spacing w:lineRule="auto" w:line="285" w:before="0" w:after="0"/>
              <w:ind w:left="0" w:right="0" w:hanging="0"/>
              <w:jc w:val="right"/>
              <w:rPr/>
            </w:pPr>
            <w:r>
              <w:rPr/>
              <w:t>​</w:t>
            </w:r>
          </w:p>
        </w:tc>
        <w:tc>
          <w:tcPr>
            <w:tcW w:w="550" w:type="dxa"/>
            <w:tcBorders/>
            <w:vAlign w:val="center"/>
          </w:tcPr>
          <w:p>
            <w:pPr>
              <w:pStyle w:val="TableContents"/>
              <w:bidi w:val="0"/>
              <w:spacing w:lineRule="auto" w:line="285" w:before="0" w:after="0"/>
              <w:ind w:left="0" w:right="0" w:hanging="0"/>
              <w:jc w:val="right"/>
              <w:rPr/>
            </w:pPr>
            <w:r>
              <w:rPr/>
              <w:t>​</w:t>
            </w:r>
          </w:p>
        </w:tc>
        <w:tc>
          <w:tcPr>
            <w:tcW w:w="114" w:type="dxa"/>
            <w:tcBorders/>
            <w:vAlign w:val="center"/>
          </w:tcPr>
          <w:p>
            <w:pPr>
              <w:pStyle w:val="TableContents"/>
              <w:bidi w:val="0"/>
              <w:spacing w:lineRule="auto" w:line="285" w:before="0" w:after="0"/>
              <w:ind w:left="0" w:right="0" w:hanging="0"/>
              <w:jc w:val="right"/>
              <w:rPr/>
            </w:pPr>
            <w:r>
              <w:rPr/>
              <w:t>​</w:t>
            </w:r>
          </w:p>
        </w:tc>
        <w:tc>
          <w:tcPr>
            <w:tcW w:w="692" w:type="dxa"/>
            <w:tcBorders/>
            <w:vAlign w:val="center"/>
          </w:tcPr>
          <w:p>
            <w:pPr>
              <w:pStyle w:val="TableContents"/>
              <w:bidi w:val="0"/>
              <w:spacing w:lineRule="auto" w:line="285" w:before="0" w:after="0"/>
              <w:ind w:left="0" w:right="0" w:hanging="0"/>
              <w:jc w:val="right"/>
              <w:rPr/>
            </w:pPr>
            <w:r>
              <w:rPr/>
              <w:t>​</w:t>
            </w:r>
          </w:p>
        </w:tc>
        <w:tc>
          <w:tcPr>
            <w:tcW w:w="114" w:type="dxa"/>
            <w:tcBorders/>
            <w:vAlign w:val="center"/>
          </w:tcPr>
          <w:p>
            <w:pPr>
              <w:pStyle w:val="TableContents"/>
              <w:bidi w:val="0"/>
              <w:spacing w:lineRule="auto" w:line="285" w:before="0" w:after="0"/>
              <w:ind w:left="0" w:right="0" w:hanging="0"/>
              <w:jc w:val="right"/>
              <w:rPr/>
            </w:pPr>
            <w:r>
              <w:rPr/>
              <w:t>​</w:t>
            </w:r>
          </w:p>
        </w:tc>
        <w:tc>
          <w:tcPr>
            <w:tcW w:w="661" w:type="dxa"/>
            <w:tcBorders/>
            <w:vAlign w:val="center"/>
          </w:tcPr>
          <w:p>
            <w:pPr>
              <w:pStyle w:val="TableContents"/>
              <w:bidi w:val="0"/>
              <w:spacing w:lineRule="auto" w:line="285" w:before="0" w:after="0"/>
              <w:ind w:left="0" w:right="0" w:hanging="0"/>
              <w:jc w:val="right"/>
              <w:rPr/>
            </w:pPr>
            <w:r>
              <w:rPr/>
              <w:t>​</w:t>
            </w:r>
          </w:p>
        </w:tc>
      </w:tr>
      <w:tr>
        <w:trPr/>
        <w:tc>
          <w:tcPr>
            <w:tcW w:w="73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6885"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550" w:type="dxa"/>
            <w:tcBorders/>
            <w:vAlign w:val="center"/>
          </w:tcPr>
          <w:p>
            <w:pPr>
              <w:pStyle w:val="TableContents"/>
              <w:bidi w:val="0"/>
              <w:spacing w:lineRule="auto" w:line="285" w:before="0" w:after="0"/>
              <w:ind w:left="0" w:right="0" w:hanging="0"/>
              <w:jc w:val="left"/>
              <w:rPr/>
            </w:pPr>
            <w:r>
              <w:rPr/>
              <w:t>​</w:t>
            </w:r>
          </w:p>
        </w:tc>
        <w:tc>
          <w:tcPr>
            <w:tcW w:w="114" w:type="dxa"/>
            <w:tcBorders/>
            <w:vAlign w:val="center"/>
          </w:tcPr>
          <w:p>
            <w:pPr>
              <w:pStyle w:val="TableContents"/>
              <w:bidi w:val="0"/>
              <w:spacing w:lineRule="auto" w:line="285" w:before="0" w:after="0"/>
              <w:ind w:left="0" w:right="0" w:hanging="0"/>
              <w:jc w:val="left"/>
              <w:rPr/>
            </w:pPr>
            <w:r>
              <w:rPr/>
              <w:t>​</w:t>
            </w:r>
          </w:p>
        </w:tc>
        <w:tc>
          <w:tcPr>
            <w:tcW w:w="692" w:type="dxa"/>
            <w:tcBorders/>
            <w:vAlign w:val="center"/>
          </w:tcPr>
          <w:p>
            <w:pPr>
              <w:pStyle w:val="TableContents"/>
              <w:bidi w:val="0"/>
              <w:spacing w:lineRule="auto" w:line="285" w:before="0" w:after="0"/>
              <w:ind w:left="0" w:right="0" w:hanging="0"/>
              <w:jc w:val="left"/>
              <w:rPr/>
            </w:pPr>
            <w:r>
              <w:rPr/>
              <w:t>​</w:t>
            </w:r>
          </w:p>
        </w:tc>
        <w:tc>
          <w:tcPr>
            <w:tcW w:w="114" w:type="dxa"/>
            <w:tcBorders/>
            <w:vAlign w:val="center"/>
          </w:tcPr>
          <w:p>
            <w:pPr>
              <w:pStyle w:val="TableContents"/>
              <w:bidi w:val="0"/>
              <w:spacing w:lineRule="auto" w:line="285" w:before="0" w:after="0"/>
              <w:ind w:left="0" w:right="0" w:hanging="0"/>
              <w:jc w:val="left"/>
              <w:rPr/>
            </w:pPr>
            <w:r>
              <w:rPr/>
              <w:t>​</w:t>
            </w:r>
          </w:p>
        </w:tc>
        <w:tc>
          <w:tcPr>
            <w:tcW w:w="661" w:type="dxa"/>
            <w:tcBorders/>
            <w:vAlign w:val="center"/>
          </w:tcPr>
          <w:p>
            <w:pPr>
              <w:pStyle w:val="TableContents"/>
              <w:bidi w:val="0"/>
              <w:spacing w:lineRule="auto" w:line="285" w:before="0" w:after="0"/>
              <w:ind w:left="0" w:right="0" w:hanging="0"/>
              <w:jc w:val="left"/>
              <w:rPr/>
            </w:pPr>
            <w:r>
              <w:rPr/>
              <w:t>​</w:t>
            </w:r>
          </w:p>
        </w:tc>
      </w:tr>
      <w:tr>
        <w:trPr/>
        <w:tc>
          <w:tcPr>
            <w:tcW w:w="734" w:type="dxa"/>
            <w:tcBorders/>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10.3*</w:t>
            </w:r>
          </w:p>
        </w:tc>
        <w:tc>
          <w:tcPr>
            <w:tcW w:w="346" w:type="dxa"/>
            <w:tcBorders/>
            <w:vAlign w:val="center"/>
          </w:tcPr>
          <w:p>
            <w:pPr>
              <w:pStyle w:val="TableContents"/>
              <w:bidi w:val="0"/>
              <w:spacing w:lineRule="auto" w:line="285" w:before="0" w:after="0"/>
              <w:ind w:left="0" w:right="0" w:hanging="0"/>
              <w:jc w:val="left"/>
              <w:rPr/>
            </w:pPr>
            <w:r>
              <w:rPr/>
              <w:t>​</w:t>
            </w:r>
          </w:p>
        </w:tc>
        <w:tc>
          <w:tcPr>
            <w:tcW w:w="6885" w:type="dxa"/>
            <w:tcBorders/>
            <w:vAlign w:val="center"/>
          </w:tcPr>
          <w:p>
            <w:pPr>
              <w:pStyle w:val="TableContents"/>
              <w:bidi w:val="0"/>
              <w:spacing w:lineRule="auto" w:line="285" w:before="0" w:after="0"/>
              <w:ind w:left="0" w:right="0" w:hanging="0"/>
              <w:jc w:val="both"/>
              <w:rPr/>
            </w:pPr>
            <w:hyperlink w:anchor="ttec-20260630xex10d3.htm">
              <w:r>
                <w:rPr>
                  <w:rStyle w:val="InternetLink"/>
                  <w:rFonts w:ascii="Arial;Helvetica;sans-serif" w:hAnsi="Arial;Helvetica;sans-serif"/>
                  <w:b w:val="false"/>
                  <w:i w:val="false"/>
                  <w:caps w:val="false"/>
                  <w:smallCaps w:val="false"/>
                  <w:sz w:val="20"/>
                </w:rPr>
                <w:t xml:space="preserve">Form of Retention Award Agreement pursuant to the 2026 Executive Retention Program, used for Kenneth R. Wagers, III, Christopher J. Brown, and other participating senior executives, effective July 24, 2026, executed on various dates between August 4, 2026 and August 7, 2026 </w:t>
              </w:r>
            </w:hyperlink>
          </w:p>
        </w:tc>
        <w:tc>
          <w:tcPr>
            <w:tcW w:w="109" w:type="dxa"/>
            <w:tcBorders/>
            <w:vAlign w:val="center"/>
          </w:tcPr>
          <w:p>
            <w:pPr>
              <w:pStyle w:val="TableContents"/>
              <w:bidi w:val="0"/>
              <w:spacing w:lineRule="auto" w:line="285" w:before="0" w:after="0"/>
              <w:ind w:left="0" w:right="0" w:hanging="0"/>
              <w:jc w:val="left"/>
              <w:rPr/>
            </w:pPr>
            <w:r>
              <w:rPr/>
              <w:t>​</w:t>
            </w:r>
          </w:p>
        </w:tc>
        <w:tc>
          <w:tcPr>
            <w:tcW w:w="550" w:type="dxa"/>
            <w:tcBorders/>
            <w:vAlign w:val="center"/>
          </w:tcPr>
          <w:p>
            <w:pPr>
              <w:pStyle w:val="TableContents"/>
              <w:bidi w:val="0"/>
              <w:spacing w:lineRule="auto" w:line="285" w:before="0" w:after="0"/>
              <w:ind w:left="0" w:right="0" w:hanging="0"/>
              <w:jc w:val="left"/>
              <w:rPr/>
            </w:pPr>
            <w:r>
              <w:rPr/>
              <w:t>​</w:t>
            </w:r>
          </w:p>
        </w:tc>
        <w:tc>
          <w:tcPr>
            <w:tcW w:w="114" w:type="dxa"/>
            <w:tcBorders/>
            <w:vAlign w:val="center"/>
          </w:tcPr>
          <w:p>
            <w:pPr>
              <w:pStyle w:val="TableContents"/>
              <w:bidi w:val="0"/>
              <w:spacing w:lineRule="auto" w:line="285" w:before="0" w:after="0"/>
              <w:ind w:left="0" w:right="0" w:hanging="0"/>
              <w:jc w:val="left"/>
              <w:rPr/>
            </w:pPr>
            <w:r>
              <w:rPr/>
              <w:t>​</w:t>
            </w:r>
          </w:p>
        </w:tc>
        <w:tc>
          <w:tcPr>
            <w:tcW w:w="692" w:type="dxa"/>
            <w:tcBorders/>
            <w:vAlign w:val="center"/>
          </w:tcPr>
          <w:p>
            <w:pPr>
              <w:pStyle w:val="TableContents"/>
              <w:bidi w:val="0"/>
              <w:spacing w:lineRule="auto" w:line="285" w:before="0" w:after="0"/>
              <w:ind w:left="0" w:right="0" w:hanging="0"/>
              <w:jc w:val="left"/>
              <w:rPr/>
            </w:pPr>
            <w:r>
              <w:rPr/>
              <w:t>​</w:t>
            </w:r>
          </w:p>
        </w:tc>
        <w:tc>
          <w:tcPr>
            <w:tcW w:w="114" w:type="dxa"/>
            <w:tcBorders/>
            <w:vAlign w:val="center"/>
          </w:tcPr>
          <w:p>
            <w:pPr>
              <w:pStyle w:val="TableContents"/>
              <w:bidi w:val="0"/>
              <w:spacing w:lineRule="auto" w:line="285" w:before="0" w:after="0"/>
              <w:ind w:left="0" w:right="0" w:hanging="0"/>
              <w:jc w:val="left"/>
              <w:rPr/>
            </w:pPr>
            <w:r>
              <w:rPr/>
              <w:t>​</w:t>
            </w:r>
          </w:p>
        </w:tc>
        <w:tc>
          <w:tcPr>
            <w:tcW w:w="661" w:type="dxa"/>
            <w:tcBorders/>
            <w:vAlign w:val="center"/>
          </w:tcPr>
          <w:p>
            <w:pPr>
              <w:pStyle w:val="TableContents"/>
              <w:bidi w:val="0"/>
              <w:spacing w:lineRule="auto" w:line="285" w:before="0" w:after="0"/>
              <w:ind w:left="0" w:right="0" w:hanging="0"/>
              <w:jc w:val="left"/>
              <w:rPr/>
            </w:pPr>
            <w:r>
              <w:rPr/>
              <w:t>​</w:t>
            </w:r>
          </w:p>
        </w:tc>
      </w:tr>
      <w:tr>
        <w:trPr/>
        <w:tc>
          <w:tcPr>
            <w:tcW w:w="73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219710" cy="175260"/>
                      <wp:effectExtent l="0" t="0" r="0" b="0"/>
                      <wp:wrapNone/>
                      <wp:docPr id="496" name="Frame4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885"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550" w:type="dxa"/>
            <w:tcBorders/>
            <w:vAlign w:val="center"/>
          </w:tcPr>
          <w:p>
            <w:pPr>
              <w:pStyle w:val="TableContents"/>
              <w:bidi w:val="0"/>
              <w:spacing w:lineRule="auto" w:line="285" w:before="0" w:after="0"/>
              <w:ind w:left="0" w:right="0" w:hanging="0"/>
              <w:jc w:val="left"/>
              <w:rPr/>
            </w:pPr>
            <w:r>
              <w:rPr/>
              <w:t>​</w:t>
            </w:r>
          </w:p>
        </w:tc>
        <w:tc>
          <w:tcPr>
            <w:tcW w:w="114" w:type="dxa"/>
            <w:tcBorders/>
            <w:vAlign w:val="center"/>
          </w:tcPr>
          <w:p>
            <w:pPr>
              <w:pStyle w:val="TableContents"/>
              <w:bidi w:val="0"/>
              <w:spacing w:lineRule="auto" w:line="285" w:before="0" w:after="0"/>
              <w:ind w:left="0" w:right="0" w:hanging="0"/>
              <w:jc w:val="left"/>
              <w:rPr/>
            </w:pPr>
            <w:r>
              <w:rPr/>
              <w:t>​</w:t>
            </w:r>
          </w:p>
        </w:tc>
        <w:tc>
          <w:tcPr>
            <w:tcW w:w="692" w:type="dxa"/>
            <w:tcBorders/>
            <w:vAlign w:val="center"/>
          </w:tcPr>
          <w:p>
            <w:pPr>
              <w:pStyle w:val="TableContents"/>
              <w:bidi w:val="0"/>
              <w:spacing w:lineRule="auto" w:line="285" w:before="0" w:after="0"/>
              <w:ind w:left="0" w:right="0" w:hanging="0"/>
              <w:jc w:val="left"/>
              <w:rPr/>
            </w:pPr>
            <w:r>
              <w:rPr/>
              <w:t>​</w:t>
            </w:r>
          </w:p>
        </w:tc>
        <w:tc>
          <w:tcPr>
            <w:tcW w:w="114" w:type="dxa"/>
            <w:tcBorders/>
            <w:vAlign w:val="center"/>
          </w:tcPr>
          <w:p>
            <w:pPr>
              <w:pStyle w:val="TableContents"/>
              <w:bidi w:val="0"/>
              <w:spacing w:lineRule="auto" w:line="285" w:before="0" w:after="0"/>
              <w:ind w:left="0" w:right="0" w:hanging="0"/>
              <w:jc w:val="left"/>
              <w:rPr/>
            </w:pPr>
            <w:r>
              <w:rPr/>
              <w:t>​</w:t>
            </w:r>
          </w:p>
        </w:tc>
        <w:tc>
          <w:tcPr>
            <w:tcW w:w="661" w:type="dxa"/>
            <w:tcBorders/>
            <w:vAlign w:val="center"/>
          </w:tcPr>
          <w:p>
            <w:pPr>
              <w:pStyle w:val="TableContents"/>
              <w:bidi w:val="0"/>
              <w:spacing w:lineRule="auto" w:line="285" w:before="0" w:after="0"/>
              <w:ind w:left="0" w:right="0" w:hanging="0"/>
              <w:jc w:val="left"/>
              <w:rPr/>
            </w:pPr>
            <w:r>
              <w:rPr/>
              <w:t>​</w:t>
            </w:r>
          </w:p>
        </w:tc>
      </w:tr>
      <w:tr>
        <w:trPr/>
        <w:tc>
          <w:tcPr>
            <w:tcW w:w="734" w:type="dxa"/>
            <w:tcBorders/>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10.4*</w:t>
            </w:r>
          </w:p>
        </w:tc>
        <w:tc>
          <w:tcPr>
            <w:tcW w:w="346" w:type="dxa"/>
            <w:tcBorders/>
            <w:vAlign w:val="center"/>
          </w:tcPr>
          <w:p>
            <w:pPr>
              <w:pStyle w:val="TableContents"/>
              <w:bidi w:val="0"/>
              <w:spacing w:lineRule="auto" w:line="285" w:before="0" w:after="0"/>
              <w:ind w:left="0" w:right="0" w:hanging="0"/>
              <w:jc w:val="left"/>
              <w:rPr/>
            </w:pPr>
            <w:r>
              <w:rPr/>
              <w:t>​</w:t>
            </w:r>
          </w:p>
        </w:tc>
        <w:tc>
          <w:tcPr>
            <w:tcW w:w="6885" w:type="dxa"/>
            <w:tcBorders/>
            <w:vAlign w:val="center"/>
          </w:tcPr>
          <w:p>
            <w:pPr>
              <w:pStyle w:val="TableContents"/>
              <w:bidi w:val="0"/>
              <w:spacing w:lineRule="auto" w:line="285" w:before="0" w:after="0"/>
              <w:ind w:left="0" w:right="0" w:hanging="0"/>
              <w:jc w:val="left"/>
              <w:rPr/>
            </w:pPr>
            <w:hyperlink w:anchor="ttec-20260630xex10d4.htm">
              <w:r>
                <w:rPr>
                  <w:rStyle w:val="InternetLink"/>
                  <w:rFonts w:ascii="Arial;Helvetica;sans-serif" w:hAnsi="Arial;Helvetica;sans-serif"/>
                  <w:b w:val="false"/>
                  <w:i w:val="false"/>
                  <w:caps w:val="false"/>
                  <w:smallCaps w:val="false"/>
                  <w:sz w:val="20"/>
                </w:rPr>
                <w:t>Retention Award Agreement, effective July 24, 2026, executed on August 7, 2026, by and between John P. Abou and TTEC Services Corporation, pursuant to the 2026 Executive Retention Program</w:t>
              </w:r>
            </w:hyperlink>
          </w:p>
        </w:tc>
        <w:tc>
          <w:tcPr>
            <w:tcW w:w="109" w:type="dxa"/>
            <w:tcBorders/>
            <w:vAlign w:val="center"/>
          </w:tcPr>
          <w:p>
            <w:pPr>
              <w:pStyle w:val="TableContents"/>
              <w:bidi w:val="0"/>
              <w:spacing w:lineRule="auto" w:line="285" w:before="0" w:after="0"/>
              <w:ind w:left="0" w:right="0" w:hanging="0"/>
              <w:jc w:val="left"/>
              <w:rPr/>
            </w:pPr>
            <w:r>
              <w:rPr/>
              <w:t>​</w:t>
            </w:r>
          </w:p>
        </w:tc>
        <w:tc>
          <w:tcPr>
            <w:tcW w:w="550" w:type="dxa"/>
            <w:tcBorders/>
            <w:vAlign w:val="center"/>
          </w:tcPr>
          <w:p>
            <w:pPr>
              <w:pStyle w:val="TableContents"/>
              <w:bidi w:val="0"/>
              <w:spacing w:lineRule="auto" w:line="285" w:before="0" w:after="0"/>
              <w:ind w:left="0" w:right="0" w:hanging="0"/>
              <w:jc w:val="left"/>
              <w:rPr/>
            </w:pPr>
            <w:r>
              <w:rPr/>
              <w:t>​</w:t>
            </w:r>
          </w:p>
        </w:tc>
        <w:tc>
          <w:tcPr>
            <w:tcW w:w="114" w:type="dxa"/>
            <w:tcBorders/>
            <w:vAlign w:val="center"/>
          </w:tcPr>
          <w:p>
            <w:pPr>
              <w:pStyle w:val="TableContents"/>
              <w:bidi w:val="0"/>
              <w:spacing w:lineRule="auto" w:line="285" w:before="0" w:after="0"/>
              <w:ind w:left="0" w:right="0" w:hanging="0"/>
              <w:jc w:val="left"/>
              <w:rPr/>
            </w:pPr>
            <w:r>
              <w:rPr/>
              <w:t>​</w:t>
            </w:r>
          </w:p>
        </w:tc>
        <w:tc>
          <w:tcPr>
            <w:tcW w:w="692" w:type="dxa"/>
            <w:tcBorders/>
            <w:vAlign w:val="center"/>
          </w:tcPr>
          <w:p>
            <w:pPr>
              <w:pStyle w:val="TableContents"/>
              <w:bidi w:val="0"/>
              <w:spacing w:lineRule="auto" w:line="285" w:before="0" w:after="0"/>
              <w:ind w:left="0" w:right="0" w:hanging="0"/>
              <w:jc w:val="left"/>
              <w:rPr/>
            </w:pPr>
            <w:r>
              <w:rPr/>
              <w:t>​</w:t>
            </w:r>
          </w:p>
        </w:tc>
        <w:tc>
          <w:tcPr>
            <w:tcW w:w="114" w:type="dxa"/>
            <w:tcBorders/>
            <w:vAlign w:val="center"/>
          </w:tcPr>
          <w:p>
            <w:pPr>
              <w:pStyle w:val="TableContents"/>
              <w:bidi w:val="0"/>
              <w:spacing w:lineRule="auto" w:line="285" w:before="0" w:after="0"/>
              <w:ind w:left="0" w:right="0" w:hanging="0"/>
              <w:jc w:val="left"/>
              <w:rPr/>
            </w:pPr>
            <w:r>
              <w:rPr/>
              <w:t>​</w:t>
            </w:r>
          </w:p>
        </w:tc>
        <w:tc>
          <w:tcPr>
            <w:tcW w:w="661" w:type="dxa"/>
            <w:tcBorders/>
            <w:vAlign w:val="center"/>
          </w:tcPr>
          <w:p>
            <w:pPr>
              <w:pStyle w:val="TableContents"/>
              <w:bidi w:val="0"/>
              <w:spacing w:lineRule="auto" w:line="285" w:before="0" w:after="0"/>
              <w:ind w:left="0" w:right="0" w:hanging="0"/>
              <w:jc w:val="left"/>
              <w:rPr/>
            </w:pPr>
            <w:r>
              <w:rPr/>
              <w:t>​</w:t>
            </w:r>
          </w:p>
        </w:tc>
      </w:tr>
      <w:tr>
        <w:trPr/>
        <w:tc>
          <w:tcPr>
            <w:tcW w:w="73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219710" cy="175260"/>
                      <wp:effectExtent l="0" t="0" r="0" b="0"/>
                      <wp:wrapNone/>
                      <wp:docPr id="497" name="Frame4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885"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550" w:type="dxa"/>
            <w:tcBorders/>
            <w:vAlign w:val="center"/>
          </w:tcPr>
          <w:p>
            <w:pPr>
              <w:pStyle w:val="TableContents"/>
              <w:bidi w:val="0"/>
              <w:spacing w:lineRule="auto" w:line="285" w:before="0" w:after="0"/>
              <w:ind w:left="0" w:right="0" w:hanging="0"/>
              <w:jc w:val="left"/>
              <w:rPr/>
            </w:pPr>
            <w:r>
              <w:rPr/>
              <w:t>​</w:t>
            </w:r>
          </w:p>
        </w:tc>
        <w:tc>
          <w:tcPr>
            <w:tcW w:w="114" w:type="dxa"/>
            <w:tcBorders/>
            <w:vAlign w:val="center"/>
          </w:tcPr>
          <w:p>
            <w:pPr>
              <w:pStyle w:val="TableContents"/>
              <w:bidi w:val="0"/>
              <w:spacing w:lineRule="auto" w:line="285" w:before="0" w:after="0"/>
              <w:ind w:left="0" w:right="0" w:hanging="0"/>
              <w:jc w:val="left"/>
              <w:rPr/>
            </w:pPr>
            <w:r>
              <w:rPr/>
              <w:t>​</w:t>
            </w:r>
          </w:p>
        </w:tc>
        <w:tc>
          <w:tcPr>
            <w:tcW w:w="692" w:type="dxa"/>
            <w:tcBorders/>
            <w:vAlign w:val="center"/>
          </w:tcPr>
          <w:p>
            <w:pPr>
              <w:pStyle w:val="TableContents"/>
              <w:bidi w:val="0"/>
              <w:spacing w:lineRule="auto" w:line="285" w:before="0" w:after="0"/>
              <w:ind w:left="0" w:right="0" w:hanging="0"/>
              <w:jc w:val="left"/>
              <w:rPr/>
            </w:pPr>
            <w:r>
              <w:rPr/>
              <w:t>​</w:t>
            </w:r>
          </w:p>
        </w:tc>
        <w:tc>
          <w:tcPr>
            <w:tcW w:w="114" w:type="dxa"/>
            <w:tcBorders/>
            <w:vAlign w:val="center"/>
          </w:tcPr>
          <w:p>
            <w:pPr>
              <w:pStyle w:val="TableContents"/>
              <w:bidi w:val="0"/>
              <w:spacing w:lineRule="auto" w:line="285" w:before="0" w:after="0"/>
              <w:ind w:left="0" w:right="0" w:hanging="0"/>
              <w:jc w:val="left"/>
              <w:rPr/>
            </w:pPr>
            <w:r>
              <w:rPr/>
              <w:t>​</w:t>
            </w:r>
          </w:p>
        </w:tc>
        <w:tc>
          <w:tcPr>
            <w:tcW w:w="661" w:type="dxa"/>
            <w:tcBorders/>
            <w:vAlign w:val="center"/>
          </w:tcPr>
          <w:p>
            <w:pPr>
              <w:pStyle w:val="TableContents"/>
              <w:bidi w:val="0"/>
              <w:spacing w:lineRule="auto" w:line="285" w:before="0" w:after="0"/>
              <w:ind w:left="0" w:right="0" w:hanging="0"/>
              <w:jc w:val="left"/>
              <w:rPr/>
            </w:pPr>
            <w:r>
              <w:rPr/>
              <w:t>​</w:t>
            </w:r>
          </w:p>
        </w:tc>
      </w:tr>
      <w:tr>
        <w:trPr/>
        <w:tc>
          <w:tcPr>
            <w:tcW w:w="734" w:type="dxa"/>
            <w:tcBorders/>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10.99*</w:t>
            </w:r>
          </w:p>
        </w:tc>
        <w:tc>
          <w:tcPr>
            <w:tcW w:w="346" w:type="dxa"/>
            <w:tcBorders/>
            <w:vAlign w:val="center"/>
          </w:tcPr>
          <w:p>
            <w:pPr>
              <w:pStyle w:val="TableContents"/>
              <w:bidi w:val="0"/>
              <w:spacing w:lineRule="auto" w:line="285" w:before="0" w:after="0"/>
              <w:ind w:left="0" w:right="0" w:hanging="0"/>
              <w:jc w:val="left"/>
              <w:rPr/>
            </w:pPr>
            <w:r>
              <w:rPr/>
              <w:t>​</w:t>
            </w:r>
          </w:p>
        </w:tc>
        <w:tc>
          <w:tcPr>
            <w:tcW w:w="6885" w:type="dxa"/>
            <w:tcBorders/>
            <w:vAlign w:val="center"/>
          </w:tcPr>
          <w:p>
            <w:pPr>
              <w:pStyle w:val="TableContents"/>
              <w:bidi w:val="0"/>
              <w:spacing w:lineRule="auto" w:line="285" w:before="0" w:after="0"/>
              <w:ind w:left="0" w:right="0" w:hanging="0"/>
              <w:jc w:val="both"/>
              <w:rPr/>
            </w:pPr>
            <w:hyperlink w:anchor="ttec-20260630xex10d99.htm">
              <w:r>
                <w:rPr>
                  <w:rStyle w:val="InternetLink"/>
                  <w:rFonts w:ascii="Arial;Helvetica;sans-serif" w:hAnsi="Arial;Helvetica;sans-serif"/>
                  <w:b w:val="false"/>
                  <w:i w:val="false"/>
                  <w:caps w:val="false"/>
                  <w:smallCaps w:val="false"/>
                  <w:sz w:val="20"/>
                </w:rPr>
                <w:t>Eleventh Amendment to Amended and Restated Credit Agreement and Restated Security Agreement for a senior secured revolving credit facility with a syndicate of lenders led by Wells Fargo Bank, National Association, as agent, swing line and fronting lender</w:t>
              </w:r>
            </w:hyperlink>
          </w:p>
        </w:tc>
        <w:tc>
          <w:tcPr>
            <w:tcW w:w="109" w:type="dxa"/>
            <w:tcBorders/>
            <w:vAlign w:val="center"/>
          </w:tcPr>
          <w:p>
            <w:pPr>
              <w:pStyle w:val="TableContents"/>
              <w:bidi w:val="0"/>
              <w:spacing w:lineRule="auto" w:line="285" w:before="0" w:after="0"/>
              <w:ind w:left="0" w:right="0" w:hanging="0"/>
              <w:jc w:val="both"/>
              <w:rPr/>
            </w:pPr>
            <w:r>
              <w:rPr/>
              <w:t>​</w:t>
            </w:r>
          </w:p>
        </w:tc>
        <w:tc>
          <w:tcPr>
            <w:tcW w:w="550" w:type="dxa"/>
            <w:tcBorders/>
            <w:vAlign w:val="center"/>
          </w:tcPr>
          <w:p>
            <w:pPr>
              <w:pStyle w:val="TableContents"/>
              <w:bidi w:val="0"/>
              <w:spacing w:lineRule="auto" w:line="285" w:before="0" w:after="0"/>
              <w:ind w:left="0" w:right="0" w:hanging="0"/>
              <w:jc w:val="both"/>
              <w:rPr/>
            </w:pPr>
            <w:r>
              <w:rPr/>
              <w:t>​</w:t>
            </w:r>
          </w:p>
        </w:tc>
        <w:tc>
          <w:tcPr>
            <w:tcW w:w="114" w:type="dxa"/>
            <w:tcBorders/>
            <w:vAlign w:val="center"/>
          </w:tcPr>
          <w:p>
            <w:pPr>
              <w:pStyle w:val="TableContents"/>
              <w:bidi w:val="0"/>
              <w:spacing w:lineRule="auto" w:line="285" w:before="0" w:after="0"/>
              <w:ind w:left="0" w:right="0" w:hanging="0"/>
              <w:jc w:val="both"/>
              <w:rPr/>
            </w:pPr>
            <w:r>
              <w:rPr/>
              <w:t>​</w:t>
            </w:r>
          </w:p>
        </w:tc>
        <w:tc>
          <w:tcPr>
            <w:tcW w:w="692" w:type="dxa"/>
            <w:tcBorders/>
            <w:vAlign w:val="center"/>
          </w:tcPr>
          <w:p>
            <w:pPr>
              <w:pStyle w:val="TableContents"/>
              <w:bidi w:val="0"/>
              <w:spacing w:lineRule="auto" w:line="285" w:before="0" w:after="0"/>
              <w:ind w:left="0" w:right="0" w:hanging="0"/>
              <w:jc w:val="both"/>
              <w:rPr/>
            </w:pPr>
            <w:r>
              <w:rPr/>
              <w:t>​</w:t>
            </w:r>
          </w:p>
        </w:tc>
        <w:tc>
          <w:tcPr>
            <w:tcW w:w="114" w:type="dxa"/>
            <w:tcBorders/>
            <w:vAlign w:val="center"/>
          </w:tcPr>
          <w:p>
            <w:pPr>
              <w:pStyle w:val="TableContents"/>
              <w:bidi w:val="0"/>
              <w:spacing w:lineRule="auto" w:line="285" w:before="0" w:after="0"/>
              <w:ind w:left="0" w:right="0" w:hanging="0"/>
              <w:jc w:val="both"/>
              <w:rPr/>
            </w:pPr>
            <w:r>
              <w:rPr/>
              <w:t>​</w:t>
            </w:r>
          </w:p>
        </w:tc>
        <w:tc>
          <w:tcPr>
            <w:tcW w:w="661" w:type="dxa"/>
            <w:tcBorders/>
            <w:vAlign w:val="center"/>
          </w:tcPr>
          <w:p>
            <w:pPr>
              <w:pStyle w:val="TableContents"/>
              <w:bidi w:val="0"/>
              <w:spacing w:lineRule="auto" w:line="285" w:before="0" w:after="0"/>
              <w:ind w:left="0" w:right="0" w:hanging="0"/>
              <w:jc w:val="both"/>
              <w:rPr/>
            </w:pPr>
            <w:r>
              <w:rPr/>
              <w:t>​</w:t>
            </w:r>
          </w:p>
        </w:tc>
      </w:tr>
      <w:tr>
        <w:trPr/>
        <w:tc>
          <w:tcPr>
            <w:tcW w:w="734" w:type="dxa"/>
            <w:tcBorders/>
            <w:shd w:fill="FFFFFF" w:val="clear"/>
            <w:vAlign w:val="center"/>
          </w:tcPr>
          <w:p>
            <w:pPr>
              <w:pStyle w:val="TableContents"/>
              <w:bidi w:val="0"/>
              <w:spacing w:lineRule="auto" w:line="285" w:before="0" w:after="0"/>
              <w:ind w:left="0" w:right="0" w:hanging="0"/>
              <w:jc w:val="right"/>
              <w:rPr/>
            </w:pPr>
            <w:r>
              <w:rPr/>
              <w:t>​</w:t>
            </w:r>
          </w:p>
        </w:tc>
        <w:tc>
          <w:tcPr>
            <w:tcW w:w="346" w:type="dxa"/>
            <w:tcBorders/>
            <w:shd w:fill="FFFF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219710" cy="175260"/>
                      <wp:effectExtent l="0" t="0" r="0" b="0"/>
                      <wp:wrapNone/>
                      <wp:docPr id="498" name="Frame4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885" w:type="dxa"/>
            <w:tcBorders/>
            <w:shd w:fill="FFFFFF" w:val="clear"/>
            <w:vAlign w:val="center"/>
          </w:tcPr>
          <w:p>
            <w:pPr>
              <w:pStyle w:val="TableContents"/>
              <w:bidi w:val="0"/>
              <w:spacing w:lineRule="auto" w:line="285" w:before="0" w:after="0"/>
              <w:ind w:left="0" w:right="0" w:hanging="0"/>
              <w:jc w:val="both"/>
              <w:rPr/>
            </w:pPr>
            <w:r>
              <w:rPr/>
              <w:t>​</w:t>
            </w:r>
          </w:p>
        </w:tc>
        <w:tc>
          <w:tcPr>
            <w:tcW w:w="109" w:type="dxa"/>
            <w:tcBorders/>
            <w:shd w:fill="FFFFFF" w:val="clear"/>
            <w:vAlign w:val="center"/>
          </w:tcPr>
          <w:p>
            <w:pPr>
              <w:pStyle w:val="TableContents"/>
              <w:bidi w:val="0"/>
              <w:spacing w:lineRule="auto" w:line="285" w:before="0" w:after="0"/>
              <w:ind w:left="0" w:right="0" w:hanging="0"/>
              <w:jc w:val="both"/>
              <w:rPr/>
            </w:pPr>
            <w:r>
              <w:rPr/>
              <w:t>​</w:t>
            </w:r>
          </w:p>
        </w:tc>
        <w:tc>
          <w:tcPr>
            <w:tcW w:w="550" w:type="dxa"/>
            <w:tcBorders/>
            <w:shd w:fill="FFFFFF" w:val="clear"/>
            <w:vAlign w:val="center"/>
          </w:tcPr>
          <w:p>
            <w:pPr>
              <w:pStyle w:val="TableContents"/>
              <w:bidi w:val="0"/>
              <w:spacing w:lineRule="auto" w:line="285" w:before="0" w:after="0"/>
              <w:ind w:left="0" w:right="0" w:hanging="0"/>
              <w:jc w:val="both"/>
              <w:rPr/>
            </w:pPr>
            <w:r>
              <w:rPr/>
              <w:t>​</w:t>
            </w:r>
          </w:p>
        </w:tc>
        <w:tc>
          <w:tcPr>
            <w:tcW w:w="114" w:type="dxa"/>
            <w:tcBorders/>
            <w:shd w:fill="FFFFFF" w:val="clear"/>
            <w:vAlign w:val="center"/>
          </w:tcPr>
          <w:p>
            <w:pPr>
              <w:pStyle w:val="TableContents"/>
              <w:bidi w:val="0"/>
              <w:spacing w:lineRule="auto" w:line="285" w:before="0" w:after="0"/>
              <w:ind w:left="0" w:right="0" w:hanging="0"/>
              <w:jc w:val="both"/>
              <w:rPr/>
            </w:pPr>
            <w:r>
              <w:rPr/>
              <w:t>​</w:t>
            </w:r>
          </w:p>
        </w:tc>
        <w:tc>
          <w:tcPr>
            <w:tcW w:w="692" w:type="dxa"/>
            <w:tcBorders/>
            <w:shd w:fill="FFFFFF" w:val="clear"/>
            <w:vAlign w:val="center"/>
          </w:tcPr>
          <w:p>
            <w:pPr>
              <w:pStyle w:val="TableContents"/>
              <w:bidi w:val="0"/>
              <w:spacing w:lineRule="auto" w:line="285" w:before="0" w:after="0"/>
              <w:ind w:left="0" w:right="0" w:hanging="0"/>
              <w:jc w:val="both"/>
              <w:rPr/>
            </w:pPr>
            <w:r>
              <w:rPr/>
              <w:t>​</w:t>
            </w:r>
          </w:p>
        </w:tc>
        <w:tc>
          <w:tcPr>
            <w:tcW w:w="114" w:type="dxa"/>
            <w:tcBorders/>
            <w:shd w:fill="FFFFFF" w:val="clear"/>
            <w:vAlign w:val="center"/>
          </w:tcPr>
          <w:p>
            <w:pPr>
              <w:pStyle w:val="TableContents"/>
              <w:bidi w:val="0"/>
              <w:spacing w:lineRule="auto" w:line="285" w:before="0" w:after="0"/>
              <w:ind w:left="0" w:right="0" w:hanging="0"/>
              <w:jc w:val="both"/>
              <w:rPr/>
            </w:pPr>
            <w:r>
              <w:rPr/>
              <w:t>​</w:t>
            </w:r>
          </w:p>
        </w:tc>
        <w:tc>
          <w:tcPr>
            <w:tcW w:w="661" w:type="dxa"/>
            <w:tcBorders/>
            <w:shd w:fill="FFFFFF" w:val="clear"/>
            <w:vAlign w:val="center"/>
          </w:tcPr>
          <w:p>
            <w:pPr>
              <w:pStyle w:val="TableContents"/>
              <w:bidi w:val="0"/>
              <w:spacing w:lineRule="auto" w:line="285" w:before="0" w:after="0"/>
              <w:ind w:left="0" w:right="0" w:hanging="0"/>
              <w:jc w:val="both"/>
              <w:rPr/>
            </w:pPr>
            <w:r>
              <w:rPr/>
              <w:t>​</w:t>
            </w:r>
          </w:p>
        </w:tc>
      </w:tr>
      <w:tr>
        <w:trPr/>
        <w:tc>
          <w:tcPr>
            <w:tcW w:w="734" w:type="dxa"/>
            <w:tcBorders/>
            <w:shd w:fill="FFFFFF" w:val="cle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31.1*</w:t>
            </w:r>
          </w:p>
        </w:tc>
        <w:tc>
          <w:tcPr>
            <w:tcW w:w="346" w:type="dxa"/>
            <w:tcBorders/>
            <w:shd w:fill="FFFFFF" w:val="clear"/>
            <w:vAlign w:val="center"/>
          </w:tcPr>
          <w:p>
            <w:pPr>
              <w:pStyle w:val="TableContents"/>
              <w:bidi w:val="0"/>
              <w:spacing w:lineRule="auto" w:line="285" w:before="0" w:after="0"/>
              <w:ind w:left="0" w:right="0" w:hanging="0"/>
              <w:jc w:val="left"/>
              <w:rPr/>
            </w:pPr>
            <w:r>
              <w:rPr/>
              <w:t>​</w:t>
            </w:r>
          </w:p>
        </w:tc>
        <w:tc>
          <w:tcPr>
            <w:tcW w:w="6885" w:type="dxa"/>
            <w:tcBorders/>
            <w:shd w:fill="FFFFFF" w:val="clear"/>
            <w:vAlign w:val="center"/>
          </w:tcPr>
          <w:p>
            <w:pPr>
              <w:pStyle w:val="TableContents"/>
              <w:bidi w:val="0"/>
              <w:spacing w:lineRule="auto" w:line="285" w:before="0" w:after="0"/>
              <w:ind w:left="0" w:right="0" w:hanging="0"/>
              <w:jc w:val="both"/>
              <w:rPr/>
            </w:pPr>
            <w:hyperlink w:anchor="ttec-20260630xex31d1.htm">
              <w:r>
                <w:rPr>
                  <w:rStyle w:val="InternetLink"/>
                  <w:rFonts w:ascii="Arial;Helvetica;sans-serif" w:hAnsi="Arial;Helvetica;sans-serif"/>
                  <w:b w:val="false"/>
                  <w:i w:val="false"/>
                  <w:caps w:val="false"/>
                  <w:smallCaps w:val="false"/>
                  <w:sz w:val="20"/>
                </w:rPr>
                <w:t xml:space="preserve">Certification of Chief Executive Officer Pursuant to Rule 13a-14(a) or Rule 15d-14(a) under the Securities Exchange Act of 1934, as adopted pursuant to Section 302 of the Sarbanes-Oxley Act of 2002 </w:t>
              </w:r>
            </w:hyperlink>
          </w:p>
        </w:tc>
        <w:tc>
          <w:tcPr>
            <w:tcW w:w="109" w:type="dxa"/>
            <w:tcBorders/>
            <w:shd w:fill="FFFFFF" w:val="clear"/>
            <w:vAlign w:val="center"/>
          </w:tcPr>
          <w:p>
            <w:pPr>
              <w:pStyle w:val="TableContents"/>
              <w:bidi w:val="0"/>
              <w:spacing w:lineRule="auto" w:line="285" w:before="0" w:after="0"/>
              <w:ind w:left="0" w:right="0" w:hanging="0"/>
              <w:jc w:val="both"/>
              <w:rPr/>
            </w:pPr>
            <w:r>
              <w:rPr/>
              <w:t>​</w:t>
            </w:r>
          </w:p>
        </w:tc>
        <w:tc>
          <w:tcPr>
            <w:tcW w:w="550" w:type="dxa"/>
            <w:tcBorders/>
            <w:shd w:fill="FFFFFF" w:val="clear"/>
            <w:vAlign w:val="center"/>
          </w:tcPr>
          <w:p>
            <w:pPr>
              <w:pStyle w:val="TableContents"/>
              <w:bidi w:val="0"/>
              <w:spacing w:lineRule="auto" w:line="285" w:before="0" w:after="0"/>
              <w:ind w:left="0" w:right="0" w:hanging="0"/>
              <w:jc w:val="both"/>
              <w:rPr/>
            </w:pPr>
            <w:r>
              <w:rPr/>
              <w:t>​</w:t>
            </w:r>
          </w:p>
        </w:tc>
        <w:tc>
          <w:tcPr>
            <w:tcW w:w="114" w:type="dxa"/>
            <w:tcBorders/>
            <w:shd w:fill="FFFFFF" w:val="clear"/>
            <w:vAlign w:val="center"/>
          </w:tcPr>
          <w:p>
            <w:pPr>
              <w:pStyle w:val="TableContents"/>
              <w:bidi w:val="0"/>
              <w:spacing w:lineRule="auto" w:line="285" w:before="0" w:after="0"/>
              <w:ind w:left="0" w:right="0" w:hanging="0"/>
              <w:jc w:val="both"/>
              <w:rPr/>
            </w:pPr>
            <w:r>
              <w:rPr/>
              <w:t>​</w:t>
            </w:r>
          </w:p>
        </w:tc>
        <w:tc>
          <w:tcPr>
            <w:tcW w:w="692" w:type="dxa"/>
            <w:tcBorders/>
            <w:shd w:fill="FFFFFF" w:val="clear"/>
            <w:vAlign w:val="center"/>
          </w:tcPr>
          <w:p>
            <w:pPr>
              <w:pStyle w:val="TableContents"/>
              <w:bidi w:val="0"/>
              <w:spacing w:lineRule="auto" w:line="285" w:before="0" w:after="0"/>
              <w:ind w:left="0" w:right="0" w:hanging="0"/>
              <w:jc w:val="both"/>
              <w:rPr/>
            </w:pPr>
            <w:r>
              <w:rPr/>
              <w:t>​</w:t>
            </w:r>
          </w:p>
        </w:tc>
        <w:tc>
          <w:tcPr>
            <w:tcW w:w="114" w:type="dxa"/>
            <w:tcBorders/>
            <w:shd w:fill="FFFFFF" w:val="clear"/>
            <w:vAlign w:val="center"/>
          </w:tcPr>
          <w:p>
            <w:pPr>
              <w:pStyle w:val="TableContents"/>
              <w:bidi w:val="0"/>
              <w:spacing w:lineRule="auto" w:line="285" w:before="0" w:after="0"/>
              <w:ind w:left="0" w:right="0" w:hanging="0"/>
              <w:jc w:val="both"/>
              <w:rPr/>
            </w:pPr>
            <w:r>
              <w:rPr/>
              <w:t>​</w:t>
            </w:r>
          </w:p>
        </w:tc>
        <w:tc>
          <w:tcPr>
            <w:tcW w:w="661" w:type="dxa"/>
            <w:tcBorders/>
            <w:shd w:fill="FFFFFF" w:val="clear"/>
            <w:vAlign w:val="center"/>
          </w:tcPr>
          <w:p>
            <w:pPr>
              <w:pStyle w:val="TableContents"/>
              <w:bidi w:val="0"/>
              <w:spacing w:lineRule="auto" w:line="285" w:before="0" w:after="0"/>
              <w:ind w:left="0" w:right="0" w:hanging="0"/>
              <w:jc w:val="both"/>
              <w:rPr/>
            </w:pPr>
            <w:r>
              <w:rPr/>
              <w:t>​</w:t>
            </w:r>
          </w:p>
        </w:tc>
      </w:tr>
      <w:tr>
        <w:trPr/>
        <w:tc>
          <w:tcPr>
            <w:tcW w:w="734" w:type="dxa"/>
            <w:tcBorders/>
            <w:shd w:fill="FFFFFF" w:val="clear"/>
            <w:vAlign w:val="center"/>
          </w:tcPr>
          <w:p>
            <w:pPr>
              <w:pStyle w:val="TableContents"/>
              <w:bidi w:val="0"/>
              <w:spacing w:lineRule="auto" w:line="285" w:before="0" w:after="0"/>
              <w:ind w:left="0" w:right="0" w:hanging="0"/>
              <w:jc w:val="right"/>
              <w:rPr/>
            </w:pPr>
            <w:r>
              <w:rPr/>
              <w:t>​</w:t>
            </w:r>
          </w:p>
        </w:tc>
        <w:tc>
          <w:tcPr>
            <w:tcW w:w="346" w:type="dxa"/>
            <w:tcBorders/>
            <w:shd w:fill="FFFF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219710" cy="175260"/>
                      <wp:effectExtent l="0" t="0" r="0" b="0"/>
                      <wp:wrapNone/>
                      <wp:docPr id="499" name="Frame4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885" w:type="dxa"/>
            <w:tcBorders/>
            <w:shd w:fill="FFFFFF" w:val="clear"/>
            <w:vAlign w:val="center"/>
          </w:tcPr>
          <w:p>
            <w:pPr>
              <w:pStyle w:val="TableContents"/>
              <w:bidi w:val="0"/>
              <w:spacing w:lineRule="auto" w:line="285" w:before="0" w:after="0"/>
              <w:ind w:left="0" w:right="0" w:hanging="0"/>
              <w:jc w:val="both"/>
              <w:rPr/>
            </w:pPr>
            <w:r>
              <w:rPr/>
              <w:t>​</w:t>
            </w:r>
          </w:p>
        </w:tc>
        <w:tc>
          <w:tcPr>
            <w:tcW w:w="109" w:type="dxa"/>
            <w:tcBorders/>
            <w:shd w:fill="FFFFFF" w:val="clear"/>
            <w:vAlign w:val="center"/>
          </w:tcPr>
          <w:p>
            <w:pPr>
              <w:pStyle w:val="TableContents"/>
              <w:bidi w:val="0"/>
              <w:spacing w:lineRule="auto" w:line="285" w:before="0" w:after="0"/>
              <w:ind w:left="0" w:right="0" w:hanging="0"/>
              <w:jc w:val="both"/>
              <w:rPr/>
            </w:pPr>
            <w:r>
              <w:rPr/>
              <w:t>​</w:t>
            </w:r>
          </w:p>
        </w:tc>
        <w:tc>
          <w:tcPr>
            <w:tcW w:w="550" w:type="dxa"/>
            <w:tcBorders/>
            <w:shd w:fill="FFFFFF" w:val="clear"/>
            <w:vAlign w:val="center"/>
          </w:tcPr>
          <w:p>
            <w:pPr>
              <w:pStyle w:val="TableContents"/>
              <w:bidi w:val="0"/>
              <w:spacing w:lineRule="auto" w:line="285" w:before="0" w:after="0"/>
              <w:ind w:left="0" w:right="0" w:hanging="0"/>
              <w:jc w:val="both"/>
              <w:rPr/>
            </w:pPr>
            <w:r>
              <w:rPr/>
              <w:t>​</w:t>
            </w:r>
          </w:p>
        </w:tc>
        <w:tc>
          <w:tcPr>
            <w:tcW w:w="114" w:type="dxa"/>
            <w:tcBorders/>
            <w:shd w:fill="FFFFFF" w:val="clear"/>
            <w:vAlign w:val="center"/>
          </w:tcPr>
          <w:p>
            <w:pPr>
              <w:pStyle w:val="TableContents"/>
              <w:bidi w:val="0"/>
              <w:spacing w:lineRule="auto" w:line="285" w:before="0" w:after="0"/>
              <w:ind w:left="0" w:right="0" w:hanging="0"/>
              <w:jc w:val="both"/>
              <w:rPr/>
            </w:pPr>
            <w:r>
              <w:rPr/>
              <w:t>​</w:t>
            </w:r>
          </w:p>
        </w:tc>
        <w:tc>
          <w:tcPr>
            <w:tcW w:w="692" w:type="dxa"/>
            <w:tcBorders/>
            <w:shd w:fill="FFFFFF" w:val="clear"/>
            <w:vAlign w:val="center"/>
          </w:tcPr>
          <w:p>
            <w:pPr>
              <w:pStyle w:val="TableContents"/>
              <w:bidi w:val="0"/>
              <w:spacing w:lineRule="auto" w:line="285" w:before="0" w:after="0"/>
              <w:ind w:left="0" w:right="0" w:hanging="0"/>
              <w:jc w:val="both"/>
              <w:rPr/>
            </w:pPr>
            <w:r>
              <w:rPr/>
              <w:t>​</w:t>
            </w:r>
          </w:p>
        </w:tc>
        <w:tc>
          <w:tcPr>
            <w:tcW w:w="114" w:type="dxa"/>
            <w:tcBorders/>
            <w:shd w:fill="FFFFFF" w:val="clear"/>
            <w:vAlign w:val="center"/>
          </w:tcPr>
          <w:p>
            <w:pPr>
              <w:pStyle w:val="TableContents"/>
              <w:bidi w:val="0"/>
              <w:spacing w:lineRule="auto" w:line="285" w:before="0" w:after="0"/>
              <w:ind w:left="0" w:right="0" w:hanging="0"/>
              <w:jc w:val="both"/>
              <w:rPr/>
            </w:pPr>
            <w:r>
              <w:rPr/>
              <w:t>​</w:t>
            </w:r>
          </w:p>
        </w:tc>
        <w:tc>
          <w:tcPr>
            <w:tcW w:w="661" w:type="dxa"/>
            <w:tcBorders/>
            <w:shd w:fill="FFFFFF" w:val="clear"/>
            <w:vAlign w:val="center"/>
          </w:tcPr>
          <w:p>
            <w:pPr>
              <w:pStyle w:val="TableContents"/>
              <w:bidi w:val="0"/>
              <w:spacing w:lineRule="auto" w:line="285" w:before="0" w:after="0"/>
              <w:ind w:left="0" w:right="0" w:hanging="0"/>
              <w:jc w:val="both"/>
              <w:rPr/>
            </w:pPr>
            <w:r>
              <w:rPr/>
              <w:t>​</w:t>
            </w:r>
          </w:p>
        </w:tc>
      </w:tr>
      <w:tr>
        <w:trPr/>
        <w:tc>
          <w:tcPr>
            <w:tcW w:w="734" w:type="dxa"/>
            <w:tcBorders/>
            <w:shd w:fill="FFFFFF" w:val="cle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31.2*</w:t>
            </w:r>
          </w:p>
        </w:tc>
        <w:tc>
          <w:tcPr>
            <w:tcW w:w="346" w:type="dxa"/>
            <w:tcBorders/>
            <w:shd w:fill="FFFFFF" w:val="clear"/>
            <w:vAlign w:val="center"/>
          </w:tcPr>
          <w:p>
            <w:pPr>
              <w:pStyle w:val="TableContents"/>
              <w:bidi w:val="0"/>
              <w:spacing w:lineRule="auto" w:line="285" w:before="0" w:after="0"/>
              <w:ind w:left="0" w:right="0" w:hanging="0"/>
              <w:jc w:val="left"/>
              <w:rPr/>
            </w:pPr>
            <w:r>
              <w:rPr/>
              <w:t>​</w:t>
            </w:r>
          </w:p>
        </w:tc>
        <w:tc>
          <w:tcPr>
            <w:tcW w:w="6885" w:type="dxa"/>
            <w:tcBorders/>
            <w:shd w:fill="FFFFFF" w:val="clear"/>
            <w:vAlign w:val="center"/>
          </w:tcPr>
          <w:p>
            <w:pPr>
              <w:pStyle w:val="TableContents"/>
              <w:bidi w:val="0"/>
              <w:spacing w:lineRule="auto" w:line="285" w:before="0" w:after="0"/>
              <w:ind w:left="0" w:right="0" w:hanging="0"/>
              <w:jc w:val="both"/>
              <w:rPr/>
            </w:pPr>
            <w:hyperlink w:anchor="ttec-20260630xex31d2.htm">
              <w:r>
                <w:rPr>
                  <w:rStyle w:val="InternetLink"/>
                  <w:rFonts w:ascii="Arial;Helvetica;sans-serif" w:hAnsi="Arial;Helvetica;sans-serif"/>
                  <w:b w:val="false"/>
                  <w:i w:val="false"/>
                  <w:caps w:val="false"/>
                  <w:smallCaps w:val="false"/>
                  <w:sz w:val="20"/>
                </w:rPr>
                <w:t>Certification of Chief Financial Officer Pursuant to Rule 13a-14(a) or Rule 15d-14(a) under the Securities Exchange Act of 1934, as adopted pursuant to Section 302 of the Sarbanes-Oxley Act of 2002)</w:t>
              </w:r>
            </w:hyperlink>
          </w:p>
        </w:tc>
        <w:tc>
          <w:tcPr>
            <w:tcW w:w="109" w:type="dxa"/>
            <w:tcBorders/>
            <w:shd w:fill="FFFFFF" w:val="clear"/>
            <w:vAlign w:val="center"/>
          </w:tcPr>
          <w:p>
            <w:pPr>
              <w:pStyle w:val="TableContents"/>
              <w:bidi w:val="0"/>
              <w:spacing w:lineRule="auto" w:line="285" w:before="0" w:after="0"/>
              <w:ind w:left="0" w:right="0" w:hanging="0"/>
              <w:jc w:val="both"/>
              <w:rPr/>
            </w:pPr>
            <w:r>
              <w:rPr/>
              <w:t>​</w:t>
            </w:r>
          </w:p>
        </w:tc>
        <w:tc>
          <w:tcPr>
            <w:tcW w:w="550" w:type="dxa"/>
            <w:tcBorders/>
            <w:shd w:fill="FFFFFF" w:val="clear"/>
            <w:vAlign w:val="center"/>
          </w:tcPr>
          <w:p>
            <w:pPr>
              <w:pStyle w:val="TableContents"/>
              <w:bidi w:val="0"/>
              <w:spacing w:lineRule="auto" w:line="285" w:before="0" w:after="0"/>
              <w:ind w:left="0" w:right="0" w:hanging="0"/>
              <w:jc w:val="both"/>
              <w:rPr/>
            </w:pPr>
            <w:r>
              <w:rPr/>
              <w:t>​</w:t>
            </w:r>
          </w:p>
        </w:tc>
        <w:tc>
          <w:tcPr>
            <w:tcW w:w="114" w:type="dxa"/>
            <w:tcBorders/>
            <w:shd w:fill="FFFFFF" w:val="clear"/>
            <w:vAlign w:val="center"/>
          </w:tcPr>
          <w:p>
            <w:pPr>
              <w:pStyle w:val="TableContents"/>
              <w:bidi w:val="0"/>
              <w:spacing w:lineRule="auto" w:line="285" w:before="0" w:after="0"/>
              <w:ind w:left="0" w:right="0" w:hanging="0"/>
              <w:jc w:val="both"/>
              <w:rPr/>
            </w:pPr>
            <w:r>
              <w:rPr/>
              <w:t>​</w:t>
            </w:r>
          </w:p>
        </w:tc>
        <w:tc>
          <w:tcPr>
            <w:tcW w:w="692" w:type="dxa"/>
            <w:tcBorders/>
            <w:shd w:fill="FFFFFF" w:val="clear"/>
            <w:vAlign w:val="center"/>
          </w:tcPr>
          <w:p>
            <w:pPr>
              <w:pStyle w:val="TableContents"/>
              <w:bidi w:val="0"/>
              <w:spacing w:lineRule="auto" w:line="285" w:before="0" w:after="0"/>
              <w:ind w:left="0" w:right="0" w:hanging="0"/>
              <w:jc w:val="both"/>
              <w:rPr/>
            </w:pPr>
            <w:r>
              <w:rPr/>
              <w:t>​</w:t>
            </w:r>
          </w:p>
        </w:tc>
        <w:tc>
          <w:tcPr>
            <w:tcW w:w="114" w:type="dxa"/>
            <w:tcBorders/>
            <w:shd w:fill="FFFFFF" w:val="clear"/>
            <w:vAlign w:val="center"/>
          </w:tcPr>
          <w:p>
            <w:pPr>
              <w:pStyle w:val="TableContents"/>
              <w:bidi w:val="0"/>
              <w:spacing w:lineRule="auto" w:line="285" w:before="0" w:after="0"/>
              <w:ind w:left="0" w:right="0" w:hanging="0"/>
              <w:jc w:val="both"/>
              <w:rPr/>
            </w:pPr>
            <w:r>
              <w:rPr/>
              <w:t>​</w:t>
            </w:r>
          </w:p>
        </w:tc>
        <w:tc>
          <w:tcPr>
            <w:tcW w:w="661" w:type="dxa"/>
            <w:tcBorders/>
            <w:shd w:fill="FFFFFF" w:val="clear"/>
            <w:vAlign w:val="center"/>
          </w:tcPr>
          <w:p>
            <w:pPr>
              <w:pStyle w:val="TableContents"/>
              <w:bidi w:val="0"/>
              <w:spacing w:lineRule="auto" w:line="285" w:before="0" w:after="0"/>
              <w:ind w:left="0" w:right="0" w:hanging="0"/>
              <w:jc w:val="both"/>
              <w:rPr/>
            </w:pPr>
            <w:r>
              <w:rPr/>
              <w:t>​</w:t>
            </w:r>
          </w:p>
        </w:tc>
      </w:tr>
      <w:tr>
        <w:trPr/>
        <w:tc>
          <w:tcPr>
            <w:tcW w:w="734" w:type="dxa"/>
            <w:tcBorders/>
            <w:shd w:fill="FFFFFF" w:val="clear"/>
            <w:vAlign w:val="center"/>
          </w:tcPr>
          <w:p>
            <w:pPr>
              <w:pStyle w:val="TableContents"/>
              <w:bidi w:val="0"/>
              <w:spacing w:lineRule="auto" w:line="285" w:before="0" w:after="0"/>
              <w:ind w:left="0" w:right="0" w:hanging="0"/>
              <w:jc w:val="right"/>
              <w:rPr/>
            </w:pPr>
            <w:r>
              <w:rPr/>
              <w:t>​</w:t>
            </w:r>
          </w:p>
        </w:tc>
        <w:tc>
          <w:tcPr>
            <w:tcW w:w="346" w:type="dxa"/>
            <w:tcBorders/>
            <w:shd w:fill="FFFF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219710" cy="175260"/>
                      <wp:effectExtent l="0" t="0" r="0" b="0"/>
                      <wp:wrapNone/>
                      <wp:docPr id="500" name="Frame5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885" w:type="dxa"/>
            <w:tcBorders/>
            <w:shd w:fill="FFFFFF" w:val="clear"/>
            <w:vAlign w:val="center"/>
          </w:tcPr>
          <w:p>
            <w:pPr>
              <w:pStyle w:val="TableContents"/>
              <w:bidi w:val="0"/>
              <w:spacing w:lineRule="auto" w:line="285" w:before="0" w:after="0"/>
              <w:ind w:left="0" w:right="0" w:hanging="0"/>
              <w:jc w:val="both"/>
              <w:rPr/>
            </w:pPr>
            <w:r>
              <w:rPr/>
              <w:t>​</w:t>
            </w:r>
          </w:p>
        </w:tc>
        <w:tc>
          <w:tcPr>
            <w:tcW w:w="109" w:type="dxa"/>
            <w:tcBorders/>
            <w:shd w:fill="FFFFFF" w:val="clear"/>
            <w:vAlign w:val="center"/>
          </w:tcPr>
          <w:p>
            <w:pPr>
              <w:pStyle w:val="TableContents"/>
              <w:bidi w:val="0"/>
              <w:spacing w:lineRule="auto" w:line="285" w:before="0" w:after="0"/>
              <w:ind w:left="0" w:right="0" w:hanging="0"/>
              <w:jc w:val="both"/>
              <w:rPr/>
            </w:pPr>
            <w:r>
              <w:rPr/>
              <w:t>​</w:t>
            </w:r>
          </w:p>
        </w:tc>
        <w:tc>
          <w:tcPr>
            <w:tcW w:w="550" w:type="dxa"/>
            <w:tcBorders/>
            <w:shd w:fill="FFFFFF" w:val="clear"/>
            <w:vAlign w:val="center"/>
          </w:tcPr>
          <w:p>
            <w:pPr>
              <w:pStyle w:val="TableContents"/>
              <w:bidi w:val="0"/>
              <w:spacing w:lineRule="auto" w:line="285" w:before="0" w:after="0"/>
              <w:ind w:left="0" w:right="0" w:hanging="0"/>
              <w:jc w:val="both"/>
              <w:rPr/>
            </w:pPr>
            <w:r>
              <w:rPr/>
              <w:t>​</w:t>
            </w:r>
          </w:p>
        </w:tc>
        <w:tc>
          <w:tcPr>
            <w:tcW w:w="114" w:type="dxa"/>
            <w:tcBorders/>
            <w:shd w:fill="FFFFFF" w:val="clear"/>
            <w:vAlign w:val="center"/>
          </w:tcPr>
          <w:p>
            <w:pPr>
              <w:pStyle w:val="TableContents"/>
              <w:bidi w:val="0"/>
              <w:spacing w:lineRule="auto" w:line="285" w:before="0" w:after="0"/>
              <w:ind w:left="0" w:right="0" w:hanging="0"/>
              <w:jc w:val="both"/>
              <w:rPr/>
            </w:pPr>
            <w:r>
              <w:rPr/>
              <w:t>​</w:t>
            </w:r>
          </w:p>
        </w:tc>
        <w:tc>
          <w:tcPr>
            <w:tcW w:w="692" w:type="dxa"/>
            <w:tcBorders/>
            <w:shd w:fill="FFFFFF" w:val="clear"/>
            <w:vAlign w:val="center"/>
          </w:tcPr>
          <w:p>
            <w:pPr>
              <w:pStyle w:val="TableContents"/>
              <w:bidi w:val="0"/>
              <w:spacing w:lineRule="auto" w:line="285" w:before="0" w:after="0"/>
              <w:ind w:left="0" w:right="0" w:hanging="0"/>
              <w:jc w:val="both"/>
              <w:rPr/>
            </w:pPr>
            <w:r>
              <w:rPr/>
              <w:t>​</w:t>
            </w:r>
          </w:p>
        </w:tc>
        <w:tc>
          <w:tcPr>
            <w:tcW w:w="114" w:type="dxa"/>
            <w:tcBorders/>
            <w:shd w:fill="FFFFFF" w:val="clear"/>
            <w:vAlign w:val="center"/>
          </w:tcPr>
          <w:p>
            <w:pPr>
              <w:pStyle w:val="TableContents"/>
              <w:bidi w:val="0"/>
              <w:spacing w:lineRule="auto" w:line="285" w:before="0" w:after="0"/>
              <w:ind w:left="0" w:right="0" w:hanging="0"/>
              <w:jc w:val="both"/>
              <w:rPr/>
            </w:pPr>
            <w:r>
              <w:rPr/>
              <w:t>​</w:t>
            </w:r>
          </w:p>
        </w:tc>
        <w:tc>
          <w:tcPr>
            <w:tcW w:w="661" w:type="dxa"/>
            <w:tcBorders/>
            <w:shd w:fill="FFFFFF" w:val="clear"/>
            <w:vAlign w:val="center"/>
          </w:tcPr>
          <w:p>
            <w:pPr>
              <w:pStyle w:val="TableContents"/>
              <w:bidi w:val="0"/>
              <w:spacing w:lineRule="auto" w:line="285" w:before="0" w:after="0"/>
              <w:ind w:left="0" w:right="0" w:hanging="0"/>
              <w:jc w:val="both"/>
              <w:rPr/>
            </w:pPr>
            <w:r>
              <w:rPr/>
              <w:t>​</w:t>
            </w:r>
          </w:p>
        </w:tc>
      </w:tr>
      <w:tr>
        <w:trPr/>
        <w:tc>
          <w:tcPr>
            <w:tcW w:w="734" w:type="dxa"/>
            <w:tcBorders/>
            <w:shd w:fill="FFFFFF" w:val="cle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32.1*</w:t>
            </w:r>
          </w:p>
        </w:tc>
        <w:tc>
          <w:tcPr>
            <w:tcW w:w="346" w:type="dxa"/>
            <w:tcBorders/>
            <w:shd w:fill="FFFFFF" w:val="clear"/>
            <w:vAlign w:val="center"/>
          </w:tcPr>
          <w:p>
            <w:pPr>
              <w:pStyle w:val="TableContents"/>
              <w:bidi w:val="0"/>
              <w:spacing w:lineRule="auto" w:line="285" w:before="0" w:after="0"/>
              <w:ind w:left="0" w:right="0" w:hanging="0"/>
              <w:jc w:val="left"/>
              <w:rPr/>
            </w:pPr>
            <w:r>
              <w:rPr/>
              <w:t>​</w:t>
            </w:r>
          </w:p>
        </w:tc>
        <w:tc>
          <w:tcPr>
            <w:tcW w:w="6885" w:type="dxa"/>
            <w:tcBorders/>
            <w:shd w:fill="FFFFFF" w:val="clear"/>
            <w:vAlign w:val="center"/>
          </w:tcPr>
          <w:p>
            <w:pPr>
              <w:pStyle w:val="TableContents"/>
              <w:bidi w:val="0"/>
              <w:spacing w:lineRule="auto" w:line="285" w:before="0" w:after="0"/>
              <w:ind w:left="0" w:right="0" w:hanging="0"/>
              <w:jc w:val="both"/>
              <w:rPr/>
            </w:pPr>
            <w:hyperlink w:anchor="ttec-20260630xex32d1.htm">
              <w:r>
                <w:rPr>
                  <w:rStyle w:val="InternetLink"/>
                  <w:rFonts w:ascii="Arial;Helvetica;sans-serif" w:hAnsi="Arial;Helvetica;sans-serif"/>
                  <w:b w:val="false"/>
                  <w:i w:val="false"/>
                  <w:caps w:val="false"/>
                  <w:smallCaps w:val="false"/>
                  <w:sz w:val="20"/>
                </w:rPr>
                <w:t>Certification of Chief Executive Officer Pursuant to Section 906 of the Sarbanes-Oxley Act of 2002 (18 U.S.C. Section 1350)</w:t>
              </w:r>
            </w:hyperlink>
          </w:p>
        </w:tc>
        <w:tc>
          <w:tcPr>
            <w:tcW w:w="109" w:type="dxa"/>
            <w:tcBorders/>
            <w:shd w:fill="FFFFFF" w:val="clear"/>
            <w:vAlign w:val="center"/>
          </w:tcPr>
          <w:p>
            <w:pPr>
              <w:pStyle w:val="TableContents"/>
              <w:bidi w:val="0"/>
              <w:spacing w:lineRule="auto" w:line="285" w:before="0" w:after="0"/>
              <w:ind w:left="0" w:right="0" w:hanging="0"/>
              <w:jc w:val="both"/>
              <w:rPr/>
            </w:pPr>
            <w:r>
              <w:rPr/>
              <w:t>​</w:t>
            </w:r>
          </w:p>
        </w:tc>
        <w:tc>
          <w:tcPr>
            <w:tcW w:w="550" w:type="dxa"/>
            <w:tcBorders/>
            <w:shd w:fill="FFFFFF" w:val="clear"/>
            <w:vAlign w:val="center"/>
          </w:tcPr>
          <w:p>
            <w:pPr>
              <w:pStyle w:val="TableContents"/>
              <w:bidi w:val="0"/>
              <w:spacing w:lineRule="auto" w:line="285" w:before="0" w:after="0"/>
              <w:ind w:left="0" w:right="0" w:hanging="0"/>
              <w:jc w:val="both"/>
              <w:rPr/>
            </w:pPr>
            <w:r>
              <w:rPr/>
              <w:t>​</w:t>
            </w:r>
          </w:p>
        </w:tc>
        <w:tc>
          <w:tcPr>
            <w:tcW w:w="114" w:type="dxa"/>
            <w:tcBorders/>
            <w:shd w:fill="FFFFFF" w:val="clear"/>
            <w:vAlign w:val="center"/>
          </w:tcPr>
          <w:p>
            <w:pPr>
              <w:pStyle w:val="TableContents"/>
              <w:bidi w:val="0"/>
              <w:spacing w:lineRule="auto" w:line="285" w:before="0" w:after="0"/>
              <w:ind w:left="0" w:right="0" w:hanging="0"/>
              <w:jc w:val="both"/>
              <w:rPr/>
            </w:pPr>
            <w:r>
              <w:rPr/>
              <w:t>​</w:t>
            </w:r>
          </w:p>
        </w:tc>
        <w:tc>
          <w:tcPr>
            <w:tcW w:w="692" w:type="dxa"/>
            <w:tcBorders/>
            <w:shd w:fill="FFFFFF" w:val="clear"/>
            <w:vAlign w:val="center"/>
          </w:tcPr>
          <w:p>
            <w:pPr>
              <w:pStyle w:val="TableContents"/>
              <w:bidi w:val="0"/>
              <w:spacing w:lineRule="auto" w:line="285" w:before="0" w:after="0"/>
              <w:ind w:left="0" w:right="0" w:hanging="0"/>
              <w:jc w:val="both"/>
              <w:rPr/>
            </w:pPr>
            <w:r>
              <w:rPr/>
              <w:t>​</w:t>
            </w:r>
          </w:p>
        </w:tc>
        <w:tc>
          <w:tcPr>
            <w:tcW w:w="114" w:type="dxa"/>
            <w:tcBorders/>
            <w:shd w:fill="FFFFFF" w:val="clear"/>
            <w:vAlign w:val="center"/>
          </w:tcPr>
          <w:p>
            <w:pPr>
              <w:pStyle w:val="TableContents"/>
              <w:bidi w:val="0"/>
              <w:spacing w:lineRule="auto" w:line="285" w:before="0" w:after="0"/>
              <w:ind w:left="0" w:right="0" w:hanging="0"/>
              <w:jc w:val="both"/>
              <w:rPr/>
            </w:pPr>
            <w:r>
              <w:rPr/>
              <w:t>​</w:t>
            </w:r>
          </w:p>
        </w:tc>
        <w:tc>
          <w:tcPr>
            <w:tcW w:w="661" w:type="dxa"/>
            <w:tcBorders/>
            <w:shd w:fill="FFFFFF" w:val="clear"/>
            <w:vAlign w:val="center"/>
          </w:tcPr>
          <w:p>
            <w:pPr>
              <w:pStyle w:val="TableContents"/>
              <w:bidi w:val="0"/>
              <w:spacing w:lineRule="auto" w:line="285" w:before="0" w:after="0"/>
              <w:ind w:left="0" w:right="0" w:hanging="0"/>
              <w:jc w:val="both"/>
              <w:rPr/>
            </w:pPr>
            <w:r>
              <w:rPr/>
              <w:t>​</w:t>
            </w:r>
          </w:p>
        </w:tc>
      </w:tr>
      <w:tr>
        <w:trPr/>
        <w:tc>
          <w:tcPr>
            <w:tcW w:w="734" w:type="dxa"/>
            <w:tcBorders/>
            <w:shd w:fill="FFFFFF" w:val="clear"/>
            <w:vAlign w:val="center"/>
          </w:tcPr>
          <w:p>
            <w:pPr>
              <w:pStyle w:val="TableContents"/>
              <w:bidi w:val="0"/>
              <w:spacing w:lineRule="auto" w:line="285" w:before="0" w:after="0"/>
              <w:ind w:left="0" w:right="0" w:hanging="0"/>
              <w:jc w:val="right"/>
              <w:rPr/>
            </w:pPr>
            <w:r>
              <w:rPr/>
              <w:t>​</w:t>
            </w:r>
          </w:p>
        </w:tc>
        <w:tc>
          <w:tcPr>
            <w:tcW w:w="346" w:type="dxa"/>
            <w:tcBorders/>
            <w:shd w:fill="FFFF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219710" cy="175260"/>
                      <wp:effectExtent l="0" t="0" r="0" b="0"/>
                      <wp:wrapNone/>
                      <wp:docPr id="501" name="Frame5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885" w:type="dxa"/>
            <w:tcBorders/>
            <w:shd w:fill="FFFFFF" w:val="clear"/>
            <w:vAlign w:val="center"/>
          </w:tcPr>
          <w:p>
            <w:pPr>
              <w:pStyle w:val="TableContents"/>
              <w:bidi w:val="0"/>
              <w:spacing w:lineRule="auto" w:line="285" w:before="0" w:after="0"/>
              <w:ind w:left="0" w:right="0" w:hanging="0"/>
              <w:jc w:val="both"/>
              <w:rPr/>
            </w:pPr>
            <w:r>
              <w:rPr/>
              <w:t>​</w:t>
            </w:r>
          </w:p>
        </w:tc>
        <w:tc>
          <w:tcPr>
            <w:tcW w:w="109" w:type="dxa"/>
            <w:tcBorders/>
            <w:shd w:fill="FFFFFF" w:val="clear"/>
            <w:vAlign w:val="center"/>
          </w:tcPr>
          <w:p>
            <w:pPr>
              <w:pStyle w:val="TableContents"/>
              <w:bidi w:val="0"/>
              <w:spacing w:lineRule="auto" w:line="285" w:before="0" w:after="0"/>
              <w:ind w:left="0" w:right="0" w:hanging="0"/>
              <w:jc w:val="both"/>
              <w:rPr/>
            </w:pPr>
            <w:r>
              <w:rPr/>
              <w:t>​</w:t>
            </w:r>
          </w:p>
        </w:tc>
        <w:tc>
          <w:tcPr>
            <w:tcW w:w="550" w:type="dxa"/>
            <w:tcBorders/>
            <w:shd w:fill="FFFFFF" w:val="clear"/>
            <w:vAlign w:val="center"/>
          </w:tcPr>
          <w:p>
            <w:pPr>
              <w:pStyle w:val="TableContents"/>
              <w:bidi w:val="0"/>
              <w:spacing w:lineRule="auto" w:line="285" w:before="0" w:after="0"/>
              <w:ind w:left="0" w:right="0" w:hanging="0"/>
              <w:jc w:val="both"/>
              <w:rPr/>
            </w:pPr>
            <w:r>
              <w:rPr/>
              <w:t>​</w:t>
            </w:r>
          </w:p>
        </w:tc>
        <w:tc>
          <w:tcPr>
            <w:tcW w:w="114" w:type="dxa"/>
            <w:tcBorders/>
            <w:shd w:fill="FFFFFF" w:val="clear"/>
            <w:vAlign w:val="center"/>
          </w:tcPr>
          <w:p>
            <w:pPr>
              <w:pStyle w:val="TableContents"/>
              <w:bidi w:val="0"/>
              <w:spacing w:lineRule="auto" w:line="285" w:before="0" w:after="0"/>
              <w:ind w:left="0" w:right="0" w:hanging="0"/>
              <w:jc w:val="both"/>
              <w:rPr/>
            </w:pPr>
            <w:r>
              <w:rPr/>
              <w:t>​</w:t>
            </w:r>
          </w:p>
        </w:tc>
        <w:tc>
          <w:tcPr>
            <w:tcW w:w="692" w:type="dxa"/>
            <w:tcBorders/>
            <w:shd w:fill="FFFFFF" w:val="clear"/>
            <w:vAlign w:val="center"/>
          </w:tcPr>
          <w:p>
            <w:pPr>
              <w:pStyle w:val="TableContents"/>
              <w:bidi w:val="0"/>
              <w:spacing w:lineRule="auto" w:line="285" w:before="0" w:after="0"/>
              <w:ind w:left="0" w:right="0" w:hanging="0"/>
              <w:jc w:val="both"/>
              <w:rPr/>
            </w:pPr>
            <w:r>
              <w:rPr/>
              <w:t>​</w:t>
            </w:r>
          </w:p>
        </w:tc>
        <w:tc>
          <w:tcPr>
            <w:tcW w:w="114" w:type="dxa"/>
            <w:tcBorders/>
            <w:shd w:fill="FFFFFF" w:val="clear"/>
            <w:vAlign w:val="center"/>
          </w:tcPr>
          <w:p>
            <w:pPr>
              <w:pStyle w:val="TableContents"/>
              <w:bidi w:val="0"/>
              <w:spacing w:lineRule="auto" w:line="285" w:before="0" w:after="0"/>
              <w:ind w:left="0" w:right="0" w:hanging="0"/>
              <w:jc w:val="both"/>
              <w:rPr/>
            </w:pPr>
            <w:r>
              <w:rPr/>
              <w:t>​</w:t>
            </w:r>
          </w:p>
        </w:tc>
        <w:tc>
          <w:tcPr>
            <w:tcW w:w="661" w:type="dxa"/>
            <w:tcBorders/>
            <w:shd w:fill="FFFFFF" w:val="clear"/>
            <w:vAlign w:val="center"/>
          </w:tcPr>
          <w:p>
            <w:pPr>
              <w:pStyle w:val="TableContents"/>
              <w:bidi w:val="0"/>
              <w:spacing w:lineRule="auto" w:line="285" w:before="0" w:after="0"/>
              <w:ind w:left="0" w:right="0" w:hanging="0"/>
              <w:jc w:val="both"/>
              <w:rPr/>
            </w:pPr>
            <w:r>
              <w:rPr/>
              <w:t>​</w:t>
            </w:r>
          </w:p>
        </w:tc>
      </w:tr>
      <w:tr>
        <w:trPr/>
        <w:tc>
          <w:tcPr>
            <w:tcW w:w="734" w:type="dxa"/>
            <w:tcBorders/>
            <w:shd w:fill="FFFFFF" w:val="cle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32.2*</w:t>
            </w:r>
          </w:p>
        </w:tc>
        <w:tc>
          <w:tcPr>
            <w:tcW w:w="346" w:type="dxa"/>
            <w:tcBorders/>
            <w:shd w:fill="FFFFFF" w:val="clear"/>
            <w:vAlign w:val="center"/>
          </w:tcPr>
          <w:p>
            <w:pPr>
              <w:pStyle w:val="TableContents"/>
              <w:bidi w:val="0"/>
              <w:spacing w:lineRule="auto" w:line="285" w:before="0" w:after="0"/>
              <w:ind w:left="0" w:right="0" w:hanging="0"/>
              <w:jc w:val="left"/>
              <w:rPr/>
            </w:pPr>
            <w:r>
              <w:rPr/>
              <w:t>​</w:t>
            </w:r>
          </w:p>
        </w:tc>
        <w:tc>
          <w:tcPr>
            <w:tcW w:w="6885" w:type="dxa"/>
            <w:tcBorders/>
            <w:shd w:fill="FFFFFF" w:val="clear"/>
            <w:vAlign w:val="center"/>
          </w:tcPr>
          <w:p>
            <w:pPr>
              <w:pStyle w:val="TableContents"/>
              <w:bidi w:val="0"/>
              <w:spacing w:lineRule="auto" w:line="285" w:before="0" w:after="0"/>
              <w:ind w:left="0" w:right="0" w:hanging="0"/>
              <w:jc w:val="both"/>
              <w:rPr/>
            </w:pPr>
            <w:hyperlink w:anchor="ttec-20260630xex32d2.htm">
              <w:r>
                <w:rPr>
                  <w:rStyle w:val="InternetLink"/>
                  <w:rFonts w:ascii="Arial;Helvetica;sans-serif" w:hAnsi="Arial;Helvetica;sans-serif"/>
                  <w:b w:val="false"/>
                  <w:i w:val="false"/>
                  <w:caps w:val="false"/>
                  <w:smallCaps w:val="false"/>
                  <w:sz w:val="20"/>
                </w:rPr>
                <w:t>Certification of Chief Financial Officer Pursuant to Section 906 of the Sarbanes-Oxley Act of 2002 (18 U.S.C. Section 1350)</w:t>
              </w:r>
            </w:hyperlink>
          </w:p>
        </w:tc>
        <w:tc>
          <w:tcPr>
            <w:tcW w:w="109" w:type="dxa"/>
            <w:tcBorders/>
            <w:shd w:fill="FFFFFF" w:val="clear"/>
            <w:vAlign w:val="center"/>
          </w:tcPr>
          <w:p>
            <w:pPr>
              <w:pStyle w:val="TableContents"/>
              <w:bidi w:val="0"/>
              <w:spacing w:lineRule="auto" w:line="285" w:before="0" w:after="0"/>
              <w:ind w:left="0" w:right="0" w:hanging="0"/>
              <w:jc w:val="both"/>
              <w:rPr/>
            </w:pPr>
            <w:r>
              <w:rPr/>
              <w:t>​</w:t>
            </w:r>
          </w:p>
        </w:tc>
        <w:tc>
          <w:tcPr>
            <w:tcW w:w="550" w:type="dxa"/>
            <w:tcBorders/>
            <w:shd w:fill="FFFFFF" w:val="clear"/>
            <w:vAlign w:val="center"/>
          </w:tcPr>
          <w:p>
            <w:pPr>
              <w:pStyle w:val="TableContents"/>
              <w:bidi w:val="0"/>
              <w:spacing w:lineRule="auto" w:line="285" w:before="0" w:after="0"/>
              <w:ind w:left="0" w:right="0" w:hanging="0"/>
              <w:jc w:val="both"/>
              <w:rPr/>
            </w:pPr>
            <w:r>
              <w:rPr/>
              <w:t>​</w:t>
            </w:r>
          </w:p>
        </w:tc>
        <w:tc>
          <w:tcPr>
            <w:tcW w:w="114" w:type="dxa"/>
            <w:tcBorders/>
            <w:shd w:fill="FFFFFF" w:val="clear"/>
            <w:vAlign w:val="center"/>
          </w:tcPr>
          <w:p>
            <w:pPr>
              <w:pStyle w:val="TableContents"/>
              <w:bidi w:val="0"/>
              <w:spacing w:lineRule="auto" w:line="285" w:before="0" w:after="0"/>
              <w:ind w:left="0" w:right="0" w:hanging="0"/>
              <w:jc w:val="both"/>
              <w:rPr/>
            </w:pPr>
            <w:r>
              <w:rPr/>
              <w:t>​</w:t>
            </w:r>
          </w:p>
        </w:tc>
        <w:tc>
          <w:tcPr>
            <w:tcW w:w="692" w:type="dxa"/>
            <w:tcBorders/>
            <w:shd w:fill="FFFFFF" w:val="clear"/>
            <w:vAlign w:val="center"/>
          </w:tcPr>
          <w:p>
            <w:pPr>
              <w:pStyle w:val="TableContents"/>
              <w:bidi w:val="0"/>
              <w:spacing w:lineRule="auto" w:line="285" w:before="0" w:after="0"/>
              <w:ind w:left="0" w:right="0" w:hanging="0"/>
              <w:jc w:val="both"/>
              <w:rPr/>
            </w:pPr>
            <w:r>
              <w:rPr/>
              <w:t>​</w:t>
            </w:r>
          </w:p>
        </w:tc>
        <w:tc>
          <w:tcPr>
            <w:tcW w:w="114" w:type="dxa"/>
            <w:tcBorders/>
            <w:shd w:fill="FFFFFF" w:val="clear"/>
            <w:vAlign w:val="center"/>
          </w:tcPr>
          <w:p>
            <w:pPr>
              <w:pStyle w:val="TableContents"/>
              <w:bidi w:val="0"/>
              <w:spacing w:lineRule="auto" w:line="285" w:before="0" w:after="0"/>
              <w:ind w:left="0" w:right="0" w:hanging="0"/>
              <w:jc w:val="both"/>
              <w:rPr/>
            </w:pPr>
            <w:r>
              <w:rPr/>
              <w:t>​</w:t>
            </w:r>
          </w:p>
        </w:tc>
        <w:tc>
          <w:tcPr>
            <w:tcW w:w="661" w:type="dxa"/>
            <w:tcBorders/>
            <w:shd w:fill="FFFFFF" w:val="clear"/>
            <w:vAlign w:val="center"/>
          </w:tcPr>
          <w:p>
            <w:pPr>
              <w:pStyle w:val="TableContents"/>
              <w:bidi w:val="0"/>
              <w:spacing w:lineRule="auto" w:line="285" w:before="0" w:after="0"/>
              <w:ind w:left="0" w:right="0" w:hanging="0"/>
              <w:jc w:val="both"/>
              <w:rPr/>
            </w:pPr>
            <w:r>
              <w:rPr/>
              <w:t>​</w:t>
            </w:r>
          </w:p>
        </w:tc>
      </w:tr>
      <w:tr>
        <w:trPr/>
        <w:tc>
          <w:tcPr>
            <w:tcW w:w="734" w:type="dxa"/>
            <w:tcBorders/>
            <w:shd w:fill="FFFFFF" w:val="clear"/>
            <w:vAlign w:val="center"/>
          </w:tcPr>
          <w:p>
            <w:pPr>
              <w:pStyle w:val="TableContents"/>
              <w:bidi w:val="0"/>
              <w:spacing w:lineRule="auto" w:line="285" w:before="0" w:after="0"/>
              <w:ind w:left="0" w:right="0" w:hanging="0"/>
              <w:jc w:val="right"/>
              <w:rPr/>
            </w:pPr>
            <w:r>
              <w:rPr/>
              <w:t>​</w:t>
            </w:r>
          </w:p>
        </w:tc>
        <w:tc>
          <w:tcPr>
            <w:tcW w:w="346" w:type="dxa"/>
            <w:tcBorders/>
            <w:shd w:fill="FFFF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219710" cy="175260"/>
                      <wp:effectExtent l="0" t="0" r="0" b="0"/>
                      <wp:wrapNone/>
                      <wp:docPr id="502" name="Frame5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885" w:type="dxa"/>
            <w:tcBorders/>
            <w:shd w:fill="FFFFFF" w:val="clear"/>
            <w:vAlign w:val="center"/>
          </w:tcPr>
          <w:p>
            <w:pPr>
              <w:pStyle w:val="TableContents"/>
              <w:bidi w:val="0"/>
              <w:spacing w:lineRule="auto" w:line="285" w:before="0" w:after="0"/>
              <w:ind w:left="0" w:right="0" w:hanging="0"/>
              <w:jc w:val="both"/>
              <w:rPr/>
            </w:pPr>
            <w:r>
              <w:rPr/>
              <w:t>​</w:t>
            </w:r>
          </w:p>
        </w:tc>
        <w:tc>
          <w:tcPr>
            <w:tcW w:w="109" w:type="dxa"/>
            <w:tcBorders/>
            <w:shd w:fill="FFFFFF" w:val="clear"/>
            <w:vAlign w:val="center"/>
          </w:tcPr>
          <w:p>
            <w:pPr>
              <w:pStyle w:val="TableContents"/>
              <w:bidi w:val="0"/>
              <w:spacing w:lineRule="auto" w:line="285" w:before="0" w:after="0"/>
              <w:ind w:left="0" w:right="0" w:hanging="0"/>
              <w:jc w:val="both"/>
              <w:rPr/>
            </w:pPr>
            <w:r>
              <w:rPr/>
              <w:t>​</w:t>
            </w:r>
          </w:p>
        </w:tc>
        <w:tc>
          <w:tcPr>
            <w:tcW w:w="550" w:type="dxa"/>
            <w:tcBorders/>
            <w:shd w:fill="FFFFFF" w:val="clear"/>
            <w:vAlign w:val="center"/>
          </w:tcPr>
          <w:p>
            <w:pPr>
              <w:pStyle w:val="TableContents"/>
              <w:bidi w:val="0"/>
              <w:spacing w:lineRule="auto" w:line="285" w:before="0" w:after="0"/>
              <w:ind w:left="0" w:right="0" w:hanging="0"/>
              <w:jc w:val="both"/>
              <w:rPr/>
            </w:pPr>
            <w:r>
              <w:rPr/>
              <w:t>​</w:t>
            </w:r>
          </w:p>
        </w:tc>
        <w:tc>
          <w:tcPr>
            <w:tcW w:w="114" w:type="dxa"/>
            <w:tcBorders/>
            <w:shd w:fill="FFFFFF" w:val="clear"/>
            <w:vAlign w:val="center"/>
          </w:tcPr>
          <w:p>
            <w:pPr>
              <w:pStyle w:val="TableContents"/>
              <w:bidi w:val="0"/>
              <w:spacing w:lineRule="auto" w:line="285" w:before="0" w:after="0"/>
              <w:ind w:left="0" w:right="0" w:hanging="0"/>
              <w:jc w:val="both"/>
              <w:rPr/>
            </w:pPr>
            <w:r>
              <w:rPr/>
              <w:t>​</w:t>
            </w:r>
          </w:p>
        </w:tc>
        <w:tc>
          <w:tcPr>
            <w:tcW w:w="692" w:type="dxa"/>
            <w:tcBorders/>
            <w:shd w:fill="FFFFFF" w:val="clear"/>
            <w:vAlign w:val="center"/>
          </w:tcPr>
          <w:p>
            <w:pPr>
              <w:pStyle w:val="TableContents"/>
              <w:bidi w:val="0"/>
              <w:spacing w:lineRule="auto" w:line="285" w:before="0" w:after="0"/>
              <w:ind w:left="0" w:right="0" w:hanging="0"/>
              <w:jc w:val="both"/>
              <w:rPr/>
            </w:pPr>
            <w:r>
              <w:rPr/>
              <w:t>​</w:t>
            </w:r>
          </w:p>
        </w:tc>
        <w:tc>
          <w:tcPr>
            <w:tcW w:w="114" w:type="dxa"/>
            <w:tcBorders/>
            <w:shd w:fill="FFFFFF" w:val="clear"/>
            <w:vAlign w:val="center"/>
          </w:tcPr>
          <w:p>
            <w:pPr>
              <w:pStyle w:val="TableContents"/>
              <w:bidi w:val="0"/>
              <w:spacing w:lineRule="auto" w:line="285" w:before="0" w:after="0"/>
              <w:ind w:left="0" w:right="0" w:hanging="0"/>
              <w:jc w:val="both"/>
              <w:rPr/>
            </w:pPr>
            <w:r>
              <w:rPr/>
              <w:t>​</w:t>
            </w:r>
          </w:p>
        </w:tc>
        <w:tc>
          <w:tcPr>
            <w:tcW w:w="661" w:type="dxa"/>
            <w:tcBorders/>
            <w:shd w:fill="FFFFFF" w:val="clear"/>
            <w:vAlign w:val="center"/>
          </w:tcPr>
          <w:p>
            <w:pPr>
              <w:pStyle w:val="TableContents"/>
              <w:bidi w:val="0"/>
              <w:spacing w:lineRule="auto" w:line="285" w:before="0" w:after="0"/>
              <w:ind w:left="0" w:right="0" w:hanging="0"/>
              <w:jc w:val="both"/>
              <w:rPr/>
            </w:pPr>
            <w:r>
              <w:rPr/>
              <w:t>​</w:t>
            </w:r>
          </w:p>
        </w:tc>
      </w:tr>
      <w:tr>
        <w:trPr/>
        <w:tc>
          <w:tcPr>
            <w:tcW w:w="734" w:type="dxa"/>
            <w:tcBorders/>
            <w:shd w:fill="FFFFFF" w:val="cle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101.INS</w:t>
            </w:r>
          </w:p>
        </w:tc>
        <w:tc>
          <w:tcPr>
            <w:tcW w:w="346" w:type="dxa"/>
            <w:tcBorders/>
            <w:shd w:fill="FFFFFF" w:val="clear"/>
            <w:vAlign w:val="center"/>
          </w:tcPr>
          <w:p>
            <w:pPr>
              <w:pStyle w:val="TableContents"/>
              <w:bidi w:val="0"/>
              <w:spacing w:lineRule="auto" w:line="285" w:before="0" w:after="0"/>
              <w:ind w:left="0" w:right="0" w:hanging="0"/>
              <w:jc w:val="left"/>
              <w:rPr/>
            </w:pPr>
            <w:r>
              <w:rPr/>
              <w:t>​</w:t>
            </w:r>
          </w:p>
        </w:tc>
        <w:tc>
          <w:tcPr>
            <w:tcW w:w="6885" w:type="dxa"/>
            <w:tcBorders/>
            <w:shd w:fill="FFFFFF" w:val="clear"/>
            <w:vAlign w:val="center"/>
          </w:tcPr>
          <w:p>
            <w:pPr>
              <w:pStyle w:val="TableContents"/>
              <w:bidi w:val="0"/>
              <w:spacing w:lineRule="auto" w:line="285" w:before="0" w:after="0"/>
              <w:ind w:left="0" w:right="0" w:hanging="0"/>
              <w:jc w:val="both"/>
              <w:rPr>
                <w:rFonts w:ascii="Arial;Helvetica;sans-serif" w:hAnsi="Arial;Helvetica;sans-serif"/>
                <w:sz w:val="16"/>
              </w:rPr>
            </w:pPr>
            <w:r>
              <w:rPr>
                <w:rFonts w:ascii="Arial;Helvetica;sans-serif" w:hAnsi="Arial;Helvetica;sans-serif"/>
                <w:sz w:val="16"/>
              </w:rPr>
              <w:t>XBRL Instance Document (the instance document does not appear in the Interactive Data File because its XBRL tags are embedded within the Inline XBRL document)</w:t>
            </w:r>
          </w:p>
        </w:tc>
        <w:tc>
          <w:tcPr>
            <w:tcW w:w="109" w:type="dxa"/>
            <w:tcBorders/>
            <w:shd w:fill="FFFFFF" w:val="clear"/>
            <w:vAlign w:val="center"/>
          </w:tcPr>
          <w:p>
            <w:pPr>
              <w:pStyle w:val="TableContents"/>
              <w:bidi w:val="0"/>
              <w:spacing w:lineRule="auto" w:line="285" w:before="0" w:after="0"/>
              <w:ind w:left="0" w:right="0" w:hanging="0"/>
              <w:jc w:val="both"/>
              <w:rPr/>
            </w:pPr>
            <w:r>
              <w:rPr/>
              <w:t>​</w:t>
            </w:r>
          </w:p>
        </w:tc>
        <w:tc>
          <w:tcPr>
            <w:tcW w:w="550" w:type="dxa"/>
            <w:tcBorders/>
            <w:shd w:fill="FFFFFF" w:val="clear"/>
            <w:vAlign w:val="center"/>
          </w:tcPr>
          <w:p>
            <w:pPr>
              <w:pStyle w:val="TableContents"/>
              <w:bidi w:val="0"/>
              <w:spacing w:lineRule="auto" w:line="285" w:before="0" w:after="0"/>
              <w:ind w:left="0" w:right="0" w:hanging="0"/>
              <w:jc w:val="both"/>
              <w:rPr/>
            </w:pPr>
            <w:r>
              <w:rPr/>
              <w:t>​</w:t>
            </w:r>
          </w:p>
        </w:tc>
        <w:tc>
          <w:tcPr>
            <w:tcW w:w="114" w:type="dxa"/>
            <w:tcBorders/>
            <w:shd w:fill="FFFFFF" w:val="clear"/>
            <w:vAlign w:val="center"/>
          </w:tcPr>
          <w:p>
            <w:pPr>
              <w:pStyle w:val="TableContents"/>
              <w:bidi w:val="0"/>
              <w:spacing w:lineRule="auto" w:line="285" w:before="0" w:after="0"/>
              <w:ind w:left="0" w:right="0" w:hanging="0"/>
              <w:jc w:val="both"/>
              <w:rPr/>
            </w:pPr>
            <w:r>
              <w:rPr/>
              <w:t>​</w:t>
            </w:r>
          </w:p>
        </w:tc>
        <w:tc>
          <w:tcPr>
            <w:tcW w:w="692" w:type="dxa"/>
            <w:tcBorders/>
            <w:shd w:fill="FFFFFF" w:val="clear"/>
            <w:vAlign w:val="center"/>
          </w:tcPr>
          <w:p>
            <w:pPr>
              <w:pStyle w:val="TableContents"/>
              <w:bidi w:val="0"/>
              <w:spacing w:lineRule="auto" w:line="285" w:before="0" w:after="0"/>
              <w:ind w:left="0" w:right="0" w:hanging="0"/>
              <w:jc w:val="both"/>
              <w:rPr/>
            </w:pPr>
            <w:r>
              <w:rPr/>
              <w:t>​</w:t>
            </w:r>
          </w:p>
        </w:tc>
        <w:tc>
          <w:tcPr>
            <w:tcW w:w="114" w:type="dxa"/>
            <w:tcBorders/>
            <w:shd w:fill="FFFFFF" w:val="clear"/>
            <w:vAlign w:val="center"/>
          </w:tcPr>
          <w:p>
            <w:pPr>
              <w:pStyle w:val="TableContents"/>
              <w:bidi w:val="0"/>
              <w:spacing w:lineRule="auto" w:line="285" w:before="0" w:after="0"/>
              <w:ind w:left="0" w:right="0" w:hanging="0"/>
              <w:jc w:val="both"/>
              <w:rPr/>
            </w:pPr>
            <w:r>
              <w:rPr/>
              <w:t>​</w:t>
            </w:r>
          </w:p>
        </w:tc>
        <w:tc>
          <w:tcPr>
            <w:tcW w:w="661" w:type="dxa"/>
            <w:tcBorders/>
            <w:shd w:fill="FFFFFF" w:val="clear"/>
            <w:vAlign w:val="center"/>
          </w:tcPr>
          <w:p>
            <w:pPr>
              <w:pStyle w:val="TableContents"/>
              <w:bidi w:val="0"/>
              <w:spacing w:lineRule="auto" w:line="285" w:before="0" w:after="0"/>
              <w:ind w:left="0" w:right="0" w:hanging="0"/>
              <w:jc w:val="both"/>
              <w:rPr/>
            </w:pPr>
            <w:r>
              <w:rPr/>
              <w:t>​</w:t>
            </w:r>
          </w:p>
        </w:tc>
      </w:tr>
      <w:tr>
        <w:trPr/>
        <w:tc>
          <w:tcPr>
            <w:tcW w:w="734" w:type="dxa"/>
            <w:tcBorders/>
            <w:shd w:fill="FFFFFF" w:val="clear"/>
            <w:vAlign w:val="center"/>
          </w:tcPr>
          <w:p>
            <w:pPr>
              <w:pStyle w:val="TableContents"/>
              <w:bidi w:val="0"/>
              <w:spacing w:lineRule="auto" w:line="285" w:before="0" w:after="0"/>
              <w:ind w:left="0" w:right="0" w:hanging="0"/>
              <w:jc w:val="right"/>
              <w:rPr/>
            </w:pPr>
            <w:r>
              <w:rPr/>
              <w:t>​</w:t>
            </w:r>
          </w:p>
        </w:tc>
        <w:tc>
          <w:tcPr>
            <w:tcW w:w="346" w:type="dxa"/>
            <w:tcBorders/>
            <w:shd w:fill="FFFF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219710" cy="175260"/>
                      <wp:effectExtent l="0" t="0" r="0" b="0"/>
                      <wp:wrapNone/>
                      <wp:docPr id="503" name="Frame5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885" w:type="dxa"/>
            <w:tcBorders/>
            <w:shd w:fill="FFFFFF" w:val="clear"/>
            <w:vAlign w:val="center"/>
          </w:tcPr>
          <w:p>
            <w:pPr>
              <w:pStyle w:val="TableContents"/>
              <w:bidi w:val="0"/>
              <w:spacing w:lineRule="auto" w:line="285" w:before="0" w:after="0"/>
              <w:ind w:left="0" w:right="0" w:hanging="0"/>
              <w:jc w:val="both"/>
              <w:rPr/>
            </w:pPr>
            <w:r>
              <w:rPr/>
              <w:t>​</w:t>
            </w:r>
          </w:p>
        </w:tc>
        <w:tc>
          <w:tcPr>
            <w:tcW w:w="109" w:type="dxa"/>
            <w:tcBorders/>
            <w:shd w:fill="FFFFFF" w:val="clear"/>
            <w:vAlign w:val="center"/>
          </w:tcPr>
          <w:p>
            <w:pPr>
              <w:pStyle w:val="TableContents"/>
              <w:bidi w:val="0"/>
              <w:spacing w:lineRule="auto" w:line="285" w:before="0" w:after="0"/>
              <w:ind w:left="0" w:right="0" w:hanging="0"/>
              <w:jc w:val="both"/>
              <w:rPr/>
            </w:pPr>
            <w:r>
              <w:rPr/>
              <w:t>​</w:t>
            </w:r>
          </w:p>
        </w:tc>
        <w:tc>
          <w:tcPr>
            <w:tcW w:w="550" w:type="dxa"/>
            <w:tcBorders/>
            <w:shd w:fill="FFFFFF" w:val="clear"/>
            <w:vAlign w:val="center"/>
          </w:tcPr>
          <w:p>
            <w:pPr>
              <w:pStyle w:val="TableContents"/>
              <w:bidi w:val="0"/>
              <w:spacing w:lineRule="auto" w:line="285" w:before="0" w:after="0"/>
              <w:ind w:left="0" w:right="0" w:hanging="0"/>
              <w:jc w:val="both"/>
              <w:rPr/>
            </w:pPr>
            <w:r>
              <w:rPr/>
              <w:t>​</w:t>
            </w:r>
          </w:p>
        </w:tc>
        <w:tc>
          <w:tcPr>
            <w:tcW w:w="114" w:type="dxa"/>
            <w:tcBorders/>
            <w:shd w:fill="FFFFFF" w:val="clear"/>
            <w:vAlign w:val="center"/>
          </w:tcPr>
          <w:p>
            <w:pPr>
              <w:pStyle w:val="TableContents"/>
              <w:bidi w:val="0"/>
              <w:spacing w:lineRule="auto" w:line="285" w:before="0" w:after="0"/>
              <w:ind w:left="0" w:right="0" w:hanging="0"/>
              <w:jc w:val="both"/>
              <w:rPr/>
            </w:pPr>
            <w:r>
              <w:rPr/>
              <w:t>​</w:t>
            </w:r>
          </w:p>
        </w:tc>
        <w:tc>
          <w:tcPr>
            <w:tcW w:w="692" w:type="dxa"/>
            <w:tcBorders/>
            <w:shd w:fill="FFFFFF" w:val="clear"/>
            <w:vAlign w:val="center"/>
          </w:tcPr>
          <w:p>
            <w:pPr>
              <w:pStyle w:val="TableContents"/>
              <w:bidi w:val="0"/>
              <w:spacing w:lineRule="auto" w:line="285" w:before="0" w:after="0"/>
              <w:ind w:left="0" w:right="0" w:hanging="0"/>
              <w:jc w:val="both"/>
              <w:rPr/>
            </w:pPr>
            <w:r>
              <w:rPr/>
              <w:t>​</w:t>
            </w:r>
          </w:p>
        </w:tc>
        <w:tc>
          <w:tcPr>
            <w:tcW w:w="114" w:type="dxa"/>
            <w:tcBorders/>
            <w:shd w:fill="FFFFFF" w:val="clear"/>
            <w:vAlign w:val="center"/>
          </w:tcPr>
          <w:p>
            <w:pPr>
              <w:pStyle w:val="TableContents"/>
              <w:bidi w:val="0"/>
              <w:spacing w:lineRule="auto" w:line="285" w:before="0" w:after="0"/>
              <w:ind w:left="0" w:right="0" w:hanging="0"/>
              <w:jc w:val="both"/>
              <w:rPr/>
            </w:pPr>
            <w:r>
              <w:rPr/>
              <w:t>​</w:t>
            </w:r>
          </w:p>
        </w:tc>
        <w:tc>
          <w:tcPr>
            <w:tcW w:w="661" w:type="dxa"/>
            <w:tcBorders/>
            <w:shd w:fill="FFFFFF" w:val="clear"/>
            <w:vAlign w:val="center"/>
          </w:tcPr>
          <w:p>
            <w:pPr>
              <w:pStyle w:val="TableContents"/>
              <w:bidi w:val="0"/>
              <w:spacing w:lineRule="auto" w:line="285" w:before="0" w:after="0"/>
              <w:ind w:left="0" w:right="0" w:hanging="0"/>
              <w:jc w:val="both"/>
              <w:rPr/>
            </w:pPr>
            <w:r>
              <w:rPr/>
              <w:t>​</w:t>
            </w:r>
          </w:p>
        </w:tc>
      </w:tr>
      <w:tr>
        <w:trPr/>
        <w:tc>
          <w:tcPr>
            <w:tcW w:w="734" w:type="dxa"/>
            <w:tcBorders/>
            <w:shd w:fill="FFFFFF" w:val="cle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101.SCH</w:t>
            </w:r>
          </w:p>
        </w:tc>
        <w:tc>
          <w:tcPr>
            <w:tcW w:w="346" w:type="dxa"/>
            <w:tcBorders/>
            <w:shd w:fill="FFFFFF" w:val="clear"/>
            <w:vAlign w:val="center"/>
          </w:tcPr>
          <w:p>
            <w:pPr>
              <w:pStyle w:val="TableContents"/>
              <w:bidi w:val="0"/>
              <w:spacing w:lineRule="auto" w:line="285" w:before="0" w:after="0"/>
              <w:ind w:left="0" w:right="0" w:hanging="0"/>
              <w:jc w:val="left"/>
              <w:rPr/>
            </w:pPr>
            <w:r>
              <w:rPr/>
              <w:t>​</w:t>
            </w:r>
          </w:p>
        </w:tc>
        <w:tc>
          <w:tcPr>
            <w:tcW w:w="6885" w:type="dxa"/>
            <w:tcBorders/>
            <w:shd w:fill="FFFFFF" w:val="clear"/>
            <w:vAlign w:val="center"/>
          </w:tcPr>
          <w:p>
            <w:pPr>
              <w:pStyle w:val="TableContents"/>
              <w:bidi w:val="0"/>
              <w:spacing w:lineRule="auto" w:line="285" w:before="0" w:after="0"/>
              <w:ind w:left="0" w:right="0" w:hanging="0"/>
              <w:jc w:val="both"/>
              <w:rPr>
                <w:rFonts w:ascii="Arial;Helvetica;sans-serif" w:hAnsi="Arial;Helvetica;sans-serif"/>
                <w:sz w:val="16"/>
              </w:rPr>
            </w:pPr>
            <w:r>
              <w:rPr>
                <w:rFonts w:ascii="Arial;Helvetica;sans-serif" w:hAnsi="Arial;Helvetica;sans-serif"/>
                <w:sz w:val="16"/>
              </w:rPr>
              <w:t>Inline XBRL Taxonomy Extension Schema</w:t>
            </w:r>
          </w:p>
        </w:tc>
        <w:tc>
          <w:tcPr>
            <w:tcW w:w="109" w:type="dxa"/>
            <w:tcBorders/>
            <w:shd w:fill="FFFFFF" w:val="clear"/>
            <w:vAlign w:val="center"/>
          </w:tcPr>
          <w:p>
            <w:pPr>
              <w:pStyle w:val="TableContents"/>
              <w:bidi w:val="0"/>
              <w:spacing w:lineRule="auto" w:line="285" w:before="0" w:after="0"/>
              <w:ind w:left="0" w:right="0" w:hanging="0"/>
              <w:jc w:val="both"/>
              <w:rPr/>
            </w:pPr>
            <w:r>
              <w:rPr/>
              <w:t>​</w:t>
            </w:r>
          </w:p>
        </w:tc>
        <w:tc>
          <w:tcPr>
            <w:tcW w:w="550" w:type="dxa"/>
            <w:tcBorders/>
            <w:shd w:fill="FFFFFF" w:val="clear"/>
            <w:vAlign w:val="center"/>
          </w:tcPr>
          <w:p>
            <w:pPr>
              <w:pStyle w:val="TableContents"/>
              <w:bidi w:val="0"/>
              <w:spacing w:lineRule="auto" w:line="285" w:before="0" w:after="0"/>
              <w:ind w:left="0" w:right="0" w:hanging="0"/>
              <w:jc w:val="both"/>
              <w:rPr/>
            </w:pPr>
            <w:r>
              <w:rPr/>
              <w:t>​</w:t>
            </w:r>
          </w:p>
        </w:tc>
        <w:tc>
          <w:tcPr>
            <w:tcW w:w="114" w:type="dxa"/>
            <w:tcBorders/>
            <w:shd w:fill="FFFFFF" w:val="clear"/>
            <w:vAlign w:val="center"/>
          </w:tcPr>
          <w:p>
            <w:pPr>
              <w:pStyle w:val="TableContents"/>
              <w:bidi w:val="0"/>
              <w:spacing w:lineRule="auto" w:line="285" w:before="0" w:after="0"/>
              <w:ind w:left="0" w:right="0" w:hanging="0"/>
              <w:jc w:val="both"/>
              <w:rPr/>
            </w:pPr>
            <w:r>
              <w:rPr/>
              <w:t>​</w:t>
            </w:r>
          </w:p>
        </w:tc>
        <w:tc>
          <w:tcPr>
            <w:tcW w:w="692" w:type="dxa"/>
            <w:tcBorders/>
            <w:shd w:fill="FFFFFF" w:val="clear"/>
            <w:vAlign w:val="center"/>
          </w:tcPr>
          <w:p>
            <w:pPr>
              <w:pStyle w:val="TableContents"/>
              <w:bidi w:val="0"/>
              <w:spacing w:lineRule="auto" w:line="285" w:before="0" w:after="0"/>
              <w:ind w:left="0" w:right="0" w:hanging="0"/>
              <w:jc w:val="both"/>
              <w:rPr/>
            </w:pPr>
            <w:r>
              <w:rPr/>
              <w:t>​</w:t>
            </w:r>
          </w:p>
        </w:tc>
        <w:tc>
          <w:tcPr>
            <w:tcW w:w="114" w:type="dxa"/>
            <w:tcBorders/>
            <w:shd w:fill="FFFFFF" w:val="clear"/>
            <w:vAlign w:val="center"/>
          </w:tcPr>
          <w:p>
            <w:pPr>
              <w:pStyle w:val="TableContents"/>
              <w:bidi w:val="0"/>
              <w:spacing w:lineRule="auto" w:line="285" w:before="0" w:after="0"/>
              <w:ind w:left="0" w:right="0" w:hanging="0"/>
              <w:jc w:val="both"/>
              <w:rPr/>
            </w:pPr>
            <w:r>
              <w:rPr/>
              <w:t>​</w:t>
            </w:r>
          </w:p>
        </w:tc>
        <w:tc>
          <w:tcPr>
            <w:tcW w:w="661" w:type="dxa"/>
            <w:tcBorders/>
            <w:shd w:fill="FFFFFF" w:val="clear"/>
            <w:vAlign w:val="center"/>
          </w:tcPr>
          <w:p>
            <w:pPr>
              <w:pStyle w:val="TableContents"/>
              <w:bidi w:val="0"/>
              <w:spacing w:lineRule="auto" w:line="285" w:before="0" w:after="0"/>
              <w:ind w:left="0" w:right="0" w:hanging="0"/>
              <w:jc w:val="both"/>
              <w:rPr/>
            </w:pPr>
            <w:r>
              <w:rPr/>
              <w:t>​</w:t>
            </w:r>
          </w:p>
        </w:tc>
      </w:tr>
      <w:tr>
        <w:trPr/>
        <w:tc>
          <w:tcPr>
            <w:tcW w:w="734" w:type="dxa"/>
            <w:tcBorders/>
            <w:shd w:fill="FFFFFF" w:val="clear"/>
            <w:vAlign w:val="center"/>
          </w:tcPr>
          <w:p>
            <w:pPr>
              <w:pStyle w:val="TableContents"/>
              <w:bidi w:val="0"/>
              <w:spacing w:lineRule="auto" w:line="285" w:before="0" w:after="0"/>
              <w:ind w:left="0" w:right="0" w:hanging="0"/>
              <w:jc w:val="right"/>
              <w:rPr/>
            </w:pPr>
            <w:r>
              <w:rPr/>
              <w:t>​</w:t>
            </w:r>
          </w:p>
        </w:tc>
        <w:tc>
          <w:tcPr>
            <w:tcW w:w="346" w:type="dxa"/>
            <w:tcBorders/>
            <w:shd w:fill="FFFF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219710" cy="175260"/>
                      <wp:effectExtent l="0" t="0" r="0" b="0"/>
                      <wp:wrapNone/>
                      <wp:docPr id="504" name="Frame5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885" w:type="dxa"/>
            <w:tcBorders/>
            <w:shd w:fill="FFFFFF" w:val="clear"/>
            <w:vAlign w:val="center"/>
          </w:tcPr>
          <w:p>
            <w:pPr>
              <w:pStyle w:val="TableContents"/>
              <w:bidi w:val="0"/>
              <w:spacing w:lineRule="auto" w:line="285" w:before="0" w:after="0"/>
              <w:ind w:left="0" w:right="0" w:hanging="0"/>
              <w:jc w:val="both"/>
              <w:rPr/>
            </w:pPr>
            <w:r>
              <w:rPr/>
              <w:t>​</w:t>
            </w:r>
          </w:p>
        </w:tc>
        <w:tc>
          <w:tcPr>
            <w:tcW w:w="109" w:type="dxa"/>
            <w:tcBorders/>
            <w:shd w:fill="FFFFFF" w:val="clear"/>
            <w:vAlign w:val="center"/>
          </w:tcPr>
          <w:p>
            <w:pPr>
              <w:pStyle w:val="TableContents"/>
              <w:bidi w:val="0"/>
              <w:spacing w:lineRule="auto" w:line="285" w:before="0" w:after="0"/>
              <w:ind w:left="0" w:right="0" w:hanging="0"/>
              <w:jc w:val="both"/>
              <w:rPr/>
            </w:pPr>
            <w:r>
              <w:rPr/>
              <w:t>​</w:t>
            </w:r>
          </w:p>
        </w:tc>
        <w:tc>
          <w:tcPr>
            <w:tcW w:w="550" w:type="dxa"/>
            <w:tcBorders/>
            <w:shd w:fill="FFFFFF" w:val="clear"/>
            <w:vAlign w:val="center"/>
          </w:tcPr>
          <w:p>
            <w:pPr>
              <w:pStyle w:val="TableContents"/>
              <w:bidi w:val="0"/>
              <w:spacing w:lineRule="auto" w:line="285" w:before="0" w:after="0"/>
              <w:ind w:left="0" w:right="0" w:hanging="0"/>
              <w:jc w:val="both"/>
              <w:rPr/>
            </w:pPr>
            <w:r>
              <w:rPr/>
              <w:t>​</w:t>
            </w:r>
          </w:p>
        </w:tc>
        <w:tc>
          <w:tcPr>
            <w:tcW w:w="114" w:type="dxa"/>
            <w:tcBorders/>
            <w:shd w:fill="FFFFFF" w:val="clear"/>
            <w:vAlign w:val="center"/>
          </w:tcPr>
          <w:p>
            <w:pPr>
              <w:pStyle w:val="TableContents"/>
              <w:bidi w:val="0"/>
              <w:spacing w:lineRule="auto" w:line="285" w:before="0" w:after="0"/>
              <w:ind w:left="0" w:right="0" w:hanging="0"/>
              <w:jc w:val="both"/>
              <w:rPr/>
            </w:pPr>
            <w:r>
              <w:rPr/>
              <w:t>​</w:t>
            </w:r>
          </w:p>
        </w:tc>
        <w:tc>
          <w:tcPr>
            <w:tcW w:w="692" w:type="dxa"/>
            <w:tcBorders/>
            <w:shd w:fill="FFFFFF" w:val="clear"/>
            <w:vAlign w:val="center"/>
          </w:tcPr>
          <w:p>
            <w:pPr>
              <w:pStyle w:val="TableContents"/>
              <w:bidi w:val="0"/>
              <w:spacing w:lineRule="auto" w:line="285" w:before="0" w:after="0"/>
              <w:ind w:left="0" w:right="0" w:hanging="0"/>
              <w:jc w:val="both"/>
              <w:rPr/>
            </w:pPr>
            <w:r>
              <w:rPr/>
              <w:t>​</w:t>
            </w:r>
          </w:p>
        </w:tc>
        <w:tc>
          <w:tcPr>
            <w:tcW w:w="114" w:type="dxa"/>
            <w:tcBorders/>
            <w:shd w:fill="FFFFFF" w:val="clear"/>
            <w:vAlign w:val="center"/>
          </w:tcPr>
          <w:p>
            <w:pPr>
              <w:pStyle w:val="TableContents"/>
              <w:bidi w:val="0"/>
              <w:spacing w:lineRule="auto" w:line="285" w:before="0" w:after="0"/>
              <w:ind w:left="0" w:right="0" w:hanging="0"/>
              <w:jc w:val="both"/>
              <w:rPr/>
            </w:pPr>
            <w:r>
              <w:rPr/>
              <w:t>​</w:t>
            </w:r>
          </w:p>
        </w:tc>
        <w:tc>
          <w:tcPr>
            <w:tcW w:w="661" w:type="dxa"/>
            <w:tcBorders/>
            <w:shd w:fill="FFFFFF" w:val="clear"/>
            <w:vAlign w:val="center"/>
          </w:tcPr>
          <w:p>
            <w:pPr>
              <w:pStyle w:val="TableContents"/>
              <w:bidi w:val="0"/>
              <w:spacing w:lineRule="auto" w:line="285" w:before="0" w:after="0"/>
              <w:ind w:left="0" w:right="0" w:hanging="0"/>
              <w:jc w:val="both"/>
              <w:rPr/>
            </w:pPr>
            <w:r>
              <w:rPr/>
              <w:t>​</w:t>
            </w:r>
          </w:p>
        </w:tc>
      </w:tr>
      <w:tr>
        <w:trPr/>
        <w:tc>
          <w:tcPr>
            <w:tcW w:w="734" w:type="dxa"/>
            <w:tcBorders/>
            <w:shd w:fill="FFFFFF" w:val="cle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101.CAL</w:t>
            </w:r>
          </w:p>
        </w:tc>
        <w:tc>
          <w:tcPr>
            <w:tcW w:w="346" w:type="dxa"/>
            <w:tcBorders/>
            <w:shd w:fill="FFFFFF" w:val="clear"/>
            <w:vAlign w:val="center"/>
          </w:tcPr>
          <w:p>
            <w:pPr>
              <w:pStyle w:val="TableContents"/>
              <w:bidi w:val="0"/>
              <w:spacing w:lineRule="auto" w:line="285" w:before="0" w:after="0"/>
              <w:ind w:left="0" w:right="0" w:hanging="0"/>
              <w:jc w:val="left"/>
              <w:rPr/>
            </w:pPr>
            <w:r>
              <w:rPr/>
              <w:t>​</w:t>
            </w:r>
          </w:p>
        </w:tc>
        <w:tc>
          <w:tcPr>
            <w:tcW w:w="6885" w:type="dxa"/>
            <w:tcBorders/>
            <w:shd w:fill="FFFFFF" w:val="clear"/>
            <w:vAlign w:val="center"/>
          </w:tcPr>
          <w:p>
            <w:pPr>
              <w:pStyle w:val="TableContents"/>
              <w:bidi w:val="0"/>
              <w:spacing w:lineRule="auto" w:line="285" w:before="0" w:after="0"/>
              <w:ind w:left="0" w:right="0" w:hanging="0"/>
              <w:jc w:val="both"/>
              <w:rPr>
                <w:rFonts w:ascii="Arial;Helvetica;sans-serif" w:hAnsi="Arial;Helvetica;sans-serif"/>
                <w:sz w:val="16"/>
              </w:rPr>
            </w:pPr>
            <w:r>
              <w:rPr>
                <w:rFonts w:ascii="Arial;Helvetica;sans-serif" w:hAnsi="Arial;Helvetica;sans-serif"/>
                <w:sz w:val="16"/>
              </w:rPr>
              <w:t>Inline XBRL Taxonomy Extension Calculation Linkbase</w:t>
            </w:r>
          </w:p>
        </w:tc>
        <w:tc>
          <w:tcPr>
            <w:tcW w:w="109" w:type="dxa"/>
            <w:tcBorders/>
            <w:shd w:fill="FFFFFF" w:val="clear"/>
            <w:vAlign w:val="center"/>
          </w:tcPr>
          <w:p>
            <w:pPr>
              <w:pStyle w:val="TableContents"/>
              <w:bidi w:val="0"/>
              <w:spacing w:lineRule="auto" w:line="285" w:before="0" w:after="0"/>
              <w:ind w:left="0" w:right="0" w:hanging="0"/>
              <w:jc w:val="both"/>
              <w:rPr/>
            </w:pPr>
            <w:r>
              <w:rPr/>
              <w:t>​</w:t>
            </w:r>
          </w:p>
        </w:tc>
        <w:tc>
          <w:tcPr>
            <w:tcW w:w="550" w:type="dxa"/>
            <w:tcBorders/>
            <w:shd w:fill="FFFFFF" w:val="clear"/>
            <w:vAlign w:val="center"/>
          </w:tcPr>
          <w:p>
            <w:pPr>
              <w:pStyle w:val="TableContents"/>
              <w:bidi w:val="0"/>
              <w:spacing w:lineRule="auto" w:line="285" w:before="0" w:after="0"/>
              <w:ind w:left="0" w:right="0" w:hanging="0"/>
              <w:jc w:val="both"/>
              <w:rPr/>
            </w:pPr>
            <w:r>
              <w:rPr/>
              <w:t>​</w:t>
            </w:r>
          </w:p>
        </w:tc>
        <w:tc>
          <w:tcPr>
            <w:tcW w:w="114" w:type="dxa"/>
            <w:tcBorders/>
            <w:shd w:fill="FFFFFF" w:val="clear"/>
            <w:vAlign w:val="center"/>
          </w:tcPr>
          <w:p>
            <w:pPr>
              <w:pStyle w:val="TableContents"/>
              <w:bidi w:val="0"/>
              <w:spacing w:lineRule="auto" w:line="285" w:before="0" w:after="0"/>
              <w:ind w:left="0" w:right="0" w:hanging="0"/>
              <w:jc w:val="both"/>
              <w:rPr/>
            </w:pPr>
            <w:r>
              <w:rPr/>
              <w:t>​</w:t>
            </w:r>
          </w:p>
        </w:tc>
        <w:tc>
          <w:tcPr>
            <w:tcW w:w="692" w:type="dxa"/>
            <w:tcBorders/>
            <w:shd w:fill="FFFFFF" w:val="clear"/>
            <w:vAlign w:val="center"/>
          </w:tcPr>
          <w:p>
            <w:pPr>
              <w:pStyle w:val="TableContents"/>
              <w:bidi w:val="0"/>
              <w:spacing w:lineRule="auto" w:line="285" w:before="0" w:after="0"/>
              <w:ind w:left="0" w:right="0" w:hanging="0"/>
              <w:jc w:val="both"/>
              <w:rPr/>
            </w:pPr>
            <w:r>
              <w:rPr/>
              <w:t>​</w:t>
            </w:r>
          </w:p>
        </w:tc>
        <w:tc>
          <w:tcPr>
            <w:tcW w:w="114" w:type="dxa"/>
            <w:tcBorders/>
            <w:shd w:fill="FFFFFF" w:val="clear"/>
            <w:vAlign w:val="center"/>
          </w:tcPr>
          <w:p>
            <w:pPr>
              <w:pStyle w:val="TableContents"/>
              <w:bidi w:val="0"/>
              <w:spacing w:lineRule="auto" w:line="285" w:before="0" w:after="0"/>
              <w:ind w:left="0" w:right="0" w:hanging="0"/>
              <w:jc w:val="both"/>
              <w:rPr/>
            </w:pPr>
            <w:r>
              <w:rPr/>
              <w:t>​</w:t>
            </w:r>
          </w:p>
        </w:tc>
        <w:tc>
          <w:tcPr>
            <w:tcW w:w="661" w:type="dxa"/>
            <w:tcBorders/>
            <w:shd w:fill="FFFFFF" w:val="clear"/>
            <w:vAlign w:val="center"/>
          </w:tcPr>
          <w:p>
            <w:pPr>
              <w:pStyle w:val="TableContents"/>
              <w:bidi w:val="0"/>
              <w:spacing w:lineRule="auto" w:line="285" w:before="0" w:after="0"/>
              <w:ind w:left="0" w:right="0" w:hanging="0"/>
              <w:jc w:val="both"/>
              <w:rPr/>
            </w:pPr>
            <w:r>
              <w:rPr/>
              <w:t>​</w:t>
            </w:r>
          </w:p>
        </w:tc>
      </w:tr>
      <w:tr>
        <w:trPr/>
        <w:tc>
          <w:tcPr>
            <w:tcW w:w="734" w:type="dxa"/>
            <w:tcBorders/>
            <w:shd w:fill="FFFFFF" w:val="clear"/>
            <w:vAlign w:val="center"/>
          </w:tcPr>
          <w:p>
            <w:pPr>
              <w:pStyle w:val="TableContents"/>
              <w:bidi w:val="0"/>
              <w:spacing w:lineRule="auto" w:line="285" w:before="0" w:after="0"/>
              <w:ind w:left="0" w:right="0" w:hanging="0"/>
              <w:jc w:val="right"/>
              <w:rPr/>
            </w:pPr>
            <w:r>
              <w:rPr/>
              <w:t>​</w:t>
            </w:r>
          </w:p>
        </w:tc>
        <w:tc>
          <w:tcPr>
            <w:tcW w:w="346" w:type="dxa"/>
            <w:tcBorders/>
            <w:shd w:fill="FFFF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219710" cy="175260"/>
                      <wp:effectExtent l="0" t="0" r="0" b="0"/>
                      <wp:wrapNone/>
                      <wp:docPr id="505" name="Frame5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885" w:type="dxa"/>
            <w:tcBorders/>
            <w:shd w:fill="FFFFFF" w:val="clear"/>
            <w:vAlign w:val="center"/>
          </w:tcPr>
          <w:p>
            <w:pPr>
              <w:pStyle w:val="TableContents"/>
              <w:bidi w:val="0"/>
              <w:spacing w:lineRule="auto" w:line="285" w:before="0" w:after="0"/>
              <w:ind w:left="0" w:right="0" w:hanging="0"/>
              <w:jc w:val="both"/>
              <w:rPr/>
            </w:pPr>
            <w:r>
              <w:rPr/>
              <w:t>​</w:t>
            </w:r>
          </w:p>
        </w:tc>
        <w:tc>
          <w:tcPr>
            <w:tcW w:w="109" w:type="dxa"/>
            <w:tcBorders/>
            <w:shd w:fill="FFFFFF" w:val="clear"/>
            <w:vAlign w:val="center"/>
          </w:tcPr>
          <w:p>
            <w:pPr>
              <w:pStyle w:val="TableContents"/>
              <w:bidi w:val="0"/>
              <w:spacing w:lineRule="auto" w:line="285" w:before="0" w:after="0"/>
              <w:ind w:left="0" w:right="0" w:hanging="0"/>
              <w:jc w:val="both"/>
              <w:rPr/>
            </w:pPr>
            <w:r>
              <w:rPr/>
              <w:t>​</w:t>
            </w:r>
          </w:p>
        </w:tc>
        <w:tc>
          <w:tcPr>
            <w:tcW w:w="550" w:type="dxa"/>
            <w:tcBorders/>
            <w:shd w:fill="FFFFFF" w:val="clear"/>
            <w:vAlign w:val="center"/>
          </w:tcPr>
          <w:p>
            <w:pPr>
              <w:pStyle w:val="TableContents"/>
              <w:bidi w:val="0"/>
              <w:spacing w:lineRule="auto" w:line="285" w:before="0" w:after="0"/>
              <w:ind w:left="0" w:right="0" w:hanging="0"/>
              <w:jc w:val="both"/>
              <w:rPr/>
            </w:pPr>
            <w:r>
              <w:rPr/>
              <w:t>​</w:t>
            </w:r>
          </w:p>
        </w:tc>
        <w:tc>
          <w:tcPr>
            <w:tcW w:w="114" w:type="dxa"/>
            <w:tcBorders/>
            <w:shd w:fill="FFFFFF" w:val="clear"/>
            <w:vAlign w:val="center"/>
          </w:tcPr>
          <w:p>
            <w:pPr>
              <w:pStyle w:val="TableContents"/>
              <w:bidi w:val="0"/>
              <w:spacing w:lineRule="auto" w:line="285" w:before="0" w:after="0"/>
              <w:ind w:left="0" w:right="0" w:hanging="0"/>
              <w:jc w:val="both"/>
              <w:rPr/>
            </w:pPr>
            <w:r>
              <w:rPr/>
              <w:t>​</w:t>
            </w:r>
          </w:p>
        </w:tc>
        <w:tc>
          <w:tcPr>
            <w:tcW w:w="692" w:type="dxa"/>
            <w:tcBorders/>
            <w:shd w:fill="FFFFFF" w:val="clear"/>
            <w:vAlign w:val="center"/>
          </w:tcPr>
          <w:p>
            <w:pPr>
              <w:pStyle w:val="TableContents"/>
              <w:bidi w:val="0"/>
              <w:spacing w:lineRule="auto" w:line="285" w:before="0" w:after="0"/>
              <w:ind w:left="0" w:right="0" w:hanging="0"/>
              <w:jc w:val="both"/>
              <w:rPr/>
            </w:pPr>
            <w:r>
              <w:rPr/>
              <w:t>​</w:t>
            </w:r>
          </w:p>
        </w:tc>
        <w:tc>
          <w:tcPr>
            <w:tcW w:w="114" w:type="dxa"/>
            <w:tcBorders/>
            <w:shd w:fill="FFFFFF" w:val="clear"/>
            <w:vAlign w:val="center"/>
          </w:tcPr>
          <w:p>
            <w:pPr>
              <w:pStyle w:val="TableContents"/>
              <w:bidi w:val="0"/>
              <w:spacing w:lineRule="auto" w:line="285" w:before="0" w:after="0"/>
              <w:ind w:left="0" w:right="0" w:hanging="0"/>
              <w:jc w:val="both"/>
              <w:rPr/>
            </w:pPr>
            <w:r>
              <w:rPr/>
              <w:t>​</w:t>
            </w:r>
          </w:p>
        </w:tc>
        <w:tc>
          <w:tcPr>
            <w:tcW w:w="661" w:type="dxa"/>
            <w:tcBorders/>
            <w:shd w:fill="FFFFFF" w:val="clear"/>
            <w:vAlign w:val="center"/>
          </w:tcPr>
          <w:p>
            <w:pPr>
              <w:pStyle w:val="TableContents"/>
              <w:bidi w:val="0"/>
              <w:spacing w:lineRule="auto" w:line="285" w:before="0" w:after="0"/>
              <w:ind w:left="0" w:right="0" w:hanging="0"/>
              <w:jc w:val="both"/>
              <w:rPr/>
            </w:pPr>
            <w:r>
              <w:rPr/>
              <w:t>​</w:t>
            </w:r>
          </w:p>
        </w:tc>
      </w:tr>
      <w:tr>
        <w:trPr/>
        <w:tc>
          <w:tcPr>
            <w:tcW w:w="734" w:type="dxa"/>
            <w:tcBorders/>
            <w:shd w:fill="FFFFFF" w:val="cle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101.DEF</w:t>
            </w:r>
          </w:p>
        </w:tc>
        <w:tc>
          <w:tcPr>
            <w:tcW w:w="346" w:type="dxa"/>
            <w:tcBorders/>
            <w:shd w:fill="FFFFFF" w:val="clear"/>
            <w:vAlign w:val="center"/>
          </w:tcPr>
          <w:p>
            <w:pPr>
              <w:pStyle w:val="TableContents"/>
              <w:bidi w:val="0"/>
              <w:spacing w:lineRule="auto" w:line="285" w:before="0" w:after="0"/>
              <w:ind w:left="0" w:right="0" w:hanging="0"/>
              <w:jc w:val="left"/>
              <w:rPr/>
            </w:pPr>
            <w:r>
              <w:rPr/>
              <w:t>​</w:t>
            </w:r>
          </w:p>
        </w:tc>
        <w:tc>
          <w:tcPr>
            <w:tcW w:w="6885" w:type="dxa"/>
            <w:tcBorders/>
            <w:shd w:fill="FFFFFF" w:val="clear"/>
            <w:vAlign w:val="center"/>
          </w:tcPr>
          <w:p>
            <w:pPr>
              <w:pStyle w:val="TableContents"/>
              <w:bidi w:val="0"/>
              <w:spacing w:lineRule="auto" w:line="285" w:before="0" w:after="0"/>
              <w:ind w:left="0" w:right="0" w:hanging="0"/>
              <w:jc w:val="both"/>
              <w:rPr>
                <w:rFonts w:ascii="Arial;Helvetica;sans-serif" w:hAnsi="Arial;Helvetica;sans-serif"/>
                <w:sz w:val="16"/>
              </w:rPr>
            </w:pPr>
            <w:r>
              <w:rPr>
                <w:rFonts w:ascii="Arial;Helvetica;sans-serif" w:hAnsi="Arial;Helvetica;sans-serif"/>
                <w:sz w:val="16"/>
              </w:rPr>
              <w:t>Inline XBRL Taxonomy Extension Definition Linkbase</w:t>
            </w:r>
          </w:p>
        </w:tc>
        <w:tc>
          <w:tcPr>
            <w:tcW w:w="109" w:type="dxa"/>
            <w:tcBorders/>
            <w:shd w:fill="FFFFFF" w:val="clear"/>
            <w:vAlign w:val="center"/>
          </w:tcPr>
          <w:p>
            <w:pPr>
              <w:pStyle w:val="TableContents"/>
              <w:bidi w:val="0"/>
              <w:spacing w:lineRule="auto" w:line="285" w:before="0" w:after="0"/>
              <w:ind w:left="0" w:right="0" w:hanging="0"/>
              <w:jc w:val="both"/>
              <w:rPr/>
            </w:pPr>
            <w:r>
              <w:rPr/>
              <w:t>​</w:t>
            </w:r>
          </w:p>
        </w:tc>
        <w:tc>
          <w:tcPr>
            <w:tcW w:w="550" w:type="dxa"/>
            <w:tcBorders/>
            <w:shd w:fill="FFFFFF" w:val="clear"/>
            <w:vAlign w:val="center"/>
          </w:tcPr>
          <w:p>
            <w:pPr>
              <w:pStyle w:val="TableContents"/>
              <w:bidi w:val="0"/>
              <w:spacing w:lineRule="auto" w:line="285" w:before="0" w:after="0"/>
              <w:ind w:left="0" w:right="0" w:hanging="0"/>
              <w:jc w:val="both"/>
              <w:rPr/>
            </w:pPr>
            <w:r>
              <w:rPr/>
              <w:t>​</w:t>
            </w:r>
          </w:p>
        </w:tc>
        <w:tc>
          <w:tcPr>
            <w:tcW w:w="114" w:type="dxa"/>
            <w:tcBorders/>
            <w:shd w:fill="FFFFFF" w:val="clear"/>
            <w:vAlign w:val="center"/>
          </w:tcPr>
          <w:p>
            <w:pPr>
              <w:pStyle w:val="TableContents"/>
              <w:bidi w:val="0"/>
              <w:spacing w:lineRule="auto" w:line="285" w:before="0" w:after="0"/>
              <w:ind w:left="0" w:right="0" w:hanging="0"/>
              <w:jc w:val="both"/>
              <w:rPr/>
            </w:pPr>
            <w:r>
              <w:rPr/>
              <w:t>​</w:t>
            </w:r>
          </w:p>
        </w:tc>
        <w:tc>
          <w:tcPr>
            <w:tcW w:w="692" w:type="dxa"/>
            <w:tcBorders/>
            <w:shd w:fill="FFFFFF" w:val="clear"/>
            <w:vAlign w:val="center"/>
          </w:tcPr>
          <w:p>
            <w:pPr>
              <w:pStyle w:val="TableContents"/>
              <w:bidi w:val="0"/>
              <w:spacing w:lineRule="auto" w:line="285" w:before="0" w:after="0"/>
              <w:ind w:left="0" w:right="0" w:hanging="0"/>
              <w:jc w:val="both"/>
              <w:rPr/>
            </w:pPr>
            <w:r>
              <w:rPr/>
              <w:t>​</w:t>
            </w:r>
          </w:p>
        </w:tc>
        <w:tc>
          <w:tcPr>
            <w:tcW w:w="114" w:type="dxa"/>
            <w:tcBorders/>
            <w:shd w:fill="FFFFFF" w:val="clear"/>
            <w:vAlign w:val="center"/>
          </w:tcPr>
          <w:p>
            <w:pPr>
              <w:pStyle w:val="TableContents"/>
              <w:bidi w:val="0"/>
              <w:spacing w:lineRule="auto" w:line="285" w:before="0" w:after="0"/>
              <w:ind w:left="0" w:right="0" w:hanging="0"/>
              <w:jc w:val="both"/>
              <w:rPr/>
            </w:pPr>
            <w:r>
              <w:rPr/>
              <w:t>​</w:t>
            </w:r>
          </w:p>
        </w:tc>
        <w:tc>
          <w:tcPr>
            <w:tcW w:w="661" w:type="dxa"/>
            <w:tcBorders/>
            <w:shd w:fill="FFFFFF" w:val="clear"/>
            <w:vAlign w:val="center"/>
          </w:tcPr>
          <w:p>
            <w:pPr>
              <w:pStyle w:val="TableContents"/>
              <w:bidi w:val="0"/>
              <w:spacing w:lineRule="auto" w:line="285" w:before="0" w:after="0"/>
              <w:ind w:left="0" w:right="0" w:hanging="0"/>
              <w:jc w:val="both"/>
              <w:rPr/>
            </w:pPr>
            <w:r>
              <w:rPr/>
              <w:t>​</w:t>
            </w:r>
          </w:p>
        </w:tc>
      </w:tr>
      <w:tr>
        <w:trPr/>
        <w:tc>
          <w:tcPr>
            <w:tcW w:w="734" w:type="dxa"/>
            <w:tcBorders/>
            <w:shd w:fill="FFFFFF" w:val="clear"/>
            <w:vAlign w:val="center"/>
          </w:tcPr>
          <w:p>
            <w:pPr>
              <w:pStyle w:val="TableContents"/>
              <w:bidi w:val="0"/>
              <w:spacing w:lineRule="auto" w:line="285" w:before="0" w:after="0"/>
              <w:ind w:left="0" w:right="0" w:hanging="0"/>
              <w:jc w:val="right"/>
              <w:rPr/>
            </w:pPr>
            <w:r>
              <w:rPr/>
              <w:t>​</w:t>
            </w:r>
          </w:p>
        </w:tc>
        <w:tc>
          <w:tcPr>
            <w:tcW w:w="346" w:type="dxa"/>
            <w:tcBorders/>
            <w:shd w:fill="FFFFFF" w:val="clear"/>
            <w:vAlign w:val="center"/>
          </w:tcPr>
          <w:p>
            <w:pPr>
              <w:pStyle w:val="TableContents"/>
              <w:bidi w:val="0"/>
              <w:spacing w:lineRule="auto" w:line="285" w:before="0" w:after="0"/>
              <w:ind w:left="0" w:right="0" w:hanging="0"/>
              <w:jc w:val="left"/>
              <w:rPr/>
            </w:pPr>
            <w:r>
              <w:rPr/>
              <w:t>​</w:t>
            </w:r>
          </w:p>
        </w:tc>
        <w:tc>
          <w:tcPr>
            <w:tcW w:w="6885" w:type="dxa"/>
            <w:tcBorders/>
            <w:shd w:fill="FFFFFF" w:val="clear"/>
            <w:vAlign w:val="center"/>
          </w:tcPr>
          <w:p>
            <w:pPr>
              <w:pStyle w:val="TableContents"/>
              <w:bidi w:val="0"/>
              <w:spacing w:lineRule="auto" w:line="285" w:before="0" w:after="0"/>
              <w:ind w:left="0" w:right="0" w:hanging="0"/>
              <w:jc w:val="both"/>
              <w:rPr/>
            </w:pPr>
            <w:r>
              <w:rPr/>
              <w:t>​</w:t>
            </w:r>
          </w:p>
        </w:tc>
        <w:tc>
          <w:tcPr>
            <w:tcW w:w="109" w:type="dxa"/>
            <w:tcBorders/>
            <w:shd w:fill="FFFFFF" w:val="clear"/>
            <w:vAlign w:val="center"/>
          </w:tcPr>
          <w:p>
            <w:pPr>
              <w:pStyle w:val="TableContents"/>
              <w:bidi w:val="0"/>
              <w:spacing w:lineRule="auto" w:line="285" w:before="0" w:after="0"/>
              <w:ind w:left="0" w:right="0" w:hanging="0"/>
              <w:jc w:val="both"/>
              <w:rPr/>
            </w:pPr>
            <w:r>
              <w:rPr/>
              <w:t>​</w:t>
            </w:r>
          </w:p>
        </w:tc>
        <w:tc>
          <w:tcPr>
            <w:tcW w:w="550" w:type="dxa"/>
            <w:tcBorders/>
            <w:shd w:fill="FFFFFF" w:val="clear"/>
            <w:vAlign w:val="center"/>
          </w:tcPr>
          <w:p>
            <w:pPr>
              <w:pStyle w:val="TableContents"/>
              <w:bidi w:val="0"/>
              <w:spacing w:lineRule="auto" w:line="285" w:before="0" w:after="0"/>
              <w:ind w:left="0" w:right="0" w:hanging="0"/>
              <w:jc w:val="both"/>
              <w:rPr/>
            </w:pPr>
            <w:r>
              <w:rPr/>
              <w:t>​</w:t>
            </w:r>
          </w:p>
        </w:tc>
        <w:tc>
          <w:tcPr>
            <w:tcW w:w="114" w:type="dxa"/>
            <w:tcBorders/>
            <w:shd w:fill="FFFFFF" w:val="clear"/>
            <w:vAlign w:val="center"/>
          </w:tcPr>
          <w:p>
            <w:pPr>
              <w:pStyle w:val="TableContents"/>
              <w:bidi w:val="0"/>
              <w:spacing w:lineRule="auto" w:line="285" w:before="0" w:after="0"/>
              <w:ind w:left="0" w:right="0" w:hanging="0"/>
              <w:jc w:val="both"/>
              <w:rPr/>
            </w:pPr>
            <w:r>
              <w:rPr/>
              <w:t>​</w:t>
            </w:r>
          </w:p>
        </w:tc>
        <w:tc>
          <w:tcPr>
            <w:tcW w:w="692" w:type="dxa"/>
            <w:tcBorders/>
            <w:shd w:fill="FFFFFF" w:val="clear"/>
            <w:vAlign w:val="center"/>
          </w:tcPr>
          <w:p>
            <w:pPr>
              <w:pStyle w:val="TableContents"/>
              <w:bidi w:val="0"/>
              <w:spacing w:lineRule="auto" w:line="285" w:before="0" w:after="0"/>
              <w:ind w:left="0" w:right="0" w:hanging="0"/>
              <w:jc w:val="both"/>
              <w:rPr/>
            </w:pPr>
            <w:r>
              <w:rPr/>
              <w:t>​</w:t>
            </w:r>
          </w:p>
        </w:tc>
        <w:tc>
          <w:tcPr>
            <w:tcW w:w="114" w:type="dxa"/>
            <w:tcBorders/>
            <w:shd w:fill="FFFFFF" w:val="clear"/>
            <w:vAlign w:val="center"/>
          </w:tcPr>
          <w:p>
            <w:pPr>
              <w:pStyle w:val="TableContents"/>
              <w:bidi w:val="0"/>
              <w:spacing w:lineRule="auto" w:line="285" w:before="0" w:after="0"/>
              <w:ind w:left="0" w:right="0" w:hanging="0"/>
              <w:jc w:val="both"/>
              <w:rPr/>
            </w:pPr>
            <w:r>
              <w:rPr/>
              <w:t>​</w:t>
            </w:r>
          </w:p>
        </w:tc>
        <w:tc>
          <w:tcPr>
            <w:tcW w:w="661" w:type="dxa"/>
            <w:tcBorders/>
            <w:shd w:fill="FFFFFF" w:val="clear"/>
            <w:vAlign w:val="center"/>
          </w:tcPr>
          <w:p>
            <w:pPr>
              <w:pStyle w:val="TableContents"/>
              <w:bidi w:val="0"/>
              <w:spacing w:lineRule="auto" w:line="285" w:before="0" w:after="0"/>
              <w:ind w:left="0" w:right="0" w:hanging="0"/>
              <w:jc w:val="both"/>
              <w:rPr/>
            </w:pPr>
            <w:r>
              <w:rPr/>
              <w:t>​</w:t>
            </w:r>
          </w:p>
        </w:tc>
      </w:tr>
      <w:tr>
        <w:trPr/>
        <w:tc>
          <w:tcPr>
            <w:tcW w:w="734" w:type="dxa"/>
            <w:tcBorders/>
            <w:shd w:fill="FFFFFF" w:val="cle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101.LAB</w:t>
            </w:r>
          </w:p>
        </w:tc>
        <w:tc>
          <w:tcPr>
            <w:tcW w:w="346" w:type="dxa"/>
            <w:tcBorders/>
            <w:shd w:fill="FFFFFF" w:val="clear"/>
            <w:vAlign w:val="center"/>
          </w:tcPr>
          <w:p>
            <w:pPr>
              <w:pStyle w:val="TableContents"/>
              <w:bidi w:val="0"/>
              <w:spacing w:lineRule="auto" w:line="285" w:before="0" w:after="0"/>
              <w:ind w:left="0" w:right="0" w:hanging="0"/>
              <w:jc w:val="left"/>
              <w:rPr/>
            </w:pPr>
            <w:r>
              <w:rPr/>
              <w:t>​</w:t>
            </w:r>
          </w:p>
        </w:tc>
        <w:tc>
          <w:tcPr>
            <w:tcW w:w="6885" w:type="dxa"/>
            <w:tcBorders/>
            <w:shd w:fill="FFFFFF" w:val="clear"/>
            <w:vAlign w:val="center"/>
          </w:tcPr>
          <w:p>
            <w:pPr>
              <w:pStyle w:val="TableContents"/>
              <w:bidi w:val="0"/>
              <w:spacing w:lineRule="auto" w:line="285" w:before="0" w:after="0"/>
              <w:ind w:left="0" w:right="0" w:hanging="0"/>
              <w:jc w:val="both"/>
              <w:rPr>
                <w:rFonts w:ascii="Arial;Helvetica;sans-serif" w:hAnsi="Arial;Helvetica;sans-serif"/>
                <w:sz w:val="16"/>
              </w:rPr>
            </w:pPr>
            <w:r>
              <w:rPr>
                <w:rFonts w:ascii="Arial;Helvetica;sans-serif" w:hAnsi="Arial;Helvetica;sans-serif"/>
                <w:sz w:val="16"/>
              </w:rPr>
              <w:t>Inline XBRL Taxonomy Extension Label Linkbase</w:t>
            </w:r>
          </w:p>
        </w:tc>
        <w:tc>
          <w:tcPr>
            <w:tcW w:w="109" w:type="dxa"/>
            <w:tcBorders/>
            <w:shd w:fill="FFFFFF" w:val="clear"/>
            <w:vAlign w:val="center"/>
          </w:tcPr>
          <w:p>
            <w:pPr>
              <w:pStyle w:val="TableContents"/>
              <w:bidi w:val="0"/>
              <w:spacing w:lineRule="auto" w:line="285" w:before="0" w:after="0"/>
              <w:ind w:left="0" w:right="0" w:hanging="0"/>
              <w:jc w:val="both"/>
              <w:rPr/>
            </w:pPr>
            <w:r>
              <w:rPr/>
              <w:t>​</w:t>
            </w:r>
          </w:p>
        </w:tc>
        <w:tc>
          <w:tcPr>
            <w:tcW w:w="550" w:type="dxa"/>
            <w:tcBorders/>
            <w:shd w:fill="FFFFFF" w:val="clear"/>
            <w:vAlign w:val="center"/>
          </w:tcPr>
          <w:p>
            <w:pPr>
              <w:pStyle w:val="TableContents"/>
              <w:bidi w:val="0"/>
              <w:spacing w:lineRule="auto" w:line="285" w:before="0" w:after="0"/>
              <w:ind w:left="0" w:right="0" w:hanging="0"/>
              <w:jc w:val="both"/>
              <w:rPr/>
            </w:pPr>
            <w:r>
              <w:rPr/>
              <w:t>​</w:t>
            </w:r>
          </w:p>
        </w:tc>
        <w:tc>
          <w:tcPr>
            <w:tcW w:w="114" w:type="dxa"/>
            <w:tcBorders/>
            <w:shd w:fill="FFFFFF" w:val="clear"/>
            <w:vAlign w:val="center"/>
          </w:tcPr>
          <w:p>
            <w:pPr>
              <w:pStyle w:val="TableContents"/>
              <w:bidi w:val="0"/>
              <w:spacing w:lineRule="auto" w:line="285" w:before="0" w:after="0"/>
              <w:ind w:left="0" w:right="0" w:hanging="0"/>
              <w:jc w:val="both"/>
              <w:rPr/>
            </w:pPr>
            <w:r>
              <w:rPr/>
              <w:t>​</w:t>
            </w:r>
          </w:p>
        </w:tc>
        <w:tc>
          <w:tcPr>
            <w:tcW w:w="692" w:type="dxa"/>
            <w:tcBorders/>
            <w:shd w:fill="FFFFFF" w:val="clear"/>
            <w:vAlign w:val="center"/>
          </w:tcPr>
          <w:p>
            <w:pPr>
              <w:pStyle w:val="TableContents"/>
              <w:bidi w:val="0"/>
              <w:spacing w:lineRule="auto" w:line="285" w:before="0" w:after="0"/>
              <w:ind w:left="0" w:right="0" w:hanging="0"/>
              <w:jc w:val="both"/>
              <w:rPr/>
            </w:pPr>
            <w:r>
              <w:rPr/>
              <w:t>​</w:t>
            </w:r>
          </w:p>
        </w:tc>
        <w:tc>
          <w:tcPr>
            <w:tcW w:w="114" w:type="dxa"/>
            <w:tcBorders/>
            <w:shd w:fill="FFFFFF" w:val="clear"/>
            <w:vAlign w:val="center"/>
          </w:tcPr>
          <w:p>
            <w:pPr>
              <w:pStyle w:val="TableContents"/>
              <w:bidi w:val="0"/>
              <w:spacing w:lineRule="auto" w:line="285" w:before="0" w:after="0"/>
              <w:ind w:left="0" w:right="0" w:hanging="0"/>
              <w:jc w:val="both"/>
              <w:rPr/>
            </w:pPr>
            <w:r>
              <w:rPr/>
              <w:t>​</w:t>
            </w:r>
          </w:p>
        </w:tc>
        <w:tc>
          <w:tcPr>
            <w:tcW w:w="661" w:type="dxa"/>
            <w:tcBorders/>
            <w:shd w:fill="FFFFFF" w:val="clear"/>
            <w:vAlign w:val="center"/>
          </w:tcPr>
          <w:p>
            <w:pPr>
              <w:pStyle w:val="TableContents"/>
              <w:bidi w:val="0"/>
              <w:spacing w:lineRule="auto" w:line="285" w:before="0" w:after="0"/>
              <w:ind w:left="0" w:right="0" w:hanging="0"/>
              <w:jc w:val="both"/>
              <w:rPr/>
            </w:pPr>
            <w:r>
              <w:rPr/>
              <w:t>​</w:t>
            </w:r>
          </w:p>
        </w:tc>
      </w:tr>
      <w:tr>
        <w:trPr/>
        <w:tc>
          <w:tcPr>
            <w:tcW w:w="734" w:type="dxa"/>
            <w:tcBorders/>
            <w:shd w:fill="FFFFFF" w:val="clear"/>
            <w:vAlign w:val="center"/>
          </w:tcPr>
          <w:p>
            <w:pPr>
              <w:pStyle w:val="TableContents"/>
              <w:bidi w:val="0"/>
              <w:spacing w:lineRule="auto" w:line="285" w:before="0" w:after="0"/>
              <w:ind w:left="0" w:right="0" w:hanging="0"/>
              <w:jc w:val="right"/>
              <w:rPr/>
            </w:pPr>
            <w:r>
              <w:rPr/>
              <w:t>​</w:t>
            </w:r>
          </w:p>
        </w:tc>
        <w:tc>
          <w:tcPr>
            <w:tcW w:w="346" w:type="dxa"/>
            <w:tcBorders/>
            <w:shd w:fill="FFFF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219710" cy="175260"/>
                      <wp:effectExtent l="0" t="0" r="0" b="0"/>
                      <wp:wrapNone/>
                      <wp:docPr id="506" name="Frame5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885" w:type="dxa"/>
            <w:tcBorders/>
            <w:shd w:fill="FFFFFF" w:val="clear"/>
            <w:vAlign w:val="center"/>
          </w:tcPr>
          <w:p>
            <w:pPr>
              <w:pStyle w:val="TableContents"/>
              <w:bidi w:val="0"/>
              <w:spacing w:lineRule="auto" w:line="285" w:before="0" w:after="0"/>
              <w:ind w:left="0" w:right="0" w:hanging="0"/>
              <w:jc w:val="both"/>
              <w:rPr/>
            </w:pPr>
            <w:r>
              <w:rPr/>
              <w:t>​</w:t>
            </w:r>
          </w:p>
        </w:tc>
        <w:tc>
          <w:tcPr>
            <w:tcW w:w="109" w:type="dxa"/>
            <w:tcBorders/>
            <w:shd w:fill="FFFFFF" w:val="clear"/>
            <w:vAlign w:val="center"/>
          </w:tcPr>
          <w:p>
            <w:pPr>
              <w:pStyle w:val="TableContents"/>
              <w:bidi w:val="0"/>
              <w:spacing w:lineRule="auto" w:line="285" w:before="0" w:after="0"/>
              <w:ind w:left="0" w:right="0" w:hanging="0"/>
              <w:jc w:val="both"/>
              <w:rPr/>
            </w:pPr>
            <w:r>
              <w:rPr/>
              <w:t>​</w:t>
            </w:r>
          </w:p>
        </w:tc>
        <w:tc>
          <w:tcPr>
            <w:tcW w:w="550" w:type="dxa"/>
            <w:tcBorders/>
            <w:shd w:fill="FFFFFF" w:val="clear"/>
            <w:vAlign w:val="center"/>
          </w:tcPr>
          <w:p>
            <w:pPr>
              <w:pStyle w:val="TableContents"/>
              <w:bidi w:val="0"/>
              <w:spacing w:lineRule="auto" w:line="285" w:before="0" w:after="0"/>
              <w:ind w:left="0" w:right="0" w:hanging="0"/>
              <w:jc w:val="both"/>
              <w:rPr/>
            </w:pPr>
            <w:r>
              <w:rPr/>
              <w:t>​</w:t>
            </w:r>
          </w:p>
        </w:tc>
        <w:tc>
          <w:tcPr>
            <w:tcW w:w="114" w:type="dxa"/>
            <w:tcBorders/>
            <w:shd w:fill="FFFFFF" w:val="clear"/>
            <w:vAlign w:val="center"/>
          </w:tcPr>
          <w:p>
            <w:pPr>
              <w:pStyle w:val="TableContents"/>
              <w:bidi w:val="0"/>
              <w:spacing w:lineRule="auto" w:line="285" w:before="0" w:after="0"/>
              <w:ind w:left="0" w:right="0" w:hanging="0"/>
              <w:jc w:val="both"/>
              <w:rPr/>
            </w:pPr>
            <w:r>
              <w:rPr/>
              <w:t>​</w:t>
            </w:r>
          </w:p>
        </w:tc>
        <w:tc>
          <w:tcPr>
            <w:tcW w:w="692" w:type="dxa"/>
            <w:tcBorders/>
            <w:shd w:fill="FFFFFF" w:val="clear"/>
            <w:vAlign w:val="center"/>
          </w:tcPr>
          <w:p>
            <w:pPr>
              <w:pStyle w:val="TableContents"/>
              <w:bidi w:val="0"/>
              <w:spacing w:lineRule="auto" w:line="285" w:before="0" w:after="0"/>
              <w:ind w:left="0" w:right="0" w:hanging="0"/>
              <w:jc w:val="both"/>
              <w:rPr/>
            </w:pPr>
            <w:r>
              <w:rPr/>
              <w:t>​</w:t>
            </w:r>
          </w:p>
        </w:tc>
        <w:tc>
          <w:tcPr>
            <w:tcW w:w="114" w:type="dxa"/>
            <w:tcBorders/>
            <w:shd w:fill="FFFFFF" w:val="clear"/>
            <w:vAlign w:val="center"/>
          </w:tcPr>
          <w:p>
            <w:pPr>
              <w:pStyle w:val="TableContents"/>
              <w:bidi w:val="0"/>
              <w:spacing w:lineRule="auto" w:line="285" w:before="0" w:after="0"/>
              <w:ind w:left="0" w:right="0" w:hanging="0"/>
              <w:jc w:val="both"/>
              <w:rPr/>
            </w:pPr>
            <w:r>
              <w:rPr/>
              <w:t>​</w:t>
            </w:r>
          </w:p>
        </w:tc>
        <w:tc>
          <w:tcPr>
            <w:tcW w:w="661" w:type="dxa"/>
            <w:tcBorders/>
            <w:shd w:fill="FFFFFF" w:val="clear"/>
            <w:vAlign w:val="center"/>
          </w:tcPr>
          <w:p>
            <w:pPr>
              <w:pStyle w:val="TableContents"/>
              <w:bidi w:val="0"/>
              <w:spacing w:lineRule="auto" w:line="285" w:before="0" w:after="0"/>
              <w:ind w:left="0" w:right="0" w:hanging="0"/>
              <w:jc w:val="both"/>
              <w:rPr/>
            </w:pPr>
            <w:r>
              <w:rPr/>
              <w:t>​</w:t>
            </w:r>
          </w:p>
        </w:tc>
      </w:tr>
      <w:tr>
        <w:trPr/>
        <w:tc>
          <w:tcPr>
            <w:tcW w:w="734" w:type="dxa"/>
            <w:tcBorders/>
            <w:shd w:fill="FFFFFF" w:val="cle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101.PRE</w:t>
            </w:r>
          </w:p>
        </w:tc>
        <w:tc>
          <w:tcPr>
            <w:tcW w:w="346" w:type="dxa"/>
            <w:tcBorders/>
            <w:shd w:fill="FFFFFF" w:val="clear"/>
            <w:vAlign w:val="center"/>
          </w:tcPr>
          <w:p>
            <w:pPr>
              <w:pStyle w:val="TableContents"/>
              <w:bidi w:val="0"/>
              <w:spacing w:lineRule="auto" w:line="285" w:before="0" w:after="0"/>
              <w:ind w:left="0" w:right="0" w:hanging="0"/>
              <w:jc w:val="left"/>
              <w:rPr/>
            </w:pPr>
            <w:r>
              <w:rPr/>
              <w:t>​</w:t>
            </w:r>
          </w:p>
        </w:tc>
        <w:tc>
          <w:tcPr>
            <w:tcW w:w="6885" w:type="dxa"/>
            <w:tcBorders/>
            <w:shd w:fill="FFFFFF" w:val="clear"/>
            <w:vAlign w:val="center"/>
          </w:tcPr>
          <w:p>
            <w:pPr>
              <w:pStyle w:val="TableContents"/>
              <w:bidi w:val="0"/>
              <w:spacing w:lineRule="auto" w:line="285" w:before="0" w:after="0"/>
              <w:ind w:left="0" w:right="0" w:hanging="0"/>
              <w:jc w:val="both"/>
              <w:rPr>
                <w:rFonts w:ascii="Arial;Helvetica;sans-serif" w:hAnsi="Arial;Helvetica;sans-serif"/>
                <w:sz w:val="16"/>
              </w:rPr>
            </w:pPr>
            <w:r>
              <w:rPr>
                <w:rFonts w:ascii="Arial;Helvetica;sans-serif" w:hAnsi="Arial;Helvetica;sans-serif"/>
                <w:sz w:val="16"/>
              </w:rPr>
              <w:t>Inline XBRL Taxonomy Extension Presentation Linkbase</w:t>
            </w:r>
          </w:p>
        </w:tc>
        <w:tc>
          <w:tcPr>
            <w:tcW w:w="109" w:type="dxa"/>
            <w:tcBorders/>
            <w:shd w:fill="FFFFFF" w:val="clear"/>
            <w:vAlign w:val="center"/>
          </w:tcPr>
          <w:p>
            <w:pPr>
              <w:pStyle w:val="TableContents"/>
              <w:bidi w:val="0"/>
              <w:spacing w:lineRule="auto" w:line="285" w:before="0" w:after="0"/>
              <w:ind w:left="0" w:right="0" w:hanging="0"/>
              <w:jc w:val="both"/>
              <w:rPr/>
            </w:pPr>
            <w:r>
              <w:rPr/>
              <w:t>​</w:t>
            </w:r>
          </w:p>
        </w:tc>
        <w:tc>
          <w:tcPr>
            <w:tcW w:w="550" w:type="dxa"/>
            <w:tcBorders/>
            <w:shd w:fill="FFFFFF" w:val="clear"/>
            <w:vAlign w:val="center"/>
          </w:tcPr>
          <w:p>
            <w:pPr>
              <w:pStyle w:val="TableContents"/>
              <w:bidi w:val="0"/>
              <w:spacing w:lineRule="auto" w:line="285" w:before="0" w:after="0"/>
              <w:ind w:left="0" w:right="0" w:hanging="0"/>
              <w:jc w:val="both"/>
              <w:rPr/>
            </w:pPr>
            <w:r>
              <w:rPr/>
              <w:t>​</w:t>
            </w:r>
          </w:p>
        </w:tc>
        <w:tc>
          <w:tcPr>
            <w:tcW w:w="114" w:type="dxa"/>
            <w:tcBorders/>
            <w:shd w:fill="FFFFFF" w:val="clear"/>
            <w:vAlign w:val="center"/>
          </w:tcPr>
          <w:p>
            <w:pPr>
              <w:pStyle w:val="TableContents"/>
              <w:bidi w:val="0"/>
              <w:spacing w:lineRule="auto" w:line="285" w:before="0" w:after="0"/>
              <w:ind w:left="0" w:right="0" w:hanging="0"/>
              <w:jc w:val="both"/>
              <w:rPr/>
            </w:pPr>
            <w:r>
              <w:rPr/>
              <w:t>​</w:t>
            </w:r>
          </w:p>
        </w:tc>
        <w:tc>
          <w:tcPr>
            <w:tcW w:w="692" w:type="dxa"/>
            <w:tcBorders/>
            <w:shd w:fill="FFFFFF" w:val="clear"/>
            <w:vAlign w:val="center"/>
          </w:tcPr>
          <w:p>
            <w:pPr>
              <w:pStyle w:val="TableContents"/>
              <w:bidi w:val="0"/>
              <w:spacing w:lineRule="auto" w:line="285" w:before="0" w:after="0"/>
              <w:ind w:left="0" w:right="0" w:hanging="0"/>
              <w:jc w:val="both"/>
              <w:rPr/>
            </w:pPr>
            <w:r>
              <w:rPr/>
              <w:t>​</w:t>
            </w:r>
          </w:p>
        </w:tc>
        <w:tc>
          <w:tcPr>
            <w:tcW w:w="114" w:type="dxa"/>
            <w:tcBorders/>
            <w:shd w:fill="FFFFFF" w:val="clear"/>
            <w:vAlign w:val="center"/>
          </w:tcPr>
          <w:p>
            <w:pPr>
              <w:pStyle w:val="TableContents"/>
              <w:bidi w:val="0"/>
              <w:spacing w:lineRule="auto" w:line="285" w:before="0" w:after="0"/>
              <w:ind w:left="0" w:right="0" w:hanging="0"/>
              <w:jc w:val="both"/>
              <w:rPr/>
            </w:pPr>
            <w:r>
              <w:rPr/>
              <w:t>​</w:t>
            </w:r>
          </w:p>
        </w:tc>
        <w:tc>
          <w:tcPr>
            <w:tcW w:w="661" w:type="dxa"/>
            <w:tcBorders/>
            <w:shd w:fill="FFFFFF" w:val="clear"/>
            <w:vAlign w:val="center"/>
          </w:tcPr>
          <w:p>
            <w:pPr>
              <w:pStyle w:val="TableContents"/>
              <w:bidi w:val="0"/>
              <w:spacing w:lineRule="auto" w:line="285" w:before="0" w:after="0"/>
              <w:ind w:left="0" w:right="0" w:hanging="0"/>
              <w:jc w:val="both"/>
              <w:rPr/>
            </w:pPr>
            <w:r>
              <w:rPr/>
              <w:t>​</w:t>
            </w:r>
          </w:p>
        </w:tc>
      </w:tr>
      <w:tr>
        <w:trPr/>
        <w:tc>
          <w:tcPr>
            <w:tcW w:w="734" w:type="dxa"/>
            <w:tcBorders/>
            <w:shd w:fill="FFFFFF" w:val="clear"/>
            <w:vAlign w:val="center"/>
          </w:tcPr>
          <w:p>
            <w:pPr>
              <w:pStyle w:val="TableContents"/>
              <w:bidi w:val="0"/>
              <w:spacing w:lineRule="auto" w:line="285" w:before="0" w:after="0"/>
              <w:ind w:left="0" w:right="0" w:hanging="0"/>
              <w:jc w:val="right"/>
              <w:rPr/>
            </w:pPr>
            <w:r>
              <w:rPr/>
              <w:t>​</w:t>
            </w:r>
          </w:p>
        </w:tc>
        <w:tc>
          <w:tcPr>
            <w:tcW w:w="346" w:type="dxa"/>
            <w:tcBorders/>
            <w:shd w:fill="FFFF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219710" cy="175260"/>
                      <wp:effectExtent l="0" t="0" r="0" b="0"/>
                      <wp:wrapNone/>
                      <wp:docPr id="507" name="Frame5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885" w:type="dxa"/>
            <w:tcBorders/>
            <w:shd w:fill="FFFFFF" w:val="clear"/>
            <w:vAlign w:val="center"/>
          </w:tcPr>
          <w:p>
            <w:pPr>
              <w:pStyle w:val="TableContents"/>
              <w:bidi w:val="0"/>
              <w:spacing w:lineRule="auto" w:line="285" w:before="0" w:after="0"/>
              <w:ind w:left="0" w:right="0" w:hanging="0"/>
              <w:jc w:val="both"/>
              <w:rPr/>
            </w:pPr>
            <w:r>
              <w:rPr/>
              <w:t>​</w:t>
            </w:r>
          </w:p>
        </w:tc>
        <w:tc>
          <w:tcPr>
            <w:tcW w:w="109" w:type="dxa"/>
            <w:tcBorders/>
            <w:shd w:fill="FFFFFF" w:val="clear"/>
            <w:vAlign w:val="center"/>
          </w:tcPr>
          <w:p>
            <w:pPr>
              <w:pStyle w:val="TableContents"/>
              <w:bidi w:val="0"/>
              <w:spacing w:lineRule="auto" w:line="285" w:before="0" w:after="0"/>
              <w:ind w:left="0" w:right="0" w:hanging="0"/>
              <w:jc w:val="both"/>
              <w:rPr/>
            </w:pPr>
            <w:r>
              <w:rPr/>
              <w:t>​</w:t>
            </w:r>
          </w:p>
        </w:tc>
        <w:tc>
          <w:tcPr>
            <w:tcW w:w="550" w:type="dxa"/>
            <w:tcBorders/>
            <w:shd w:fill="FFFFFF" w:val="clear"/>
            <w:vAlign w:val="center"/>
          </w:tcPr>
          <w:p>
            <w:pPr>
              <w:pStyle w:val="TableContents"/>
              <w:bidi w:val="0"/>
              <w:spacing w:lineRule="auto" w:line="285" w:before="0" w:after="0"/>
              <w:ind w:left="0" w:right="0" w:hanging="0"/>
              <w:jc w:val="both"/>
              <w:rPr/>
            </w:pPr>
            <w:r>
              <w:rPr/>
              <w:t>​</w:t>
            </w:r>
          </w:p>
        </w:tc>
        <w:tc>
          <w:tcPr>
            <w:tcW w:w="114" w:type="dxa"/>
            <w:tcBorders/>
            <w:shd w:fill="FFFFFF" w:val="clear"/>
            <w:vAlign w:val="center"/>
          </w:tcPr>
          <w:p>
            <w:pPr>
              <w:pStyle w:val="TableContents"/>
              <w:bidi w:val="0"/>
              <w:spacing w:lineRule="auto" w:line="285" w:before="0" w:after="0"/>
              <w:ind w:left="0" w:right="0" w:hanging="0"/>
              <w:jc w:val="both"/>
              <w:rPr/>
            </w:pPr>
            <w:r>
              <w:rPr/>
              <w:t>​</w:t>
            </w:r>
          </w:p>
        </w:tc>
        <w:tc>
          <w:tcPr>
            <w:tcW w:w="692" w:type="dxa"/>
            <w:tcBorders/>
            <w:shd w:fill="FFFFFF" w:val="clear"/>
            <w:vAlign w:val="center"/>
          </w:tcPr>
          <w:p>
            <w:pPr>
              <w:pStyle w:val="TableContents"/>
              <w:bidi w:val="0"/>
              <w:spacing w:lineRule="auto" w:line="285" w:before="0" w:after="0"/>
              <w:ind w:left="0" w:right="0" w:hanging="0"/>
              <w:jc w:val="both"/>
              <w:rPr/>
            </w:pPr>
            <w:r>
              <w:rPr/>
              <w:t>​</w:t>
            </w:r>
          </w:p>
        </w:tc>
        <w:tc>
          <w:tcPr>
            <w:tcW w:w="114" w:type="dxa"/>
            <w:tcBorders/>
            <w:shd w:fill="FFFFFF" w:val="clear"/>
            <w:vAlign w:val="center"/>
          </w:tcPr>
          <w:p>
            <w:pPr>
              <w:pStyle w:val="TableContents"/>
              <w:bidi w:val="0"/>
              <w:spacing w:lineRule="auto" w:line="285" w:before="0" w:after="0"/>
              <w:ind w:left="0" w:right="0" w:hanging="0"/>
              <w:jc w:val="both"/>
              <w:rPr/>
            </w:pPr>
            <w:r>
              <w:rPr/>
              <w:t>​</w:t>
            </w:r>
          </w:p>
        </w:tc>
        <w:tc>
          <w:tcPr>
            <w:tcW w:w="661" w:type="dxa"/>
            <w:tcBorders/>
            <w:shd w:fill="FFFFFF" w:val="clear"/>
            <w:vAlign w:val="center"/>
          </w:tcPr>
          <w:p>
            <w:pPr>
              <w:pStyle w:val="TableContents"/>
              <w:bidi w:val="0"/>
              <w:spacing w:lineRule="auto" w:line="285" w:before="0" w:after="0"/>
              <w:ind w:left="0" w:right="0" w:hanging="0"/>
              <w:jc w:val="both"/>
              <w:rPr/>
            </w:pPr>
            <w:r>
              <w:rPr/>
              <w:t>​</w:t>
            </w:r>
          </w:p>
        </w:tc>
      </w:tr>
      <w:tr>
        <w:trPr/>
        <w:tc>
          <w:tcPr>
            <w:tcW w:w="734" w:type="dxa"/>
            <w:tcBorders/>
            <w:shd w:fill="FFFFFF" w:val="cle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104</w:t>
            </w:r>
          </w:p>
        </w:tc>
        <w:tc>
          <w:tcPr>
            <w:tcW w:w="346" w:type="dxa"/>
            <w:tcBorders/>
            <w:shd w:fill="FFFFFF" w:val="clear"/>
            <w:vAlign w:val="center"/>
          </w:tcPr>
          <w:p>
            <w:pPr>
              <w:pStyle w:val="TableContents"/>
              <w:bidi w:val="0"/>
              <w:spacing w:lineRule="auto" w:line="285" w:before="0" w:after="0"/>
              <w:ind w:left="0" w:right="0" w:hanging="0"/>
              <w:jc w:val="left"/>
              <w:rPr/>
            </w:pPr>
            <w:r>
              <w:rPr/>
              <w:t>​</w:t>
            </w:r>
          </w:p>
        </w:tc>
        <w:tc>
          <w:tcPr>
            <w:tcW w:w="6885" w:type="dxa"/>
            <w:tcBorders/>
            <w:shd w:fill="FFFFFF" w:val="clear"/>
            <w:vAlign w:val="center"/>
          </w:tcPr>
          <w:p>
            <w:pPr>
              <w:pStyle w:val="TableContents"/>
              <w:bidi w:val="0"/>
              <w:spacing w:lineRule="auto" w:line="285" w:before="0" w:after="0"/>
              <w:ind w:left="0" w:right="0" w:hanging="0"/>
              <w:jc w:val="both"/>
              <w:rPr>
                <w:rFonts w:ascii="Arial;Helvetica;sans-serif" w:hAnsi="Arial;Helvetica;sans-serif"/>
                <w:sz w:val="16"/>
              </w:rPr>
            </w:pPr>
            <w:r>
              <w:rPr>
                <w:rFonts w:ascii="Arial;Helvetica;sans-serif" w:hAnsi="Arial;Helvetica;sans-serif"/>
                <w:sz w:val="16"/>
              </w:rPr>
              <w:t>The cover page from TTEC Holdings, Inc’s Quarterly Report on Form 10-Q for the quarter ended June 30, 2026, formatted in Inline XBRL (included in Exhibit 101)</w:t>
            </w:r>
          </w:p>
        </w:tc>
        <w:tc>
          <w:tcPr>
            <w:tcW w:w="109" w:type="dxa"/>
            <w:tcBorders/>
            <w:shd w:fill="FFFFFF" w:val="clear"/>
            <w:vAlign w:val="center"/>
          </w:tcPr>
          <w:p>
            <w:pPr>
              <w:pStyle w:val="TableContents"/>
              <w:bidi w:val="0"/>
              <w:spacing w:lineRule="auto" w:line="285" w:before="0" w:after="0"/>
              <w:ind w:left="0" w:right="0" w:hanging="0"/>
              <w:jc w:val="both"/>
              <w:rPr/>
            </w:pPr>
            <w:r>
              <w:rPr/>
              <w:t>​</w:t>
            </w:r>
          </w:p>
        </w:tc>
        <w:tc>
          <w:tcPr>
            <w:tcW w:w="550" w:type="dxa"/>
            <w:tcBorders/>
            <w:shd w:fill="FFFFFF" w:val="clear"/>
            <w:vAlign w:val="center"/>
          </w:tcPr>
          <w:p>
            <w:pPr>
              <w:pStyle w:val="TableContents"/>
              <w:bidi w:val="0"/>
              <w:spacing w:lineRule="auto" w:line="285" w:before="0" w:after="0"/>
              <w:ind w:left="0" w:right="0" w:hanging="0"/>
              <w:jc w:val="both"/>
              <w:rPr/>
            </w:pPr>
            <w:r>
              <w:rPr/>
              <w:t>​</w:t>
            </w:r>
          </w:p>
        </w:tc>
        <w:tc>
          <w:tcPr>
            <w:tcW w:w="114" w:type="dxa"/>
            <w:tcBorders/>
            <w:shd w:fill="FFFFFF" w:val="clear"/>
            <w:vAlign w:val="center"/>
          </w:tcPr>
          <w:p>
            <w:pPr>
              <w:pStyle w:val="TableContents"/>
              <w:bidi w:val="0"/>
              <w:spacing w:lineRule="auto" w:line="285" w:before="0" w:after="0"/>
              <w:ind w:left="0" w:right="0" w:hanging="0"/>
              <w:jc w:val="both"/>
              <w:rPr/>
            </w:pPr>
            <w:r>
              <w:rPr/>
              <w:t>​</w:t>
            </w:r>
          </w:p>
        </w:tc>
        <w:tc>
          <w:tcPr>
            <w:tcW w:w="692" w:type="dxa"/>
            <w:tcBorders/>
            <w:shd w:fill="FFFFFF" w:val="clear"/>
            <w:vAlign w:val="center"/>
          </w:tcPr>
          <w:p>
            <w:pPr>
              <w:pStyle w:val="TableContents"/>
              <w:bidi w:val="0"/>
              <w:spacing w:lineRule="auto" w:line="285" w:before="0" w:after="0"/>
              <w:ind w:left="0" w:right="0" w:hanging="0"/>
              <w:jc w:val="both"/>
              <w:rPr/>
            </w:pPr>
            <w:r>
              <w:rPr/>
              <w:t>​</w:t>
            </w:r>
          </w:p>
        </w:tc>
        <w:tc>
          <w:tcPr>
            <w:tcW w:w="114" w:type="dxa"/>
            <w:tcBorders/>
            <w:shd w:fill="FFFFFF" w:val="clear"/>
            <w:vAlign w:val="center"/>
          </w:tcPr>
          <w:p>
            <w:pPr>
              <w:pStyle w:val="TableContents"/>
              <w:bidi w:val="0"/>
              <w:spacing w:lineRule="auto" w:line="285" w:before="0" w:after="0"/>
              <w:ind w:left="0" w:right="0" w:hanging="0"/>
              <w:jc w:val="both"/>
              <w:rPr/>
            </w:pPr>
            <w:r>
              <w:rPr/>
              <w:t>​</w:t>
            </w:r>
          </w:p>
        </w:tc>
        <w:tc>
          <w:tcPr>
            <w:tcW w:w="661" w:type="dxa"/>
            <w:tcBorders/>
            <w:shd w:fill="FFFFFF" w:val="clear"/>
            <w:vAlign w:val="center"/>
          </w:tcPr>
          <w:p>
            <w:pPr>
              <w:pStyle w:val="TableContents"/>
              <w:bidi w:val="0"/>
              <w:spacing w:lineRule="auto" w:line="285" w:before="0" w:after="0"/>
              <w:ind w:left="0" w:right="0" w:hanging="0"/>
              <w:jc w:val="both"/>
              <w:rPr/>
            </w:pPr>
            <w:r>
              <w:rPr/>
              <w:t>​</w:t>
            </w:r>
          </w:p>
        </w:tc>
      </w:tr>
      <w:tr>
        <w:trPr/>
        <w:tc>
          <w:tcPr>
            <w:tcW w:w="734" w:type="dxa"/>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left"/>
              <w:rPr/>
            </w:pPr>
            <w:r>
              <w:rPr/>
              <w:t>​</w:t>
            </w:r>
          </w:p>
        </w:tc>
        <w:tc>
          <w:tcPr>
            <w:tcW w:w="6885" w:type="dxa"/>
            <w:tcBorders/>
            <w:shd w:fill="FFFFFF" w:val="clear"/>
            <w:vAlign w:val="center"/>
          </w:tcPr>
          <w:p>
            <w:pPr>
              <w:pStyle w:val="TableContents"/>
              <w:bidi w:val="0"/>
              <w:spacing w:lineRule="auto" w:line="285" w:before="0" w:after="0"/>
              <w:ind w:left="0" w:right="0" w:hanging="0"/>
              <w:jc w:val="both"/>
              <w:rPr/>
            </w:pPr>
            <w:r>
              <w:rPr/>
              <w:t>​</w:t>
            </w:r>
          </w:p>
        </w:tc>
        <w:tc>
          <w:tcPr>
            <w:tcW w:w="109" w:type="dxa"/>
            <w:tcBorders/>
            <w:shd w:fill="FFFFFF" w:val="clear"/>
            <w:vAlign w:val="center"/>
          </w:tcPr>
          <w:p>
            <w:pPr>
              <w:pStyle w:val="TableContents"/>
              <w:bidi w:val="0"/>
              <w:spacing w:lineRule="auto" w:line="285" w:before="0" w:after="0"/>
              <w:ind w:left="0" w:right="0" w:hanging="0"/>
              <w:jc w:val="both"/>
              <w:rPr/>
            </w:pPr>
            <w:r>
              <w:rPr/>
              <w:t>​</w:t>
            </w:r>
          </w:p>
        </w:tc>
        <w:tc>
          <w:tcPr>
            <w:tcW w:w="550" w:type="dxa"/>
            <w:tcBorders/>
            <w:shd w:fill="FFFFFF" w:val="clear"/>
            <w:vAlign w:val="center"/>
          </w:tcPr>
          <w:p>
            <w:pPr>
              <w:pStyle w:val="TableContents"/>
              <w:bidi w:val="0"/>
              <w:spacing w:lineRule="auto" w:line="285" w:before="0" w:after="0"/>
              <w:ind w:left="0" w:right="0" w:hanging="0"/>
              <w:jc w:val="both"/>
              <w:rPr/>
            </w:pPr>
            <w:r>
              <w:rPr/>
              <w:t>​</w:t>
            </w:r>
          </w:p>
        </w:tc>
        <w:tc>
          <w:tcPr>
            <w:tcW w:w="114" w:type="dxa"/>
            <w:tcBorders/>
            <w:shd w:fill="FFFFFF" w:val="clear"/>
            <w:vAlign w:val="center"/>
          </w:tcPr>
          <w:p>
            <w:pPr>
              <w:pStyle w:val="TableContents"/>
              <w:bidi w:val="0"/>
              <w:spacing w:lineRule="auto" w:line="285" w:before="0" w:after="0"/>
              <w:ind w:left="0" w:right="0" w:hanging="0"/>
              <w:jc w:val="both"/>
              <w:rPr/>
            </w:pPr>
            <w:r>
              <w:rPr/>
              <w:t>​</w:t>
            </w:r>
          </w:p>
        </w:tc>
        <w:tc>
          <w:tcPr>
            <w:tcW w:w="692" w:type="dxa"/>
            <w:tcBorders/>
            <w:shd w:fill="FFFFFF" w:val="clear"/>
            <w:vAlign w:val="center"/>
          </w:tcPr>
          <w:p>
            <w:pPr>
              <w:pStyle w:val="TableContents"/>
              <w:bidi w:val="0"/>
              <w:spacing w:lineRule="auto" w:line="285" w:before="0" w:after="0"/>
              <w:ind w:left="0" w:right="0" w:hanging="0"/>
              <w:jc w:val="both"/>
              <w:rPr/>
            </w:pPr>
            <w:r>
              <w:rPr/>
              <w:t>​</w:t>
            </w:r>
          </w:p>
        </w:tc>
        <w:tc>
          <w:tcPr>
            <w:tcW w:w="114" w:type="dxa"/>
            <w:tcBorders/>
            <w:shd w:fill="FFFFFF" w:val="clear"/>
            <w:vAlign w:val="center"/>
          </w:tcPr>
          <w:p>
            <w:pPr>
              <w:pStyle w:val="TableContents"/>
              <w:bidi w:val="0"/>
              <w:spacing w:lineRule="auto" w:line="285" w:before="0" w:after="0"/>
              <w:ind w:left="0" w:right="0" w:hanging="0"/>
              <w:jc w:val="both"/>
              <w:rPr/>
            </w:pPr>
            <w:r>
              <w:rPr/>
              <w:t>​</w:t>
            </w:r>
          </w:p>
        </w:tc>
        <w:tc>
          <w:tcPr>
            <w:tcW w:w="661" w:type="dxa"/>
            <w:tcBorders/>
            <w:shd w:fill="FFFFFF" w:val="clear"/>
            <w:vAlign w:val="center"/>
          </w:tcPr>
          <w:p>
            <w:pPr>
              <w:pStyle w:val="TableContents"/>
              <w:bidi w:val="0"/>
              <w:spacing w:lineRule="auto" w:line="285" w:before="0" w:after="0"/>
              <w:ind w:left="0" w:right="0" w:hanging="0"/>
              <w:jc w:val="both"/>
              <w:rPr/>
            </w:pPr>
            <w:r>
              <w:rPr/>
              <w:t>​</w:t>
            </w:r>
          </w:p>
        </w:tc>
      </w:tr>
      <w:tr>
        <w:trPr/>
        <w:tc>
          <w:tcPr>
            <w:tcW w:w="734" w:type="dxa"/>
            <w:tcBorders>
              <w:top w:val="single" w:sz="2" w:space="0" w:color="000000"/>
            </w:tcBorders>
            <w:shd w:fill="FFFFFF" w:val="clear"/>
            <w:tcMar>
              <w:top w:w="28" w:type="dxa"/>
            </w:tcMar>
            <w:vAlign w:val="center"/>
          </w:tcPr>
          <w:p>
            <w:pPr>
              <w:pStyle w:val="TableContents"/>
              <w:bidi w:val="0"/>
              <w:spacing w:lineRule="auto" w:line="285" w:before="0" w:after="0"/>
              <w:ind w:left="0" w:right="0" w:hanging="0"/>
              <w:jc w:val="center"/>
              <w:rPr/>
            </w:pPr>
            <w:r>
              <w:rPr/>
              <w:t>​</w:t>
            </w:r>
          </w:p>
        </w:tc>
        <w:tc>
          <w:tcPr>
            <w:tcW w:w="346" w:type="dxa"/>
            <w:tcBorders>
              <w:top w:val="single" w:sz="2" w:space="0" w:color="000000"/>
            </w:tcBorders>
            <w:shd w:fill="FFFFFF" w:val="clear"/>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219710" cy="175260"/>
                      <wp:effectExtent l="0" t="0" r="0" b="0"/>
                      <wp:wrapNone/>
                      <wp:docPr id="508" name="Frame5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885" w:type="dxa"/>
            <w:tcBorders/>
            <w:shd w:fill="FFFFFF" w:val="clear"/>
            <w:vAlign w:val="center"/>
          </w:tcPr>
          <w:p>
            <w:pPr>
              <w:pStyle w:val="TableContents"/>
              <w:bidi w:val="0"/>
              <w:spacing w:lineRule="auto" w:line="285" w:before="0" w:after="0"/>
              <w:ind w:left="0" w:right="0" w:hanging="0"/>
              <w:jc w:val="both"/>
              <w:rPr/>
            </w:pPr>
            <w:r>
              <w:rPr/>
              <w:t>​</w:t>
            </w:r>
          </w:p>
        </w:tc>
        <w:tc>
          <w:tcPr>
            <w:tcW w:w="109" w:type="dxa"/>
            <w:tcBorders/>
            <w:shd w:fill="FFFFFF" w:val="clear"/>
            <w:vAlign w:val="center"/>
          </w:tcPr>
          <w:p>
            <w:pPr>
              <w:pStyle w:val="TableContents"/>
              <w:bidi w:val="0"/>
              <w:spacing w:lineRule="auto" w:line="285" w:before="0" w:after="0"/>
              <w:ind w:left="0" w:right="0" w:hanging="0"/>
              <w:jc w:val="both"/>
              <w:rPr/>
            </w:pPr>
            <w:r>
              <w:rPr/>
              <w:t>​</w:t>
            </w:r>
          </w:p>
        </w:tc>
        <w:tc>
          <w:tcPr>
            <w:tcW w:w="550" w:type="dxa"/>
            <w:tcBorders/>
            <w:shd w:fill="FFFFFF" w:val="clear"/>
            <w:vAlign w:val="center"/>
          </w:tcPr>
          <w:p>
            <w:pPr>
              <w:pStyle w:val="TableContents"/>
              <w:bidi w:val="0"/>
              <w:spacing w:lineRule="auto" w:line="285" w:before="0" w:after="0"/>
              <w:ind w:left="0" w:right="0" w:hanging="0"/>
              <w:jc w:val="both"/>
              <w:rPr/>
            </w:pPr>
            <w:r>
              <w:rPr/>
              <w:t>​</w:t>
            </w:r>
          </w:p>
        </w:tc>
        <w:tc>
          <w:tcPr>
            <w:tcW w:w="114" w:type="dxa"/>
            <w:tcBorders/>
            <w:shd w:fill="FFFFFF" w:val="clear"/>
            <w:vAlign w:val="center"/>
          </w:tcPr>
          <w:p>
            <w:pPr>
              <w:pStyle w:val="TableContents"/>
              <w:bidi w:val="0"/>
              <w:spacing w:lineRule="auto" w:line="285" w:before="0" w:after="0"/>
              <w:ind w:left="0" w:right="0" w:hanging="0"/>
              <w:jc w:val="both"/>
              <w:rPr/>
            </w:pPr>
            <w:r>
              <w:rPr/>
              <w:t>​</w:t>
            </w:r>
          </w:p>
        </w:tc>
        <w:tc>
          <w:tcPr>
            <w:tcW w:w="692" w:type="dxa"/>
            <w:tcBorders/>
            <w:shd w:fill="FFFFFF" w:val="clear"/>
            <w:vAlign w:val="center"/>
          </w:tcPr>
          <w:p>
            <w:pPr>
              <w:pStyle w:val="TableContents"/>
              <w:bidi w:val="0"/>
              <w:spacing w:lineRule="auto" w:line="285" w:before="0" w:after="0"/>
              <w:ind w:left="0" w:right="0" w:hanging="0"/>
              <w:jc w:val="both"/>
              <w:rPr/>
            </w:pPr>
            <w:r>
              <w:rPr/>
              <w:t>​</w:t>
            </w:r>
          </w:p>
        </w:tc>
        <w:tc>
          <w:tcPr>
            <w:tcW w:w="114" w:type="dxa"/>
            <w:tcBorders/>
            <w:shd w:fill="FFFFFF" w:val="clear"/>
            <w:vAlign w:val="center"/>
          </w:tcPr>
          <w:p>
            <w:pPr>
              <w:pStyle w:val="TableContents"/>
              <w:bidi w:val="0"/>
              <w:spacing w:lineRule="auto" w:line="285" w:before="0" w:after="0"/>
              <w:ind w:left="0" w:right="0" w:hanging="0"/>
              <w:jc w:val="both"/>
              <w:rPr/>
            </w:pPr>
            <w:r>
              <w:rPr/>
              <w:t>​</w:t>
            </w:r>
          </w:p>
        </w:tc>
        <w:tc>
          <w:tcPr>
            <w:tcW w:w="661" w:type="dxa"/>
            <w:tcBorders/>
            <w:shd w:fill="FFFFFF" w:val="clear"/>
            <w:vAlign w:val="center"/>
          </w:tcPr>
          <w:p>
            <w:pPr>
              <w:pStyle w:val="TableContents"/>
              <w:bidi w:val="0"/>
              <w:spacing w:lineRule="auto" w:line="285" w:before="0" w:after="0"/>
              <w:ind w:left="0" w:right="0" w:hanging="0"/>
              <w:jc w:val="both"/>
              <w:rPr/>
            </w:pPr>
            <w:r>
              <w:rPr/>
              <w:t>​</w:t>
            </w:r>
          </w:p>
        </w:tc>
      </w:tr>
      <w:tr>
        <w:trPr/>
        <w:tc>
          <w:tcPr>
            <w:tcW w:w="734" w:type="dxa"/>
            <w:tcBorders/>
            <w:shd w:fill="FFFFFF" w:val="clear"/>
            <w:vAlign w:val="center"/>
          </w:tcPr>
          <w:p>
            <w:pPr>
              <w:pStyle w:val="TableContents"/>
              <w:bidi w:val="0"/>
              <w:spacing w:lineRule="auto" w:line="285" w:before="0" w:after="0"/>
              <w:ind w:left="0" w:right="0" w:hanging="0"/>
              <w:jc w:val="right"/>
              <w:rPr/>
            </w:pPr>
            <w:r>
              <w:rPr/>
              <w:t>​</w:t>
            </w:r>
          </w:p>
        </w:tc>
        <w:tc>
          <w:tcPr>
            <w:tcW w:w="346" w:type="dxa"/>
            <w:tcBorders/>
            <w:shd w:fill="FFFFFF" w:val="clear"/>
            <w:vAlign w:val="center"/>
          </w:tcPr>
          <w:p>
            <w:pPr>
              <w:pStyle w:val="TableContents"/>
              <w:bidi w:val="0"/>
              <w:spacing w:lineRule="auto" w:line="285" w:before="0" w:after="0"/>
              <w:ind w:left="0" w:right="0" w:hanging="0"/>
              <w:jc w:val="left"/>
              <w:rPr>
                <w:rFonts w:ascii="Arial;Helvetica;sans-serif" w:hAnsi="Arial;Helvetica;sans-serif"/>
                <w:sz w:val="16"/>
              </w:rPr>
            </w:pPr>
            <w:r>
              <w:rPr>
                <w:rFonts w:ascii="Arial;Helvetica;sans-serif" w:hAnsi="Arial;Helvetica;sans-serif"/>
                <w:sz w:val="16"/>
              </w:rPr>
              <w:t>*</w:t>
            </w:r>
          </w:p>
        </w:tc>
        <w:tc>
          <w:tcPr>
            <w:tcW w:w="6885" w:type="dxa"/>
            <w:tcBorders/>
            <w:shd w:fill="FFFFFF" w:val="clear"/>
            <w:vAlign w:val="center"/>
          </w:tcPr>
          <w:p>
            <w:pPr>
              <w:pStyle w:val="TableContents"/>
              <w:bidi w:val="0"/>
              <w:spacing w:lineRule="auto" w:line="285" w:before="0" w:after="0"/>
              <w:ind w:left="0" w:right="0" w:hanging="0"/>
              <w:jc w:val="both"/>
              <w:rPr>
                <w:rFonts w:ascii="Arial;Helvetica;sans-serif" w:hAnsi="Arial;Helvetica;sans-serif"/>
                <w:sz w:val="16"/>
              </w:rPr>
            </w:pPr>
            <w:r>
              <w:rPr>
                <w:rFonts w:ascii="Arial;Helvetica;sans-serif" w:hAnsi="Arial;Helvetica;sans-serif"/>
                <w:sz w:val="16"/>
              </w:rPr>
              <w:t>Filed or furnished herewith.</w:t>
            </w:r>
          </w:p>
        </w:tc>
        <w:tc>
          <w:tcPr>
            <w:tcW w:w="109" w:type="dxa"/>
            <w:tcBorders/>
            <w:shd w:fill="FFFFFF" w:val="clear"/>
            <w:vAlign w:val="center"/>
          </w:tcPr>
          <w:p>
            <w:pPr>
              <w:pStyle w:val="TableContents"/>
              <w:bidi w:val="0"/>
              <w:spacing w:lineRule="auto" w:line="285" w:before="0" w:after="0"/>
              <w:ind w:left="0" w:right="0" w:hanging="0"/>
              <w:jc w:val="both"/>
              <w:rPr/>
            </w:pPr>
            <w:r>
              <w:rPr/>
              <w:t>​</w:t>
            </w:r>
          </w:p>
        </w:tc>
        <w:tc>
          <w:tcPr>
            <w:tcW w:w="550" w:type="dxa"/>
            <w:tcBorders/>
            <w:shd w:fill="FFFFFF" w:val="clear"/>
            <w:vAlign w:val="center"/>
          </w:tcPr>
          <w:p>
            <w:pPr>
              <w:pStyle w:val="TableContents"/>
              <w:bidi w:val="0"/>
              <w:spacing w:lineRule="auto" w:line="285" w:before="0" w:after="0"/>
              <w:ind w:left="0" w:right="0" w:hanging="0"/>
              <w:jc w:val="both"/>
              <w:rPr/>
            </w:pPr>
            <w:r>
              <w:rPr/>
              <w:t>​</w:t>
            </w:r>
          </w:p>
        </w:tc>
        <w:tc>
          <w:tcPr>
            <w:tcW w:w="114" w:type="dxa"/>
            <w:tcBorders/>
            <w:shd w:fill="FFFFFF" w:val="clear"/>
            <w:vAlign w:val="center"/>
          </w:tcPr>
          <w:p>
            <w:pPr>
              <w:pStyle w:val="TableContents"/>
              <w:bidi w:val="0"/>
              <w:spacing w:lineRule="auto" w:line="285" w:before="0" w:after="0"/>
              <w:ind w:left="0" w:right="0" w:hanging="0"/>
              <w:jc w:val="both"/>
              <w:rPr/>
            </w:pPr>
            <w:r>
              <w:rPr/>
              <w:t>​</w:t>
            </w:r>
          </w:p>
        </w:tc>
        <w:tc>
          <w:tcPr>
            <w:tcW w:w="692" w:type="dxa"/>
            <w:tcBorders/>
            <w:shd w:fill="FFFFFF" w:val="clear"/>
            <w:vAlign w:val="center"/>
          </w:tcPr>
          <w:p>
            <w:pPr>
              <w:pStyle w:val="TableContents"/>
              <w:bidi w:val="0"/>
              <w:spacing w:lineRule="auto" w:line="285" w:before="0" w:after="0"/>
              <w:ind w:left="0" w:right="0" w:hanging="0"/>
              <w:jc w:val="both"/>
              <w:rPr/>
            </w:pPr>
            <w:r>
              <w:rPr/>
              <w:t>​</w:t>
            </w:r>
          </w:p>
        </w:tc>
        <w:tc>
          <w:tcPr>
            <w:tcW w:w="114" w:type="dxa"/>
            <w:tcBorders/>
            <w:shd w:fill="FFFFFF" w:val="clear"/>
            <w:vAlign w:val="center"/>
          </w:tcPr>
          <w:p>
            <w:pPr>
              <w:pStyle w:val="TableContents"/>
              <w:bidi w:val="0"/>
              <w:spacing w:lineRule="auto" w:line="285" w:before="0" w:after="0"/>
              <w:ind w:left="0" w:right="0" w:hanging="0"/>
              <w:jc w:val="both"/>
              <w:rPr/>
            </w:pPr>
            <w:r>
              <w:rPr/>
              <w:t>​</w:t>
            </w:r>
          </w:p>
        </w:tc>
        <w:tc>
          <w:tcPr>
            <w:tcW w:w="661" w:type="dxa"/>
            <w:tcBorders/>
            <w:shd w:fill="FFFFFF" w:val="clear"/>
            <w:vAlign w:val="center"/>
          </w:tcPr>
          <w:p>
            <w:pPr>
              <w:pStyle w:val="TableContents"/>
              <w:bidi w:val="0"/>
              <w:spacing w:lineRule="auto" w:line="285" w:before="0" w:after="0"/>
              <w:ind w:left="0" w:right="0" w:hanging="0"/>
              <w:jc w:val="both"/>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40</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0"/>
        <w:ind w:left="0" w:right="0" w:hanging="0"/>
        <w:jc w:val="center"/>
        <w:rPr>
          <w:rFonts w:ascii="Arial;Helvetica;sans-serif" w:hAnsi="Arial;Helvetica;sans-serif"/>
          <w:b/>
          <w:sz w:val="20"/>
        </w:rPr>
      </w:pPr>
      <w:bookmarkStart w:id="1772" w:name="SIGNATURES_121810"/>
      <w:bookmarkStart w:id="1773" w:name="_5e6e05cf_88cc_40b5_8fb8_696ed6d3ba27"/>
      <w:bookmarkEnd w:id="1772"/>
      <w:bookmarkEnd w:id="1773"/>
      <w:r>
        <w:rPr>
          <w:rFonts w:ascii="Arial;Helvetica;sans-serif" w:hAnsi="Arial;Helvetica;sans-serif"/>
          <w:b/>
          <w:sz w:val="20"/>
        </w:rPr>
        <w:t>SIGNATURES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5" w:before="0" w:after="0"/>
        <w:ind w:left="0" w:right="0" w:hanging="0"/>
        <w:jc w:val="both"/>
        <w:rPr/>
      </w:pPr>
      <w:r>
        <w:rPr/>
        <w:t>​</w:t>
      </w:r>
    </w:p>
    <w:tbl>
      <w:tblPr>
        <w:tblW w:w="5912" w:type="dxa"/>
        <w:jc w:val="left"/>
        <w:tblInd w:w="0" w:type="dxa"/>
        <w:tblLayout w:type="fixed"/>
        <w:tblCellMar>
          <w:top w:w="0" w:type="dxa"/>
          <w:left w:w="0" w:type="dxa"/>
          <w:bottom w:w="0" w:type="dxa"/>
          <w:right w:w="0" w:type="dxa"/>
        </w:tblCellMar>
      </w:tblPr>
      <w:tblGrid>
        <w:gridCol w:w="2071"/>
        <w:gridCol w:w="406"/>
        <w:gridCol w:w="3227"/>
        <w:gridCol w:w="208"/>
      </w:tblGrid>
      <w:tr>
        <w:trPr/>
        <w:tc>
          <w:tcPr>
            <w:tcW w:w="207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227" w:type="dxa"/>
            <w:tcBorders/>
            <w:vAlign w:val="center"/>
          </w:tcPr>
          <w:p>
            <w:pPr>
              <w:pStyle w:val="TableContents"/>
              <w:bidi w:val="0"/>
              <w:spacing w:lineRule="auto" w:line="285" w:before="0" w:after="0"/>
              <w:ind w:left="0" w:right="0" w:hanging="0"/>
              <w:jc w:val="left"/>
              <w:rPr/>
            </w:pPr>
            <w:r>
              <w:rPr/>
              <w:t>​</w:t>
            </w:r>
          </w:p>
        </w:tc>
        <w:tc>
          <w:tcPr>
            <w:tcW w:w="208" w:type="dxa"/>
            <w:tcBorders/>
            <w:vAlign w:val="center"/>
          </w:tcPr>
          <w:p>
            <w:pPr>
              <w:pStyle w:val="TableContents"/>
              <w:bidi w:val="0"/>
              <w:spacing w:lineRule="auto" w:line="285" w:before="0" w:after="0"/>
              <w:ind w:left="0" w:right="0" w:hanging="0"/>
              <w:jc w:val="left"/>
              <w:rPr/>
            </w:pPr>
            <w:r>
              <w:rPr/>
              <w:t>​</w:t>
            </w:r>
          </w:p>
        </w:tc>
      </w:tr>
      <w:tr>
        <w:trPr/>
        <w:tc>
          <w:tcPr>
            <w:tcW w:w="2071" w:type="dxa"/>
            <w:tcBorders/>
            <w:vAlign w:val="center"/>
          </w:tcPr>
          <w:p>
            <w:pPr>
              <w:pStyle w:val="TableContents"/>
              <w:bidi w:val="0"/>
              <w:spacing w:lineRule="auto" w:line="285" w:before="0" w:after="0"/>
              <w:ind w:left="0" w:right="0" w:hanging="0"/>
              <w:jc w:val="both"/>
              <w:rPr/>
            </w:pPr>
            <w:r>
              <w:rPr/>
              <w:t>​</w:t>
            </w:r>
          </w:p>
        </w:tc>
        <w:tc>
          <w:tcPr>
            <w:tcW w:w="406" w:type="dxa"/>
            <w:tcBorders/>
            <w:vAlign w:val="center"/>
          </w:tcPr>
          <w:p>
            <w:pPr>
              <w:pStyle w:val="TableContents"/>
              <w:bidi w:val="0"/>
              <w:spacing w:lineRule="auto" w:line="285" w:before="0" w:after="0"/>
              <w:ind w:left="0" w:right="0" w:hanging="0"/>
              <w:jc w:val="both"/>
              <w:rPr/>
            </w:pPr>
            <w:r>
              <w:rPr/>
              <w:t>​</w:t>
            </w:r>
          </w:p>
        </w:tc>
        <w:tc>
          <w:tcPr>
            <w:tcW w:w="3227"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TTEC HOLDINGS, INC.</w:t>
            </w:r>
          </w:p>
        </w:tc>
        <w:tc>
          <w:tcPr>
            <w:tcW w:w="208" w:type="dxa"/>
            <w:tcBorders/>
            <w:vAlign w:val="center"/>
          </w:tcPr>
          <w:p>
            <w:pPr>
              <w:pStyle w:val="TableContents"/>
              <w:bidi w:val="0"/>
              <w:spacing w:lineRule="auto" w:line="285" w:before="0" w:after="0"/>
              <w:ind w:left="0" w:right="0" w:hanging="0"/>
              <w:jc w:val="both"/>
              <w:rPr/>
            </w:pPr>
            <w:r>
              <w:rPr/>
              <w:t>​</w:t>
            </w:r>
          </w:p>
        </w:tc>
      </w:tr>
      <w:tr>
        <w:trPr/>
        <w:tc>
          <w:tcPr>
            <w:tcW w:w="2071" w:type="dxa"/>
            <w:tcBorders/>
            <w:vAlign w:val="center"/>
          </w:tcPr>
          <w:p>
            <w:pPr>
              <w:pStyle w:val="TableContents"/>
              <w:bidi w:val="0"/>
              <w:spacing w:lineRule="auto" w:line="285" w:before="0" w:after="0"/>
              <w:ind w:left="0" w:right="0" w:hanging="0"/>
              <w:jc w:val="both"/>
              <w:rPr/>
            </w:pPr>
            <w:r>
              <w:rPr/>
              <w:t>​</w:t>
            </w:r>
          </w:p>
        </w:tc>
        <w:tc>
          <w:tcPr>
            <w:tcW w:w="406" w:type="dxa"/>
            <w:tcBorders/>
            <w:vAlign w:val="center"/>
          </w:tcPr>
          <w:p>
            <w:pPr>
              <w:pStyle w:val="TableContents"/>
              <w:bidi w:val="0"/>
              <w:spacing w:lineRule="auto" w:line="285" w:before="0" w:after="0"/>
              <w:ind w:left="0" w:right="0" w:hanging="0"/>
              <w:jc w:val="both"/>
              <w:rPr/>
            </w:pPr>
            <w:r>
              <w:rPr/>
              <w:t>​</w:t>
            </w:r>
          </w:p>
        </w:tc>
        <w:tc>
          <w:tcPr>
            <w:tcW w:w="3227" w:type="dxa"/>
            <w:tcBorders>
              <w:top w:val="single" w:sz="2" w:space="0" w:color="000000"/>
            </w:tcBorders>
            <w:tcMar>
              <w:top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(Registrant)</w:t>
            </w:r>
          </w:p>
        </w:tc>
        <w:tc>
          <w:tcPr>
            <w:tcW w:w="208" w:type="dxa"/>
            <w:tcBorders/>
            <w:vAlign w:val="center"/>
          </w:tcPr>
          <w:p>
            <w:pPr>
              <w:pStyle w:val="TableContents"/>
              <w:bidi w:val="0"/>
              <w:spacing w:lineRule="auto" w:line="285" w:before="0" w:after="0"/>
              <w:ind w:left="0" w:right="0" w:hanging="0"/>
              <w:jc w:val="both"/>
              <w:rPr/>
            </w:pPr>
            <w:r>
              <w:rPr/>
              <w:t>​</w:t>
            </w:r>
          </w:p>
        </w:tc>
      </w:tr>
      <w:tr>
        <w:trPr/>
        <w:tc>
          <w:tcPr>
            <w:tcW w:w="2071" w:type="dxa"/>
            <w:tcBorders/>
            <w:vAlign w:val="center"/>
          </w:tcPr>
          <w:p>
            <w:pPr>
              <w:pStyle w:val="TableContents"/>
              <w:bidi w:val="0"/>
              <w:spacing w:lineRule="auto" w:line="285" w:before="0" w:after="0"/>
              <w:ind w:left="0" w:right="0" w:hanging="0"/>
              <w:jc w:val="both"/>
              <w:rPr/>
            </w:pPr>
            <w:r>
              <w:rPr/>
              <w:t>​</w:t>
            </w:r>
          </w:p>
        </w:tc>
        <w:tc>
          <w:tcPr>
            <w:tcW w:w="406" w:type="dxa"/>
            <w:tcBorders/>
            <w:vAlign w:val="center"/>
          </w:tcPr>
          <w:p>
            <w:pPr>
              <w:pStyle w:val="TableContents"/>
              <w:bidi w:val="0"/>
              <w:spacing w:lineRule="auto" w:line="285" w:before="0" w:after="0"/>
              <w:ind w:left="0" w:right="0" w:hanging="0"/>
              <w:jc w:val="both"/>
              <w:rPr/>
            </w:pPr>
            <w:r>
              <w:rPr/>
              <w:t>​</w:t>
            </w:r>
          </w:p>
        </w:tc>
        <w:tc>
          <w:tcPr>
            <w:tcW w:w="3227" w:type="dxa"/>
            <w:tcBorders/>
            <w:vAlign w:val="center"/>
          </w:tcPr>
          <w:p>
            <w:pPr>
              <w:pStyle w:val="TableContents"/>
              <w:bidi w:val="0"/>
              <w:spacing w:lineRule="auto" w:line="285" w:before="0" w:after="0"/>
              <w:ind w:left="0" w:right="0" w:hanging="0"/>
              <w:jc w:val="both"/>
              <w:rPr/>
            </w:pPr>
            <w:r>
              <w:rPr/>
              <w:t>​</w:t>
            </w:r>
          </w:p>
        </w:tc>
        <w:tc>
          <w:tcPr>
            <w:tcW w:w="208" w:type="dxa"/>
            <w:tcBorders/>
            <w:vAlign w:val="center"/>
          </w:tcPr>
          <w:p>
            <w:pPr>
              <w:pStyle w:val="TableContents"/>
              <w:bidi w:val="0"/>
              <w:spacing w:lineRule="auto" w:line="285" w:before="0" w:after="0"/>
              <w:ind w:left="0" w:right="0" w:hanging="0"/>
              <w:jc w:val="both"/>
              <w:rPr/>
            </w:pPr>
            <w:r>
              <w:rPr/>
              <w:t>​</w:t>
            </w:r>
          </w:p>
        </w:tc>
      </w:tr>
      <w:tr>
        <w:trPr/>
        <w:tc>
          <w:tcPr>
            <w:tcW w:w="2071"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Date: August 10, 2026</w:t>
            </w:r>
          </w:p>
        </w:tc>
        <w:tc>
          <w:tcPr>
            <w:tcW w:w="40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322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/s/ Kenneth D. Tuchman</w:t>
            </w:r>
          </w:p>
        </w:tc>
        <w:tc>
          <w:tcPr>
            <w:tcW w:w="208" w:type="dxa"/>
            <w:tcBorders/>
            <w:vAlign w:val="center"/>
          </w:tcPr>
          <w:p>
            <w:pPr>
              <w:pStyle w:val="TableContents"/>
              <w:bidi w:val="0"/>
              <w:spacing w:lineRule="auto" w:line="285" w:before="0" w:after="0"/>
              <w:ind w:left="0" w:right="0" w:hanging="0"/>
              <w:jc w:val="left"/>
              <w:rPr/>
            </w:pPr>
            <w:r>
              <w:rPr/>
              <w:t>​</w:t>
            </w:r>
          </w:p>
        </w:tc>
      </w:tr>
      <w:tr>
        <w:trPr/>
        <w:tc>
          <w:tcPr>
            <w:tcW w:w="207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227"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Kenneth D. Tuchman</w:t>
            </w:r>
          </w:p>
        </w:tc>
        <w:tc>
          <w:tcPr>
            <w:tcW w:w="208" w:type="dxa"/>
            <w:tcBorders/>
            <w:vAlign w:val="center"/>
          </w:tcPr>
          <w:p>
            <w:pPr>
              <w:pStyle w:val="TableContents"/>
              <w:bidi w:val="0"/>
              <w:spacing w:lineRule="auto" w:line="285" w:before="0" w:after="0"/>
              <w:ind w:left="0" w:right="0" w:hanging="0"/>
              <w:jc w:val="left"/>
              <w:rPr/>
            </w:pPr>
            <w:r>
              <w:rPr/>
              <w:t>​</w:t>
            </w:r>
          </w:p>
        </w:tc>
      </w:tr>
      <w:tr>
        <w:trPr/>
        <w:tc>
          <w:tcPr>
            <w:tcW w:w="207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435" w:type="dxa"/>
            <w:gridSpan w:val="2"/>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Chairman and Chief Executive Officer</w:t>
            </w:r>
          </w:p>
        </w:tc>
      </w:tr>
      <w:tr>
        <w:trPr/>
        <w:tc>
          <w:tcPr>
            <w:tcW w:w="207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227" w:type="dxa"/>
            <w:tcBorders/>
            <w:vAlign w:val="center"/>
          </w:tcPr>
          <w:p>
            <w:pPr>
              <w:pStyle w:val="TableContents"/>
              <w:bidi w:val="0"/>
              <w:spacing w:lineRule="auto" w:line="285" w:before="0" w:after="0"/>
              <w:ind w:left="0" w:right="0" w:hanging="0"/>
              <w:jc w:val="left"/>
              <w:rPr/>
            </w:pPr>
            <w:r>
              <w:rPr/>
              <w:t>​</w:t>
            </w:r>
          </w:p>
        </w:tc>
        <w:tc>
          <w:tcPr>
            <w:tcW w:w="208" w:type="dxa"/>
            <w:tcBorders/>
            <w:vAlign w:val="center"/>
          </w:tcPr>
          <w:p>
            <w:pPr>
              <w:pStyle w:val="TableContents"/>
              <w:bidi w:val="0"/>
              <w:spacing w:lineRule="auto" w:line="285" w:before="0" w:after="0"/>
              <w:ind w:left="0" w:right="0" w:hanging="0"/>
              <w:jc w:val="left"/>
              <w:rPr/>
            </w:pPr>
            <w:r>
              <w:rPr/>
              <w:t>​</w:t>
            </w:r>
          </w:p>
        </w:tc>
      </w:tr>
      <w:tr>
        <w:trPr/>
        <w:tc>
          <w:tcPr>
            <w:tcW w:w="2071"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Date: August 10, 2026</w:t>
            </w:r>
          </w:p>
        </w:tc>
        <w:tc>
          <w:tcPr>
            <w:tcW w:w="40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322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/s/ Kenneth R. Wagers, III</w:t>
            </w:r>
          </w:p>
        </w:tc>
        <w:tc>
          <w:tcPr>
            <w:tcW w:w="208" w:type="dxa"/>
            <w:tcBorders/>
            <w:vAlign w:val="center"/>
          </w:tcPr>
          <w:p>
            <w:pPr>
              <w:pStyle w:val="TableContents"/>
              <w:bidi w:val="0"/>
              <w:spacing w:lineRule="auto" w:line="285" w:before="0" w:after="0"/>
              <w:ind w:left="0" w:right="0" w:hanging="0"/>
              <w:jc w:val="left"/>
              <w:rPr/>
            </w:pPr>
            <w:r>
              <w:rPr/>
              <w:t>​</w:t>
            </w:r>
          </w:p>
        </w:tc>
      </w:tr>
      <w:tr>
        <w:trPr/>
        <w:tc>
          <w:tcPr>
            <w:tcW w:w="207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227"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Kenneth R. Wagers, III</w:t>
            </w:r>
          </w:p>
        </w:tc>
        <w:tc>
          <w:tcPr>
            <w:tcW w:w="208" w:type="dxa"/>
            <w:tcBorders/>
            <w:vAlign w:val="center"/>
          </w:tcPr>
          <w:p>
            <w:pPr>
              <w:pStyle w:val="TableContents"/>
              <w:bidi w:val="0"/>
              <w:spacing w:lineRule="auto" w:line="285" w:before="0" w:after="0"/>
              <w:ind w:left="0" w:right="0" w:hanging="0"/>
              <w:jc w:val="left"/>
              <w:rPr/>
            </w:pPr>
            <w:r>
              <w:rPr/>
              <w:t>​</w:t>
            </w:r>
          </w:p>
        </w:tc>
      </w:tr>
      <w:tr>
        <w:trPr/>
        <w:tc>
          <w:tcPr>
            <w:tcW w:w="207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227"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Chief Financial Officer</w:t>
            </w:r>
          </w:p>
        </w:tc>
        <w:tc>
          <w:tcPr>
            <w:tcW w:w="208"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41</w:t>
      </w:r>
    </w:p>
    <w:p>
      <w:pPr>
        <w:pStyle w:val="TextBody"/>
        <w:bidi w:val="0"/>
        <w:spacing w:lineRule="auto" w:line="331" w:before="0" w:after="160"/>
        <w:ind w:left="0" w:right="0" w:hanging="0"/>
        <w:jc w:val="right"/>
        <w:rPr>
          <w:rFonts w:ascii="Arial;Helvetica;sans-serif" w:hAnsi="Arial;Helvetica;sans-serif"/>
          <w:b/>
          <w:sz w:val="20"/>
        </w:rPr>
      </w:pPr>
      <w:bookmarkStart w:id="1774" w:name="ttec-20260630xex4d1.htm"/>
      <w:bookmarkStart w:id="1775" w:name="ksttec20260630xex4d1"/>
      <w:bookmarkEnd w:id="1774"/>
      <w:bookmarkEnd w:id="1775"/>
      <w:r>
        <w:rPr>
          <w:rFonts w:ascii="Arial;Helvetica;sans-serif" w:hAnsi="Arial;Helvetica;sans-serif"/>
          <w:b/>
          <w:sz w:val="20"/>
        </w:rPr>
        <w:t>EXHIBIT 4.1</w:t>
      </w:r>
      <w:r>
        <w:br w:type="page"/>
      </w:r>
    </w:p>
    <w:p>
      <w:pPr>
        <w:pStyle w:val="TextBody"/>
        <w:bidi w:val="0"/>
        <w:spacing w:lineRule="auto" w:line="285" w:before="0" w:after="160"/>
        <w:ind w:left="0" w:right="0" w:hanging="0"/>
        <w:jc w:val="center"/>
        <w:rPr>
          <w:rFonts w:ascii="Arial;Helvetica;sans-serif" w:hAnsi="Arial;Helvetica;sans-serif"/>
          <w:b/>
          <w:sz w:val="22"/>
        </w:rPr>
      </w:pPr>
      <w:r>
        <w:rPr>
          <w:rFonts w:ascii="Arial;Helvetica;sans-serif" w:hAnsi="Arial;Helvetica;sans-serif"/>
          <w:b/>
          <w:sz w:val="22"/>
        </w:rPr>
        <w:t>DESCRIPTION OF SECURITIES</w:t>
      </w:r>
    </w:p>
    <w:p>
      <w:pPr>
        <w:pStyle w:val="TextBody"/>
        <w:bidi w:val="0"/>
        <w:spacing w:lineRule="auto" w:line="285" w:before="0" w:after="160"/>
        <w:ind w:left="0" w:right="0" w:hanging="0"/>
        <w:jc w:val="both"/>
        <w:rPr>
          <w:rFonts w:ascii="Arial;Helvetica;sans-serif" w:hAnsi="Arial;Helvetica;sans-serif"/>
          <w:i/>
          <w:sz w:val="20"/>
        </w:rPr>
      </w:pPr>
      <w:r>
        <w:rPr>
          <w:rFonts w:ascii="Arial;Helvetica;sans-serif" w:hAnsi="Arial;Helvetica;sans-serif"/>
          <w:i/>
          <w:sz w:val="20"/>
        </w:rPr>
        <w:t>The following description summarizes the material terms of the securities of TTEC Holdings, Inc. (the “Company,” “we,” “us” or “our”) that are registered under Section 12 of the Securities Exchange Act of 1934, as amended. This description does not purport to be complete and is subject to, and qualified in its entirety by reference to, our certificate of formation (the “Certificate of Formation”), our bylaws (the “Bylaws”), and applicable provisions of the Texas Business Organizations Code (the “TBOC”). The Certificate of Formation and Bylaws are each incorporated by reference as an exhibit to the Quarterly Report on Form 10-Q of which this exhibit forms a part.</w:t>
      </w:r>
    </w:p>
    <w:p>
      <w:pPr>
        <w:pStyle w:val="TextBody"/>
        <w:bidi w:val="0"/>
        <w:spacing w:lineRule="auto" w:line="285" w:before="160" w:after="80"/>
        <w:ind w:left="0" w:right="0" w:hanging="0"/>
        <w:jc w:val="both"/>
        <w:rPr>
          <w:rFonts w:ascii="Arial;Helvetica;sans-serif" w:hAnsi="Arial;Helvetica;sans-serif"/>
          <w:b/>
          <w:sz w:val="20"/>
        </w:rPr>
      </w:pPr>
      <w:r>
        <w:rPr>
          <w:rFonts w:ascii="Arial;Helvetica;sans-serif" w:hAnsi="Arial;Helvetica;sans-serif"/>
          <w:b/>
          <w:sz w:val="20"/>
        </w:rPr>
        <w:t>General</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Under our Certificate of Formation, we are authorized to issue:</w:t>
      </w:r>
    </w:p>
    <w:tbl>
      <w:tblPr>
        <w:tblW w:w="7908" w:type="dxa"/>
        <w:jc w:val="left"/>
        <w:tblInd w:w="0" w:type="dxa"/>
        <w:tblLayout w:type="fixed"/>
        <w:tblCellMar>
          <w:top w:w="0" w:type="dxa"/>
          <w:left w:w="0" w:type="dxa"/>
          <w:bottom w:w="0" w:type="dxa"/>
          <w:right w:w="0" w:type="dxa"/>
        </w:tblCellMar>
      </w:tblPr>
      <w:tblGrid>
        <w:gridCol w:w="23"/>
        <w:gridCol w:w="170"/>
        <w:gridCol w:w="77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1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150,000,000 shares of common stock, par value $0.01 per share (“Common Stock”); and</w:t>
            </w:r>
          </w:p>
        </w:tc>
      </w:tr>
    </w:tbl>
    <w:tbl>
      <w:tblPr>
        <w:tblW w:w="7458" w:type="dxa"/>
        <w:jc w:val="left"/>
        <w:tblInd w:w="0" w:type="dxa"/>
        <w:tblLayout w:type="fixed"/>
        <w:tblCellMar>
          <w:top w:w="0" w:type="dxa"/>
          <w:left w:w="0" w:type="dxa"/>
          <w:bottom w:w="0" w:type="dxa"/>
          <w:right w:w="0" w:type="dxa"/>
        </w:tblCellMar>
      </w:tblPr>
      <w:tblGrid>
        <w:gridCol w:w="23"/>
        <w:gridCol w:w="170"/>
        <w:gridCol w:w="72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10,000,000 shares of preferred stock, par value $0.01 per share (“Preferred Stock”).</w:t>
            </w:r>
          </w:p>
        </w:tc>
      </w:tr>
    </w:tbl>
    <w:p>
      <w:pPr>
        <w:pStyle w:val="TextBody"/>
        <w:bidi w:val="0"/>
        <w:spacing w:lineRule="auto" w:line="285" w:before="0" w:after="160"/>
        <w:ind w:left="0" w:right="0" w:hanging="0"/>
        <w:jc w:val="both"/>
        <w:rPr>
          <w:rFonts w:ascii="Arial;Helvetica;sans-serif" w:hAnsi="Arial;Helvetica;sans-serif"/>
          <w:b/>
          <w:sz w:val="20"/>
        </w:rPr>
      </w:pPr>
      <w:r>
        <w:rPr>
          <w:rFonts w:ascii="Arial;Helvetica;sans-serif" w:hAnsi="Arial;Helvetica;sans-serif"/>
          <w:b/>
          <w:sz w:val="20"/>
        </w:rPr>
        <w:t>Common Stock</w:t>
      </w:r>
    </w:p>
    <w:p>
      <w:pPr>
        <w:pStyle w:val="TextBody"/>
        <w:bidi w:val="0"/>
        <w:spacing w:lineRule="auto" w:line="285" w:before="0" w:after="160"/>
        <w:ind w:left="0" w:right="0" w:hanging="0"/>
        <w:jc w:val="both"/>
        <w:rPr>
          <w:rFonts w:ascii="Arial;Helvetica;sans-serif" w:hAnsi="Arial;Helvetica;sans-serif"/>
          <w:i/>
          <w:sz w:val="20"/>
        </w:rPr>
      </w:pPr>
      <w:r>
        <w:rPr>
          <w:rFonts w:ascii="Arial;Helvetica;sans-serif" w:hAnsi="Arial;Helvetica;sans-serif"/>
          <w:i/>
          <w:sz w:val="20"/>
        </w:rPr>
        <w:t>Voting Rights</w:t>
      </w:r>
    </w:p>
    <w:p>
      <w:pPr>
        <w:pStyle w:val="TextBody"/>
        <w:bidi w:val="0"/>
        <w:spacing w:lineRule="auto" w:line="285" w:before="0" w:after="160"/>
        <w:ind w:left="0" w:right="0" w:hanging="0"/>
        <w:jc w:val="both"/>
        <w:rPr>
          <w:rFonts w:ascii="Arial;Helvetica;sans-serif" w:hAnsi="Arial;Helvetica;sans-serif"/>
          <w:sz w:val="20"/>
        </w:rPr>
      </w:pPr>
      <w:r>
        <w:rPr>
          <w:rFonts w:ascii="Arial;Helvetica;sans-serif" w:hAnsi="Arial;Helvetica;sans-serif"/>
          <w:sz w:val="20"/>
        </w:rPr>
        <w:t>Each holder of Common Stock is entitled to one vote per share on all matters submitted to a vote of shareholders. Except as otherwise required by law or the Certificate of Formation, holders of Common Stock vote as a single class, subject to any voting rights granted to holders of Preferred Stock, including any separate voting rights of one or more series of Preferred Stock as expressly provided in the terms of such series.</w:t>
      </w:r>
    </w:p>
    <w:p>
      <w:pPr>
        <w:pStyle w:val="TextBody"/>
        <w:bidi w:val="0"/>
        <w:spacing w:lineRule="auto" w:line="285" w:before="0" w:after="160"/>
        <w:ind w:left="0" w:right="0" w:hanging="0"/>
        <w:jc w:val="both"/>
        <w:rPr>
          <w:rFonts w:ascii="Arial;Helvetica;sans-serif" w:hAnsi="Arial;Helvetica;sans-serif"/>
          <w:sz w:val="20"/>
        </w:rPr>
      </w:pPr>
      <w:r>
        <w:rPr>
          <w:rFonts w:ascii="Arial;Helvetica;sans-serif" w:hAnsi="Arial;Helvetica;sans-serif"/>
          <w:sz w:val="20"/>
        </w:rPr>
        <w:t>A majority of the shares issued and outstanding and entitled to vote, present in person or represented by proxy, constitutes a quorum for the transaction of business at any meeting of shareholders. Where a separate vote by a class or series is required, a majority of the outstanding shares of such class or series, present in person or represented by proxy, constitutes a quorum entitled to act with respect to such matter, except as otherwise provided by law, the Certificate of Formation or the Bylaws.</w:t>
      </w:r>
    </w:p>
    <w:p>
      <w:pPr>
        <w:pStyle w:val="TextBody"/>
        <w:bidi w:val="0"/>
        <w:spacing w:lineRule="auto" w:line="285" w:before="0" w:after="160"/>
        <w:ind w:left="0" w:right="0" w:hanging="0"/>
        <w:jc w:val="both"/>
        <w:rPr>
          <w:rFonts w:ascii="Arial;Helvetica;sans-serif" w:hAnsi="Arial;Helvetica;sans-serif"/>
          <w:sz w:val="20"/>
        </w:rPr>
      </w:pPr>
      <w:r>
        <w:rPr>
          <w:rFonts w:ascii="Arial;Helvetica;sans-serif" w:hAnsi="Arial;Helvetica;sans-serif"/>
          <w:sz w:val="20"/>
        </w:rPr>
        <w:t>Except as otherwise required by law, the Certificate of Formation or the Bylaws, the affirmative vote of a majority of the shares issued and outstanding and entitled to vote, present in person or represented by proxy at a meeting and entitled to vote on the subject matter, will be the act of the shareholders, other than in the election of directors. Where a separate vote by a class or series is required, the affirmative vote of a majority of the shares of such class or series present in person or represented by proxy will be the act of such class or series, except as otherwise provided by law, the Certificate of Formation or the Bylaws.</w:t>
      </w:r>
    </w:p>
    <w:p>
      <w:pPr>
        <w:pStyle w:val="TextBody"/>
        <w:bidi w:val="0"/>
        <w:spacing w:lineRule="auto" w:line="285" w:before="0" w:after="160"/>
        <w:ind w:left="0" w:right="0" w:hanging="0"/>
        <w:jc w:val="both"/>
        <w:rPr>
          <w:rFonts w:ascii="Arial;Helvetica;sans-serif" w:hAnsi="Arial;Helvetica;sans-serif"/>
          <w:sz w:val="20"/>
        </w:rPr>
      </w:pPr>
      <w:r>
        <w:rPr>
          <w:rFonts w:ascii="Arial;Helvetica;sans-serif" w:hAnsi="Arial;Helvetica;sans-serif"/>
          <w:sz w:val="20"/>
        </w:rPr>
        <w:t>Directors are elected by a plurality of the votes cast by the holders of shares present in person or represented by proxy at a meeting and entitled to vote on the election of directors.</w:t>
      </w:r>
    </w:p>
    <w:p>
      <w:pPr>
        <w:pStyle w:val="TextBody"/>
        <w:bidi w:val="0"/>
        <w:spacing w:lineRule="auto" w:line="285" w:before="160" w:after="80"/>
        <w:ind w:left="0" w:right="0" w:hanging="0"/>
        <w:jc w:val="both"/>
        <w:rPr>
          <w:rFonts w:ascii="Arial;Helvetica;sans-serif" w:hAnsi="Arial;Helvetica;sans-serif"/>
          <w:i/>
          <w:sz w:val="20"/>
        </w:rPr>
      </w:pPr>
      <w:r>
        <w:rPr>
          <w:rFonts w:ascii="Arial;Helvetica;sans-serif" w:hAnsi="Arial;Helvetica;sans-serif"/>
          <w:i/>
          <w:sz w:val="20"/>
        </w:rPr>
        <w:t>Dividends</w:t>
      </w:r>
    </w:p>
    <w:p>
      <w:pPr>
        <w:pStyle w:val="TextBody"/>
        <w:bidi w:val="0"/>
        <w:spacing w:lineRule="auto" w:line="285" w:before="0" w:after="160"/>
        <w:ind w:left="0" w:right="0" w:hanging="0"/>
        <w:jc w:val="both"/>
        <w:rPr>
          <w:rFonts w:ascii="Arial;Helvetica;sans-serif" w:hAnsi="Arial;Helvetica;sans-serif"/>
          <w:sz w:val="20"/>
        </w:rPr>
      </w:pPr>
      <w:r>
        <w:rPr>
          <w:rFonts w:ascii="Arial;Helvetica;sans-serif" w:hAnsi="Arial;Helvetica;sans-serif"/>
          <w:sz w:val="20"/>
        </w:rPr>
        <w:t>Subject to the rights of holders of any series of Preferred Stock, holders of Common Stock are entitled to receive dividends when and as declared by the Company’s board of directors (the “Board”) out of funds legally available therefor.</w:t>
      </w:r>
    </w:p>
    <w:p>
      <w:pPr>
        <w:pStyle w:val="TextBody"/>
        <w:bidi w:val="0"/>
        <w:spacing w:lineRule="auto" w:line="285" w:before="160" w:after="80"/>
        <w:ind w:left="0" w:right="0" w:hanging="0"/>
        <w:jc w:val="both"/>
        <w:rPr>
          <w:rFonts w:ascii="Arial;Helvetica;sans-serif" w:hAnsi="Arial;Helvetica;sans-serif"/>
          <w:i/>
          <w:sz w:val="20"/>
        </w:rPr>
      </w:pPr>
      <w:r>
        <w:rPr>
          <w:rFonts w:ascii="Arial;Helvetica;sans-serif" w:hAnsi="Arial;Helvetica;sans-serif"/>
          <w:i/>
          <w:sz w:val="20"/>
        </w:rPr>
        <w:t>Liquidation Rights</w:t>
      </w:r>
    </w:p>
    <w:p>
      <w:pPr>
        <w:pStyle w:val="TextBody"/>
        <w:bidi w:val="0"/>
        <w:spacing w:lineRule="auto" w:line="285" w:before="0" w:after="160"/>
        <w:ind w:left="0" w:right="0" w:hanging="0"/>
        <w:jc w:val="both"/>
        <w:rPr>
          <w:rFonts w:ascii="Arial;Helvetica;sans-serif" w:hAnsi="Arial;Helvetica;sans-serif"/>
          <w:sz w:val="20"/>
        </w:rPr>
      </w:pPr>
      <w:r>
        <w:rPr>
          <w:rFonts w:ascii="Arial;Helvetica;sans-serif" w:hAnsi="Arial;Helvetica;sans-serif"/>
          <w:sz w:val="20"/>
        </w:rPr>
        <w:t>Upon the liquidation, dissolution or winding up of the Company, and after payment of all liabilities and satisfaction of any preferential rights of holders of Preferred Stock, holders of Common Stock are entitled to receive the remaining assets of the Company on a pro rata basis.</w:t>
      </w:r>
    </w:p>
    <w:p>
      <w:pPr>
        <w:pStyle w:val="TextBody"/>
        <w:bidi w:val="0"/>
        <w:spacing w:lineRule="auto" w:line="285" w:before="160" w:after="80"/>
        <w:ind w:left="0" w:right="0" w:hanging="0"/>
        <w:jc w:val="both"/>
        <w:rPr>
          <w:rFonts w:ascii="Arial;Helvetica;sans-serif" w:hAnsi="Arial;Helvetica;sans-serif"/>
          <w:i/>
          <w:sz w:val="20"/>
        </w:rPr>
      </w:pPr>
      <w:r>
        <w:rPr>
          <w:rFonts w:ascii="Arial;Helvetica;sans-serif" w:hAnsi="Arial;Helvetica;sans-serif"/>
          <w:i/>
          <w:sz w:val="20"/>
        </w:rPr>
        <w:t>Other Rights</w:t>
      </w:r>
    </w:p>
    <w:p>
      <w:pPr>
        <w:pStyle w:val="TextBody"/>
        <w:bidi w:val="0"/>
        <w:spacing w:lineRule="auto" w:line="285" w:before="0" w:after="160"/>
        <w:ind w:left="0" w:right="0" w:hanging="0"/>
        <w:jc w:val="both"/>
        <w:rPr>
          <w:rFonts w:ascii="Arial;Helvetica;sans-serif" w:hAnsi="Arial;Helvetica;sans-serif"/>
          <w:sz w:val="20"/>
        </w:rPr>
      </w:pPr>
      <w:r>
        <w:rPr>
          <w:rFonts w:ascii="Arial;Helvetica;sans-serif" w:hAnsi="Arial;Helvetica;sans-serif"/>
          <w:sz w:val="20"/>
        </w:rPr>
        <w:t>Holders of Common Stock do not have preemptive rights or rights to convert their shares into any other securities, and there are no redemption or sinking fund provisions applicable to the Common Stock.</w:t>
      </w:r>
    </w:p>
    <w:p>
      <w:pPr>
        <w:pStyle w:val="HorizontalLine"/>
        <w:pBdr>
          <w:bottom w:val="double" w:sz="2" w:space="0" w:color="808080"/>
        </w:pBdr>
        <w:bidi w:val="0"/>
        <w:spacing w:before="0" w:after="283"/>
        <w:jc w:val="left"/>
        <w:rPr/>
      </w:pPr>
      <w:r>
        <w:rPr/>
      </w:r>
    </w:p>
    <w:p>
      <w:pPr>
        <w:pStyle w:val="TextBody"/>
        <w:bidi w:val="0"/>
        <w:spacing w:lineRule="auto" w:line="285" w:before="0" w:after="80"/>
        <w:ind w:left="0" w:right="0" w:hanging="0"/>
        <w:jc w:val="both"/>
        <w:rPr>
          <w:rFonts w:ascii="Arial;Helvetica;sans-serif" w:hAnsi="Arial;Helvetica;sans-serif"/>
          <w:i/>
          <w:sz w:val="20"/>
        </w:rPr>
      </w:pPr>
      <w:r>
        <w:rPr>
          <w:rFonts w:ascii="Arial;Helvetica;sans-serif" w:hAnsi="Arial;Helvetica;sans-serif"/>
          <w:i/>
          <w:sz w:val="20"/>
        </w:rPr>
        <w:t>Preferred Stock</w:t>
      </w:r>
    </w:p>
    <w:p>
      <w:pPr>
        <w:pStyle w:val="TextBody"/>
        <w:bidi w:val="0"/>
        <w:spacing w:lineRule="auto" w:line="285" w:before="0" w:after="160"/>
        <w:ind w:left="0" w:right="0" w:hanging="0"/>
        <w:jc w:val="both"/>
        <w:rPr>
          <w:rFonts w:ascii="Arial;Helvetica;sans-serif" w:hAnsi="Arial;Helvetica;sans-serif"/>
          <w:sz w:val="20"/>
        </w:rPr>
      </w:pPr>
      <w:r>
        <w:rPr>
          <w:rFonts w:ascii="Arial;Helvetica;sans-serif" w:hAnsi="Arial;Helvetica;sans-serif"/>
          <w:sz w:val="20"/>
        </w:rPr>
        <w:t>Although no shares of Preferred Stock are currently outstanding, the Certificate of Formation authorizes the Board, without further shareholder approval, to issue one or more series of Preferred Stock and to determine the designations, powers, preferences and rights of each series, including:</w:t>
      </w:r>
    </w:p>
    <w:tbl>
      <w:tblPr>
        <w:tblW w:w="1533" w:type="dxa"/>
        <w:jc w:val="left"/>
        <w:tblInd w:w="0" w:type="dxa"/>
        <w:tblLayout w:type="fixed"/>
        <w:tblCellMar>
          <w:top w:w="0" w:type="dxa"/>
          <w:left w:w="0" w:type="dxa"/>
          <w:bottom w:w="0" w:type="dxa"/>
          <w:right w:w="0" w:type="dxa"/>
        </w:tblCellMar>
      </w:tblPr>
      <w:tblGrid>
        <w:gridCol w:w="23"/>
        <w:gridCol w:w="170"/>
        <w:gridCol w:w="13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34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dividend rights;</w:t>
            </w:r>
          </w:p>
        </w:tc>
      </w:tr>
    </w:tbl>
    <w:tbl>
      <w:tblPr>
        <w:tblW w:w="1338" w:type="dxa"/>
        <w:jc w:val="left"/>
        <w:tblInd w:w="0" w:type="dxa"/>
        <w:tblLayout w:type="fixed"/>
        <w:tblCellMar>
          <w:top w:w="0" w:type="dxa"/>
          <w:left w:w="0" w:type="dxa"/>
          <w:bottom w:w="0" w:type="dxa"/>
          <w:right w:w="0" w:type="dxa"/>
        </w:tblCellMar>
      </w:tblPr>
      <w:tblGrid>
        <w:gridCol w:w="23"/>
        <w:gridCol w:w="170"/>
        <w:gridCol w:w="11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voting rights;</w:t>
            </w:r>
          </w:p>
        </w:tc>
      </w:tr>
    </w:tbl>
    <w:tbl>
      <w:tblPr>
        <w:tblW w:w="1758" w:type="dxa"/>
        <w:jc w:val="left"/>
        <w:tblInd w:w="0" w:type="dxa"/>
        <w:tblLayout w:type="fixed"/>
        <w:tblCellMar>
          <w:top w:w="0" w:type="dxa"/>
          <w:left w:w="0" w:type="dxa"/>
          <w:bottom w:w="0" w:type="dxa"/>
          <w:right w:w="0" w:type="dxa"/>
        </w:tblCellMar>
      </w:tblPr>
      <w:tblGrid>
        <w:gridCol w:w="23"/>
        <w:gridCol w:w="170"/>
        <w:gridCol w:w="15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5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conversion rights;</w:t>
            </w:r>
          </w:p>
        </w:tc>
      </w:tr>
    </w:tbl>
    <w:tbl>
      <w:tblPr>
        <w:tblW w:w="2148" w:type="dxa"/>
        <w:jc w:val="left"/>
        <w:tblInd w:w="0" w:type="dxa"/>
        <w:tblLayout w:type="fixed"/>
        <w:tblCellMar>
          <w:top w:w="0" w:type="dxa"/>
          <w:left w:w="0" w:type="dxa"/>
          <w:bottom w:w="0" w:type="dxa"/>
          <w:right w:w="0" w:type="dxa"/>
        </w:tblCellMar>
      </w:tblPr>
      <w:tblGrid>
        <w:gridCol w:w="23"/>
        <w:gridCol w:w="170"/>
        <w:gridCol w:w="19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redemption rights; and</w:t>
            </w:r>
          </w:p>
        </w:tc>
      </w:tr>
    </w:tbl>
    <w:tbl>
      <w:tblPr>
        <w:tblW w:w="2223" w:type="dxa"/>
        <w:jc w:val="left"/>
        <w:tblInd w:w="0" w:type="dxa"/>
        <w:tblLayout w:type="fixed"/>
        <w:tblCellMar>
          <w:top w:w="0" w:type="dxa"/>
          <w:left w:w="0" w:type="dxa"/>
          <w:bottom w:w="0" w:type="dxa"/>
          <w:right w:w="0" w:type="dxa"/>
        </w:tblCellMar>
      </w:tblPr>
      <w:tblGrid>
        <w:gridCol w:w="23"/>
        <w:gridCol w:w="170"/>
        <w:gridCol w:w="20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liquidation preferences.</w:t>
            </w:r>
          </w:p>
        </w:tc>
      </w:tr>
    </w:tbl>
    <w:p>
      <w:pPr>
        <w:pStyle w:val="TextBody"/>
        <w:bidi w:val="0"/>
        <w:spacing w:lineRule="auto" w:line="285" w:before="0" w:after="160"/>
        <w:ind w:left="0" w:right="0" w:hanging="0"/>
        <w:jc w:val="both"/>
        <w:rPr>
          <w:rFonts w:ascii="Arial;Helvetica;sans-serif" w:hAnsi="Arial;Helvetica;sans-serif"/>
          <w:sz w:val="20"/>
        </w:rPr>
      </w:pPr>
      <w:r>
        <w:rPr>
          <w:rFonts w:ascii="Arial;Helvetica;sans-serif" w:hAnsi="Arial;Helvetica;sans-serif"/>
          <w:sz w:val="20"/>
        </w:rPr>
        <w:t>The issuance of Preferred Stock could have the effect of delaying, deferring or preventing a change in control of the Company.</w:t>
      </w:r>
    </w:p>
    <w:p>
      <w:pPr>
        <w:pStyle w:val="TextBody"/>
        <w:bidi w:val="0"/>
        <w:spacing w:lineRule="auto" w:line="285" w:before="160" w:after="80"/>
        <w:ind w:left="0" w:right="0" w:hanging="0"/>
        <w:jc w:val="both"/>
        <w:rPr>
          <w:rFonts w:ascii="Arial;Helvetica;sans-serif" w:hAnsi="Arial;Helvetica;sans-serif"/>
          <w:b/>
          <w:sz w:val="20"/>
        </w:rPr>
      </w:pPr>
      <w:r>
        <w:rPr>
          <w:rFonts w:ascii="Arial;Helvetica;sans-serif" w:hAnsi="Arial;Helvetica;sans-serif"/>
          <w:b/>
          <w:sz w:val="20"/>
        </w:rPr>
        <w:t>Certain Provisions of the Certificate of Formation and the Bylaws</w:t>
      </w:r>
    </w:p>
    <w:p>
      <w:pPr>
        <w:pStyle w:val="TextBody"/>
        <w:bidi w:val="0"/>
        <w:spacing w:lineRule="auto" w:line="285" w:before="160" w:after="80"/>
        <w:ind w:left="0" w:right="0" w:hanging="0"/>
        <w:jc w:val="both"/>
        <w:rPr>
          <w:rFonts w:ascii="Arial;Helvetica;sans-serif" w:hAnsi="Arial;Helvetica;sans-serif"/>
          <w:i/>
          <w:sz w:val="20"/>
        </w:rPr>
      </w:pPr>
      <w:r>
        <w:rPr>
          <w:rFonts w:ascii="Arial;Helvetica;sans-serif" w:hAnsi="Arial;Helvetica;sans-serif"/>
          <w:i/>
          <w:sz w:val="20"/>
        </w:rPr>
        <w:t>Authorized but Unissued Capital Stock</w:t>
      </w:r>
    </w:p>
    <w:p>
      <w:pPr>
        <w:pStyle w:val="TextBody"/>
        <w:bidi w:val="0"/>
        <w:spacing w:lineRule="auto" w:line="285" w:before="0" w:after="160"/>
        <w:ind w:left="0" w:right="0" w:hanging="0"/>
        <w:jc w:val="both"/>
        <w:rPr>
          <w:rFonts w:ascii="Arial;Helvetica;sans-serif" w:hAnsi="Arial;Helvetica;sans-serif"/>
          <w:sz w:val="20"/>
        </w:rPr>
      </w:pPr>
      <w:r>
        <w:rPr>
          <w:rFonts w:ascii="Arial;Helvetica;sans-serif" w:hAnsi="Arial;Helvetica;sans-serif"/>
          <w:sz w:val="20"/>
        </w:rPr>
        <w:t>The existence of authorized but unissued shares of Common Stock and Preferred Stock may enable the Board to issue additional shares without shareholder approval for such purposes as public offerings, acquisitions and other transactions. The issuance of additional shares may dilute the voting power of existing shareholders and may have the effect of delaying or preventing a change in control.</w:t>
      </w:r>
    </w:p>
    <w:p>
      <w:pPr>
        <w:pStyle w:val="TextBody"/>
        <w:bidi w:val="0"/>
        <w:spacing w:lineRule="auto" w:line="285" w:before="160" w:after="80"/>
        <w:ind w:left="0" w:right="0" w:hanging="0"/>
        <w:jc w:val="both"/>
        <w:rPr>
          <w:rFonts w:ascii="Arial;Helvetica;sans-serif" w:hAnsi="Arial;Helvetica;sans-serif"/>
          <w:i/>
          <w:sz w:val="20"/>
        </w:rPr>
      </w:pPr>
      <w:r>
        <w:rPr>
          <w:rFonts w:ascii="Arial;Helvetica;sans-serif" w:hAnsi="Arial;Helvetica;sans-serif"/>
          <w:i/>
          <w:sz w:val="20"/>
        </w:rPr>
        <w:t>No Cumulative Voting</w:t>
      </w:r>
    </w:p>
    <w:p>
      <w:pPr>
        <w:pStyle w:val="TextBody"/>
        <w:bidi w:val="0"/>
        <w:spacing w:lineRule="auto" w:line="285" w:before="0" w:after="160"/>
        <w:ind w:left="0" w:right="0" w:hanging="0"/>
        <w:jc w:val="both"/>
        <w:rPr>
          <w:rFonts w:ascii="Arial;Helvetica;sans-serif" w:hAnsi="Arial;Helvetica;sans-serif"/>
          <w:sz w:val="20"/>
        </w:rPr>
      </w:pPr>
      <w:r>
        <w:rPr>
          <w:rFonts w:ascii="Arial;Helvetica;sans-serif" w:hAnsi="Arial;Helvetica;sans-serif"/>
          <w:sz w:val="20"/>
        </w:rPr>
        <w:t>Shareholders do not have cumulative voting rights in the election of directors. As a result, holders of a majority of the outstanding shares of Common Stock entitled to vote in an election of directors can elect all of the directors standing for election.</w:t>
      </w:r>
    </w:p>
    <w:p>
      <w:pPr>
        <w:pStyle w:val="TextBody"/>
        <w:bidi w:val="0"/>
        <w:spacing w:lineRule="auto" w:line="285" w:before="160" w:after="80"/>
        <w:ind w:left="0" w:right="0" w:hanging="0"/>
        <w:jc w:val="both"/>
        <w:rPr>
          <w:rFonts w:ascii="Arial;Helvetica;sans-serif" w:hAnsi="Arial;Helvetica;sans-serif"/>
          <w:i/>
          <w:sz w:val="20"/>
        </w:rPr>
      </w:pPr>
      <w:r>
        <w:rPr>
          <w:rFonts w:ascii="Arial;Helvetica;sans-serif" w:hAnsi="Arial;Helvetica;sans-serif"/>
          <w:i/>
          <w:sz w:val="20"/>
        </w:rPr>
        <w:t>Board of Directors; Vacancies</w:t>
      </w:r>
    </w:p>
    <w:p>
      <w:pPr>
        <w:pStyle w:val="TextBody"/>
        <w:bidi w:val="0"/>
        <w:spacing w:lineRule="auto" w:line="285" w:before="0" w:after="160"/>
        <w:ind w:left="0" w:right="0" w:hanging="0"/>
        <w:jc w:val="both"/>
        <w:rPr>
          <w:rFonts w:ascii="Arial;Helvetica;sans-serif" w:hAnsi="Arial;Helvetica;sans-serif"/>
          <w:sz w:val="20"/>
        </w:rPr>
      </w:pPr>
      <w:r>
        <w:rPr>
          <w:rFonts w:ascii="Arial;Helvetica;sans-serif" w:hAnsi="Arial;Helvetica;sans-serif"/>
          <w:sz w:val="20"/>
        </w:rPr>
        <w:t>The business and affairs of the Company are managed by or under the direction of the Board. Vacancies on the Board may be filled in the manner provided in the Bylaws and the TBOC.</w:t>
      </w:r>
    </w:p>
    <w:p>
      <w:pPr>
        <w:pStyle w:val="TextBody"/>
        <w:bidi w:val="0"/>
        <w:spacing w:lineRule="auto" w:line="285" w:before="160" w:after="80"/>
        <w:ind w:left="0" w:right="0" w:hanging="0"/>
        <w:jc w:val="both"/>
        <w:rPr>
          <w:rFonts w:ascii="Arial;Helvetica;sans-serif" w:hAnsi="Arial;Helvetica;sans-serif"/>
          <w:i/>
          <w:sz w:val="20"/>
        </w:rPr>
      </w:pPr>
      <w:r>
        <w:rPr>
          <w:rFonts w:ascii="Arial;Helvetica;sans-serif" w:hAnsi="Arial;Helvetica;sans-serif"/>
          <w:i/>
          <w:sz w:val="20"/>
        </w:rPr>
        <w:t>Removal of Directors</w:t>
      </w:r>
    </w:p>
    <w:p>
      <w:pPr>
        <w:pStyle w:val="TextBody"/>
        <w:bidi w:val="0"/>
        <w:spacing w:lineRule="auto" w:line="285" w:before="0" w:after="160"/>
        <w:ind w:left="0" w:right="0" w:hanging="0"/>
        <w:jc w:val="both"/>
        <w:rPr>
          <w:rFonts w:ascii="Arial;Helvetica;sans-serif" w:hAnsi="Arial;Helvetica;sans-serif"/>
          <w:sz w:val="20"/>
        </w:rPr>
      </w:pPr>
      <w:r>
        <w:rPr>
          <w:rFonts w:ascii="Arial;Helvetica;sans-serif" w:hAnsi="Arial;Helvetica;sans-serif"/>
          <w:sz w:val="20"/>
        </w:rPr>
        <w:t>Subject to the rights of holders of any series of Preferred Stock, directors may be removed, with or without cause, by the affirmative vote of a majority of the outstanding shares entitled to vote in an election of directors.</w:t>
      </w:r>
    </w:p>
    <w:p>
      <w:pPr>
        <w:pStyle w:val="TextBody"/>
        <w:bidi w:val="0"/>
        <w:spacing w:lineRule="auto" w:line="285" w:before="160" w:after="80"/>
        <w:ind w:left="0" w:right="0" w:hanging="0"/>
        <w:jc w:val="both"/>
        <w:rPr>
          <w:rFonts w:ascii="Arial;Helvetica;sans-serif" w:hAnsi="Arial;Helvetica;sans-serif"/>
          <w:i/>
          <w:sz w:val="20"/>
        </w:rPr>
      </w:pPr>
      <w:r>
        <w:rPr>
          <w:rFonts w:ascii="Arial;Helvetica;sans-serif" w:hAnsi="Arial;Helvetica;sans-serif"/>
          <w:i/>
          <w:sz w:val="20"/>
        </w:rPr>
        <w:t>Action by Written Consent</w:t>
      </w:r>
    </w:p>
    <w:p>
      <w:pPr>
        <w:pStyle w:val="TextBody"/>
        <w:bidi w:val="0"/>
        <w:spacing w:lineRule="auto" w:line="331" w:before="0" w:after="160"/>
        <w:ind w:left="0" w:right="0" w:hanging="0"/>
        <w:jc w:val="left"/>
        <w:rPr>
          <w:rFonts w:ascii="Arial;Helvetica;sans-serif" w:hAnsi="Arial;Helvetica;sans-serif"/>
          <w:sz w:val="20"/>
        </w:rPr>
      </w:pPr>
      <w:r>
        <w:rPr>
          <w:rFonts w:ascii="Arial;Helvetica;sans-serif" w:hAnsi="Arial;Helvetica;sans-serif"/>
          <w:sz w:val="20"/>
        </w:rPr>
        <w:t>Shareholders may act by written consent if holders of shares having not less than the minimum number of votes that would be necessary to take such action at a meeting at which the holders of all shares entitled to vote on the action were present and voted.</w:t>
      </w:r>
    </w:p>
    <w:p>
      <w:pPr>
        <w:pStyle w:val="TextBody"/>
        <w:bidi w:val="0"/>
        <w:spacing w:lineRule="auto" w:line="285" w:before="160" w:after="80"/>
        <w:ind w:left="0" w:right="0" w:hanging="0"/>
        <w:jc w:val="both"/>
        <w:rPr>
          <w:rFonts w:ascii="Arial;Helvetica;sans-serif" w:hAnsi="Arial;Helvetica;sans-serif"/>
          <w:i/>
          <w:sz w:val="20"/>
        </w:rPr>
      </w:pPr>
      <w:r>
        <w:rPr>
          <w:rFonts w:ascii="Arial;Helvetica;sans-serif" w:hAnsi="Arial;Helvetica;sans-serif"/>
          <w:i/>
          <w:sz w:val="20"/>
        </w:rPr>
        <w:t>Special Meetings of Shareholders</w:t>
      </w:r>
    </w:p>
    <w:p>
      <w:pPr>
        <w:pStyle w:val="TextBody"/>
        <w:bidi w:val="0"/>
        <w:spacing w:lineRule="auto" w:line="285" w:before="0" w:after="160"/>
        <w:ind w:left="0" w:right="0" w:hanging="0"/>
        <w:jc w:val="both"/>
        <w:rPr>
          <w:rFonts w:ascii="Arial;Helvetica;sans-serif" w:hAnsi="Arial;Helvetica;sans-serif"/>
          <w:sz w:val="20"/>
        </w:rPr>
      </w:pPr>
      <w:r>
        <w:rPr>
          <w:rFonts w:ascii="Arial;Helvetica;sans-serif" w:hAnsi="Arial;Helvetica;sans-serif"/>
          <w:sz w:val="20"/>
        </w:rPr>
        <w:t>Special meetings of shareholders may be called by the Board, the chairperson, the chief executive officer or, to the extent required by the TBOC, the president, or by holders of at least 25% of the outstanding shares entitled to vote.</w:t>
      </w:r>
    </w:p>
    <w:p>
      <w:pPr>
        <w:pStyle w:val="TextBody"/>
        <w:bidi w:val="0"/>
        <w:spacing w:lineRule="auto" w:line="285" w:before="160" w:after="80"/>
        <w:ind w:left="0" w:right="0" w:hanging="0"/>
        <w:jc w:val="both"/>
        <w:rPr>
          <w:rFonts w:ascii="Arial;Helvetica;sans-serif" w:hAnsi="Arial;Helvetica;sans-serif"/>
          <w:i/>
          <w:sz w:val="20"/>
        </w:rPr>
      </w:pPr>
      <w:r>
        <w:rPr>
          <w:rFonts w:ascii="Arial;Helvetica;sans-serif" w:hAnsi="Arial;Helvetica;sans-serif"/>
          <w:i/>
          <w:sz w:val="20"/>
        </w:rPr>
        <w:t>Advance Notice Requirements</w:t>
      </w:r>
    </w:p>
    <w:p>
      <w:pPr>
        <w:pStyle w:val="TextBody"/>
        <w:bidi w:val="0"/>
        <w:spacing w:lineRule="auto" w:line="285" w:before="0" w:after="160"/>
        <w:ind w:left="0" w:right="0" w:hanging="0"/>
        <w:jc w:val="both"/>
        <w:rPr>
          <w:rFonts w:ascii="Arial;Helvetica;sans-serif" w:hAnsi="Arial;Helvetica;sans-serif"/>
          <w:sz w:val="20"/>
        </w:rPr>
      </w:pPr>
      <w:r>
        <w:rPr>
          <w:rFonts w:ascii="Arial;Helvetica;sans-serif" w:hAnsi="Arial;Helvetica;sans-serif"/>
          <w:sz w:val="20"/>
        </w:rPr>
        <w:t>The Bylaws establish advance notice procedures for shareholders to nominate candidates for election as directors or to bring business before shareholder meetings. These provisions may have the effect of precluding the conduct of certain business at a meeting if the proper procedures are not followed. These procedures may also discourage, delay or prevent a change in control or changes in management.</w:t>
      </w:r>
    </w:p>
    <w:p>
      <w:pPr>
        <w:pStyle w:val="HorizontalLine"/>
        <w:pBdr>
          <w:bottom w:val="double" w:sz="2" w:space="0" w:color="808080"/>
        </w:pBdr>
        <w:bidi w:val="0"/>
        <w:spacing w:before="0" w:after="283"/>
        <w:jc w:val="left"/>
        <w:rPr/>
      </w:pPr>
      <w:r>
        <w:rPr/>
      </w:r>
    </w:p>
    <w:p>
      <w:pPr>
        <w:pStyle w:val="TextBody"/>
        <w:bidi w:val="0"/>
        <w:spacing w:lineRule="auto" w:line="285" w:before="0" w:after="80"/>
        <w:ind w:left="0" w:right="0" w:hanging="0"/>
        <w:jc w:val="both"/>
        <w:rPr>
          <w:rFonts w:ascii="Arial;Helvetica;sans-serif" w:hAnsi="Arial;Helvetica;sans-serif"/>
          <w:i/>
          <w:sz w:val="20"/>
        </w:rPr>
      </w:pPr>
      <w:r>
        <w:rPr>
          <w:rFonts w:ascii="Arial;Helvetica;sans-serif" w:hAnsi="Arial;Helvetica;sans-serif"/>
          <w:i/>
          <w:sz w:val="20"/>
        </w:rPr>
        <w:t>Board Authority to Amend Bylaws</w:t>
      </w:r>
    </w:p>
    <w:p>
      <w:pPr>
        <w:pStyle w:val="TextBody"/>
        <w:bidi w:val="0"/>
        <w:spacing w:lineRule="auto" w:line="285" w:before="0" w:after="160"/>
        <w:ind w:left="0" w:right="0" w:hanging="0"/>
        <w:jc w:val="both"/>
        <w:rPr>
          <w:rFonts w:ascii="Arial;Helvetica;sans-serif" w:hAnsi="Arial;Helvetica;sans-serif"/>
          <w:sz w:val="20"/>
        </w:rPr>
      </w:pPr>
      <w:r>
        <w:rPr>
          <w:rFonts w:ascii="Arial;Helvetica;sans-serif" w:hAnsi="Arial;Helvetica;sans-serif"/>
          <w:sz w:val="20"/>
        </w:rPr>
        <w:t>The Certificate of Formation authorizes the Board to adopt, amend or repeal the Bylaws, subject to applicable law and any rights of shareholders to adopt, amend or repeal the Bylaws. This authority may allow the Board to implement changes to the Company’s governance provisions without shareholder approval.</w:t>
      </w:r>
    </w:p>
    <w:p>
      <w:pPr>
        <w:pStyle w:val="TextBody"/>
        <w:bidi w:val="0"/>
        <w:spacing w:lineRule="auto" w:line="285" w:before="160" w:after="80"/>
        <w:ind w:left="0" w:right="0" w:hanging="0"/>
        <w:jc w:val="both"/>
        <w:rPr>
          <w:rFonts w:ascii="Arial;Helvetica;sans-serif" w:hAnsi="Arial;Helvetica;sans-serif"/>
          <w:i/>
          <w:sz w:val="20"/>
        </w:rPr>
      </w:pPr>
      <w:r>
        <w:rPr>
          <w:rFonts w:ascii="Arial;Helvetica;sans-serif" w:hAnsi="Arial;Helvetica;sans-serif"/>
          <w:i/>
          <w:sz w:val="20"/>
        </w:rPr>
        <w:t>Derivative Proceedings</w:t>
      </w:r>
    </w:p>
    <w:p>
      <w:pPr>
        <w:pStyle w:val="TextBody"/>
        <w:bidi w:val="0"/>
        <w:spacing w:lineRule="auto" w:line="285" w:before="0" w:after="160"/>
        <w:ind w:left="0" w:right="0" w:hanging="0"/>
        <w:jc w:val="both"/>
        <w:rPr>
          <w:rFonts w:ascii="Arial;Helvetica;sans-serif" w:hAnsi="Arial;Helvetica;sans-serif"/>
          <w:sz w:val="20"/>
        </w:rPr>
      </w:pPr>
      <w:r>
        <w:rPr>
          <w:rFonts w:ascii="Arial;Helvetica;sans-serif" w:hAnsi="Arial;Helvetica;sans-serif"/>
          <w:sz w:val="20"/>
        </w:rPr>
        <w:t>The Certificate of Formation provides that, during any period in which the Company’s Common Stock is listed on a national securities exchange or the Company has 500 or more shareholders, a shareholder may not institute or maintain a derivative proceeding in the right of the Company unless such shareholder holds at least 3% of the Company’s outstanding shares at the time the proceeding is instituted. These provisions may limit a shareholder’s ability to bring derivative claims on behalf of the Company.</w:t>
      </w:r>
    </w:p>
    <w:p>
      <w:pPr>
        <w:pStyle w:val="TextBody"/>
        <w:bidi w:val="0"/>
        <w:spacing w:lineRule="auto" w:line="285" w:before="160" w:after="80"/>
        <w:ind w:left="0" w:right="0" w:hanging="0"/>
        <w:jc w:val="both"/>
        <w:rPr>
          <w:rFonts w:ascii="Arial;Helvetica;sans-serif" w:hAnsi="Arial;Helvetica;sans-serif"/>
          <w:i/>
          <w:sz w:val="20"/>
        </w:rPr>
      </w:pPr>
      <w:r>
        <w:rPr>
          <w:rFonts w:ascii="Arial;Helvetica;sans-serif" w:hAnsi="Arial;Helvetica;sans-serif"/>
          <w:i/>
          <w:sz w:val="20"/>
        </w:rPr>
        <w:t>Forum Selection; Waiver of Jury Trial</w:t>
      </w:r>
    </w:p>
    <w:p>
      <w:pPr>
        <w:pStyle w:val="TextBody"/>
        <w:bidi w:val="0"/>
        <w:spacing w:lineRule="auto" w:line="285" w:before="0" w:after="160"/>
        <w:ind w:left="0" w:right="0" w:hanging="0"/>
        <w:jc w:val="both"/>
        <w:rPr>
          <w:rFonts w:ascii="Arial;Helvetica;sans-serif" w:hAnsi="Arial;Helvetica;sans-serif"/>
          <w:sz w:val="20"/>
        </w:rPr>
      </w:pPr>
      <w:r>
        <w:rPr>
          <w:rFonts w:ascii="Arial;Helvetica;sans-serif" w:hAnsi="Arial;Helvetica;sans-serif"/>
          <w:sz w:val="20"/>
        </w:rPr>
        <w:t>The Certificate of Formation provides that, unless the Company consents otherwise, the exclusive forum for certain internal corporate claims, including derivative actions and fiduciary duty claims, will be:</w:t>
      </w:r>
    </w:p>
    <w:tbl>
      <w:tblPr>
        <w:tblW w:w="7248" w:type="dxa"/>
        <w:jc w:val="left"/>
        <w:tblInd w:w="0" w:type="dxa"/>
        <w:tblLayout w:type="fixed"/>
        <w:tblCellMar>
          <w:top w:w="0" w:type="dxa"/>
          <w:left w:w="0" w:type="dxa"/>
          <w:bottom w:w="0" w:type="dxa"/>
          <w:right w:w="0" w:type="dxa"/>
        </w:tblCellMar>
      </w:tblPr>
      <w:tblGrid>
        <w:gridCol w:w="23"/>
        <w:gridCol w:w="170"/>
        <w:gridCol w:w="70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Business Court in the Third Business Court Division of the State of Texas; or</w:t>
            </w:r>
          </w:p>
        </w:tc>
      </w:tr>
    </w:tbl>
    <w:tbl>
      <w:tblPr>
        <w:tblW w:w="10128" w:type="dxa"/>
        <w:jc w:val="left"/>
        <w:tblInd w:w="0" w:type="dxa"/>
        <w:tblLayout w:type="fixed"/>
        <w:tblCellMar>
          <w:top w:w="0" w:type="dxa"/>
          <w:left w:w="0" w:type="dxa"/>
          <w:bottom w:w="0" w:type="dxa"/>
          <w:right w:w="0" w:type="dxa"/>
        </w:tblCellMar>
      </w:tblPr>
      <w:tblGrid>
        <w:gridCol w:w="23"/>
        <w:gridCol w:w="170"/>
        <w:gridCol w:w="99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such court does not have jurisdiction, the federal district court for the Western District of Texas, Austin Division.</w:t>
            </w:r>
          </w:p>
        </w:tc>
      </w:tr>
    </w:tbl>
    <w:p>
      <w:pPr>
        <w:pStyle w:val="TextBody"/>
        <w:bidi w:val="0"/>
        <w:spacing w:lineRule="auto" w:line="285" w:before="0" w:after="160"/>
        <w:ind w:left="0" w:right="0" w:hanging="0"/>
        <w:jc w:val="both"/>
        <w:rPr>
          <w:rFonts w:ascii="Arial;Helvetica;sans-serif" w:hAnsi="Arial;Helvetica;sans-serif"/>
          <w:sz w:val="20"/>
        </w:rPr>
      </w:pPr>
      <w:r>
        <w:rPr>
          <w:rFonts w:ascii="Arial;Helvetica;sans-serif" w:hAnsi="Arial;Helvetica;sans-serif"/>
          <w:sz w:val="20"/>
        </w:rPr>
        <w:t>The Certificate of Formation further provides that the federal district courts of the United States will be the exclusive forum for claims arising under the Securities Act of 1933 or the Securities Exchange Act of 1934. These provisions may limit a shareholder’s ability to bring claims in a judicial forum of its choosing.</w:t>
      </w:r>
    </w:p>
    <w:p>
      <w:pPr>
        <w:pStyle w:val="TextBody"/>
        <w:bidi w:val="0"/>
        <w:spacing w:lineRule="auto" w:line="285" w:before="0" w:after="160"/>
        <w:ind w:left="0" w:right="0" w:hanging="0"/>
        <w:jc w:val="both"/>
        <w:rPr>
          <w:rFonts w:ascii="Arial;Helvetica;sans-serif" w:hAnsi="Arial;Helvetica;sans-serif"/>
          <w:sz w:val="20"/>
        </w:rPr>
      </w:pPr>
      <w:r>
        <w:rPr>
          <w:rFonts w:ascii="Arial;Helvetica;sans-serif" w:hAnsi="Arial;Helvetica;sans-serif"/>
          <w:sz w:val="20"/>
        </w:rPr>
        <w:t>Furthermore, by purchasing or holding shares of stock in the Company, shareholders are deemed to have irrevocably waived any right to a jury trial for any “internal entity claim” as that term is defined in Section 2.115 of the TBOC and for other actions falling within the scope of the exclusive forum provision, to the fullest extent permitted by applicable law.</w:t>
      </w:r>
    </w:p>
    <w:p>
      <w:pPr>
        <w:pStyle w:val="TextBody"/>
        <w:bidi w:val="0"/>
        <w:spacing w:lineRule="auto" w:line="285" w:before="160" w:after="80"/>
        <w:ind w:left="0" w:right="0" w:hanging="0"/>
        <w:jc w:val="both"/>
        <w:rPr>
          <w:rFonts w:ascii="Arial;Helvetica;sans-serif" w:hAnsi="Arial;Helvetica;sans-serif"/>
          <w:i/>
          <w:sz w:val="20"/>
        </w:rPr>
      </w:pPr>
      <w:r>
        <w:rPr>
          <w:rFonts w:ascii="Arial;Helvetica;sans-serif" w:hAnsi="Arial;Helvetica;sans-serif"/>
          <w:i/>
          <w:sz w:val="20"/>
        </w:rPr>
        <w:t>Limitations on Liability and Indemnification</w:t>
      </w:r>
    </w:p>
    <w:p>
      <w:pPr>
        <w:pStyle w:val="TextBody"/>
        <w:bidi w:val="0"/>
        <w:spacing w:lineRule="auto" w:line="285" w:before="0" w:after="160"/>
        <w:ind w:left="0" w:right="0" w:hanging="0"/>
        <w:jc w:val="both"/>
        <w:rPr>
          <w:rFonts w:ascii="Aptos" w:hAnsi="Aptos"/>
          <w:sz w:val="20"/>
        </w:rPr>
      </w:pPr>
      <w:r>
        <w:rPr>
          <w:rFonts w:ascii="Arial;Helvetica;sans-serif" w:hAnsi="Arial;Helvetica;sans-serif"/>
          <w:sz w:val="20"/>
        </w:rPr>
        <w:t>The Certificate of Formation provides that, to the fullest extent permitted by the TBOC, directors and officers will not be personally liable for monetary damages for acts or omissions taken in their capacity as directors and officers. The Bylaws provide that the Company shall indemnify its directors and officers to the fullest extent permitted by the TBOC</w:t>
      </w:r>
      <w:r>
        <w:rPr>
          <w:rFonts w:ascii="Aptos" w:hAnsi="Aptos"/>
          <w:sz w:val="20"/>
        </w:rPr>
        <w:t xml:space="preserve"> </w:t>
      </w:r>
      <w:r>
        <w:rPr>
          <w:rFonts w:ascii="Arial;Helvetica;sans-serif" w:hAnsi="Arial;Helvetica;sans-serif"/>
          <w:sz w:val="20"/>
        </w:rPr>
        <w:t>and may indemnify its employees and agents to the fullest extent permitted by the TBOC.</w:t>
      </w:r>
    </w:p>
    <w:p>
      <w:pPr>
        <w:pStyle w:val="TextBody"/>
        <w:bidi w:val="0"/>
        <w:spacing w:lineRule="auto" w:line="285" w:before="160" w:after="80"/>
        <w:ind w:left="0" w:right="0" w:hanging="0"/>
        <w:jc w:val="both"/>
        <w:rPr>
          <w:rFonts w:ascii="Arial;Helvetica;sans-serif" w:hAnsi="Arial;Helvetica;sans-serif"/>
          <w:b/>
          <w:sz w:val="20"/>
        </w:rPr>
      </w:pPr>
      <w:r>
        <w:rPr>
          <w:rFonts w:ascii="Arial;Helvetica;sans-serif" w:hAnsi="Arial;Helvetica;sans-serif"/>
          <w:b/>
          <w:sz w:val="20"/>
        </w:rPr>
        <w:t>Listing</w:t>
      </w:r>
    </w:p>
    <w:p>
      <w:pPr>
        <w:pStyle w:val="TextBody"/>
        <w:bidi w:val="0"/>
        <w:spacing w:lineRule="auto" w:line="285" w:before="0" w:after="160"/>
        <w:ind w:left="0" w:right="0" w:hanging="0"/>
        <w:jc w:val="both"/>
        <w:rPr>
          <w:rFonts w:ascii="Arial;Helvetica;sans-serif" w:hAnsi="Arial;Helvetica;sans-serif"/>
          <w:sz w:val="20"/>
        </w:rPr>
      </w:pPr>
      <w:r>
        <w:rPr>
          <w:rFonts w:ascii="Arial;Helvetica;sans-serif" w:hAnsi="Arial;Helvetica;sans-serif"/>
          <w:sz w:val="20"/>
        </w:rPr>
        <w:t>Our Common Stock is listed on The Nasdaq Stock Market under the trading symbol “TTEC.”</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bookmarkStart w:id="1776" w:name="ttec-20260630xex10d1.htm"/>
      <w:bookmarkStart w:id="1777" w:name="ksttec20260630xex10d1"/>
      <w:bookmarkEnd w:id="1776"/>
      <w:bookmarkEnd w:id="1777"/>
      <w:r>
        <w:rPr/>
        <w:t>​</w:t>
      </w:r>
      <w:r>
        <w:br w:type="page"/>
      </w:r>
    </w:p>
    <w:p>
      <w:pPr>
        <w:pStyle w:val="TextBody"/>
        <w:bidi w:val="0"/>
        <w:spacing w:lineRule="auto" w:line="331" w:before="0" w:after="160"/>
        <w:ind w:left="0" w:right="0" w:hanging="0"/>
        <w:jc w:val="right"/>
        <w:rPr>
          <w:rFonts w:ascii="Aptos" w:hAnsi="Aptos"/>
          <w:b/>
          <w:sz w:val="24"/>
        </w:rPr>
      </w:pPr>
      <w:r>
        <w:rPr>
          <w:rFonts w:ascii="Aptos" w:hAnsi="Aptos"/>
          <w:b/>
          <w:sz w:val="24"/>
        </w:rPr>
        <w:t>EXHIBIT 10.1</w:t>
      </w:r>
    </w:p>
    <w:p>
      <w:pPr>
        <w:pStyle w:val="TextBody"/>
        <w:bidi w:val="0"/>
        <w:spacing w:lineRule="atLeast" w:line="273" w:before="11" w:after="0"/>
        <w:ind w:left="0" w:right="0" w:hanging="0"/>
        <w:jc w:val="center"/>
        <w:rPr>
          <w:rFonts w:ascii="Arial;Helvetica;sans-serif" w:hAnsi="Arial;Helvetica;sans-serif"/>
          <w:b/>
          <w:spacing w:val="-4"/>
          <w:sz w:val="24"/>
        </w:rPr>
      </w:pPr>
      <w:r>
        <w:rPr>
          <w:rFonts w:ascii="Arial;Helvetica;sans-serif" w:hAnsi="Arial;Helvetica;sans-serif"/>
          <w:b/>
          <w:spacing w:val="-4"/>
          <w:sz w:val="24"/>
        </w:rPr>
        <w:t xml:space="preserve">FIRST AMENDMENT TO </w:t>
      </w:r>
    </w:p>
    <w:p>
      <w:pPr>
        <w:pStyle w:val="TextBody"/>
        <w:bidi w:val="0"/>
        <w:spacing w:lineRule="atLeast" w:line="274" w:before="0" w:after="0"/>
        <w:ind w:left="0" w:right="0" w:hanging="0"/>
        <w:jc w:val="center"/>
        <w:rPr>
          <w:rFonts w:ascii="Arial;Helvetica;sans-serif" w:hAnsi="Arial;Helvetica;sans-serif"/>
          <w:b/>
          <w:sz w:val="24"/>
        </w:rPr>
      </w:pPr>
      <w:r>
        <w:rPr>
          <w:rFonts w:ascii="Arial;Helvetica;sans-serif" w:hAnsi="Arial;Helvetica;sans-serif"/>
          <w:b/>
          <w:sz w:val="24"/>
        </w:rPr>
        <w:t>EXECUTIVE EMPLOYMENT AGREEMENT</w:t>
      </w:r>
    </w:p>
    <w:p>
      <w:pPr>
        <w:pStyle w:val="TextBody"/>
        <w:bidi w:val="0"/>
        <w:spacing w:lineRule="atLeast" w:line="254" w:before="284" w:after="0"/>
        <w:ind w:left="0" w:right="0" w:hanging="0"/>
        <w:jc w:val="both"/>
        <w:rPr>
          <w:rFonts w:ascii="Arial;Helvetica;sans-serif" w:hAnsi="Arial;Helvetica;sans-serif"/>
          <w:sz w:val="20"/>
        </w:rPr>
      </w:pPr>
      <w:r>
        <w:rPr>
          <w:rFonts w:ascii="Arial;Helvetica;sans-serif" w:hAnsi="Arial;Helvetica;sans-serif"/>
          <w:sz w:val="20"/>
        </w:rPr>
        <w:t>This First Amendment (the "First Amendment") to Executive Employment Agreement by and between TTEC Services Corporation, a Nevada corporation (“TSC” or the “Company”) and a wholly owned subsidiary of TTEC Holdings, Inc., a Texas corporation (“TTEC Parent”), with its principal place of business in Austin, Texas, and John Abou ("Executive") is entered into effective as of August 5, 2026 (the "Amendment Effective Date"). The Company and Executive are each referred to herein as a "Party" and collectively as the "Parties."  Capitalized terms used in the First Amendment that are not defined in the First Amendment shall have the meanings given such terms by the Agreement (as defined below).</w:t>
      </w:r>
    </w:p>
    <w:p>
      <w:pPr>
        <w:pStyle w:val="TextBody"/>
        <w:bidi w:val="0"/>
        <w:spacing w:lineRule="atLeast" w:line="251" w:before="120" w:after="0"/>
        <w:ind w:left="0" w:right="0" w:hanging="0"/>
        <w:jc w:val="left"/>
        <w:rPr>
          <w:rFonts w:ascii="Arial;Helvetica;sans-serif" w:hAnsi="Arial;Helvetica;sans-serif"/>
          <w:b/>
          <w:spacing w:val="-3"/>
          <w:sz w:val="20"/>
        </w:rPr>
      </w:pPr>
      <w:r>
        <w:rPr>
          <w:rFonts w:ascii="Arial;Helvetica;sans-serif" w:hAnsi="Arial;Helvetica;sans-serif"/>
          <w:b/>
          <w:spacing w:val="-3"/>
          <w:sz w:val="20"/>
        </w:rPr>
        <w:t>RECITALS</w:t>
      </w:r>
    </w:p>
    <w:p>
      <w:pPr>
        <w:pStyle w:val="TextBody"/>
        <w:bidi w:val="0"/>
        <w:spacing w:lineRule="atLeast" w:line="254" w:before="120" w:after="0"/>
        <w:ind w:left="0" w:right="0" w:hanging="0"/>
        <w:jc w:val="both"/>
        <w:rPr>
          <w:rFonts w:ascii="Arial;Helvetica;sans-serif" w:hAnsi="Arial;Helvetica;sans-serif"/>
          <w:sz w:val="20"/>
        </w:rPr>
      </w:pPr>
      <w:r>
        <w:rPr>
          <w:rFonts w:ascii="Arial;Helvetica;sans-serif" w:hAnsi="Arial;Helvetica;sans-serif"/>
          <w:sz w:val="20"/>
        </w:rPr>
        <w:t>WHEREAS, the Parties entered into that certain Executive Employment Agreement, executed to be effective as of July 17, 2024 (the "Agreement"); and</w:t>
      </w:r>
    </w:p>
    <w:p>
      <w:pPr>
        <w:pStyle w:val="TextBody"/>
        <w:bidi w:val="0"/>
        <w:spacing w:lineRule="atLeast" w:line="254" w:before="120" w:after="0"/>
        <w:ind w:left="0" w:right="0" w:hanging="0"/>
        <w:jc w:val="both"/>
        <w:rPr>
          <w:rFonts w:ascii="Arial;Helvetica;sans-serif" w:hAnsi="Arial;Helvetica;sans-serif"/>
          <w:sz w:val="20"/>
        </w:rPr>
      </w:pPr>
      <w:r>
        <w:rPr>
          <w:rFonts w:ascii="Arial;Helvetica;sans-serif" w:hAnsi="Arial;Helvetica;sans-serif"/>
          <w:sz w:val="20"/>
        </w:rPr>
        <w:t>WHEREAS, the Parties desire to amend the Agreement to reflect Executive's promotion to Chief Executive Officer, TTEC Engage business segment, and to modify certain compensation, equity, termination, and governing law provisions as set forth herein;</w:t>
      </w:r>
    </w:p>
    <w:p>
      <w:pPr>
        <w:pStyle w:val="TextBody"/>
        <w:bidi w:val="0"/>
        <w:spacing w:lineRule="atLeast" w:line="254" w:before="120" w:after="120"/>
        <w:ind w:left="0" w:right="0" w:hanging="0"/>
        <w:jc w:val="both"/>
        <w:rPr>
          <w:rFonts w:ascii="Arial;Helvetica;sans-serif" w:hAnsi="Arial;Helvetica;sans-serif"/>
          <w:sz w:val="20"/>
        </w:rPr>
      </w:pPr>
      <w:r>
        <w:rPr>
          <w:rFonts w:ascii="Arial;Helvetica;sans-serif" w:hAnsi="Arial;Helvetica;sans-serif"/>
          <w:sz w:val="20"/>
        </w:rPr>
        <w:t>NOW, THEREFORE, in consideration of the mutual covenants and agreements contained herein, and for other good and valuable consideration, the receipt and sufficiency of which is hereby acknowledged, the Parties agree as follows:</w:t>
      </w:r>
    </w:p>
    <w:p>
      <w:pPr>
        <w:pStyle w:val="TextBody"/>
        <w:bidi w:val="0"/>
        <w:spacing w:lineRule="atLeast" w:line="251"/>
        <w:ind w:left="0" w:right="0" w:hanging="0"/>
        <w:jc w:val="both"/>
        <w:rPr>
          <w:rFonts w:ascii="Aptos" w:hAnsi="Aptos"/>
          <w:sz w:val="24"/>
        </w:rPr>
      </w:pPr>
      <w:r>
        <w:rPr>
          <w:rFonts w:ascii="Arial;Helvetica;sans-serif" w:hAnsi="Arial;Helvetica;sans-serif"/>
          <w:b/>
          <w:sz w:val="22"/>
        </w:rPr>
        <w:t>1.</w:t>
      </w:r>
      <w:r>
        <w:rPr>
          <w:rFonts w:ascii="Arial;Helvetica;sans-serif" w:hAnsi="Arial;Helvetica;sans-serif"/>
          <w:b/>
          <w:sz w:val="20"/>
        </w:rPr>
        <w:t>APPOINTMENT</w:t>
      </w:r>
    </w:p>
    <w:p>
      <w:pPr>
        <w:pStyle w:val="TextBody"/>
        <w:bidi w:val="0"/>
        <w:spacing w:lineRule="atLeast" w:line="254" w:before="120" w:after="0"/>
        <w:ind w:left="0" w:right="0" w:hanging="0"/>
        <w:jc w:val="both"/>
        <w:rPr>
          <w:rFonts w:ascii="Aptos" w:hAnsi="Aptos"/>
          <w:sz w:val="20"/>
        </w:rPr>
      </w:pPr>
      <w:r>
        <w:rPr>
          <w:rFonts w:ascii="Arial;Helvetica;sans-serif" w:hAnsi="Arial;Helvetica;sans-serif"/>
          <w:sz w:val="20"/>
          <w:u w:val="single"/>
        </w:rPr>
        <w:t>Section 1(a)</w:t>
      </w:r>
      <w:r>
        <w:rPr>
          <w:rFonts w:ascii="Aptos" w:hAnsi="Aptos"/>
          <w:sz w:val="20"/>
        </w:rPr>
        <w:t xml:space="preserve"> </w:t>
      </w:r>
      <w:r>
        <w:rPr>
          <w:rFonts w:ascii="Arial;Helvetica;sans-serif" w:hAnsi="Arial;Helvetica;sans-serif"/>
          <w:sz w:val="20"/>
        </w:rPr>
        <w:t>of the Agreement is hereby amended to replace all references to Executive's title of "President, TTEC Engage business segment" with "Chief Executive Officer, TTEC Engage business segment." As of the Amendment Effective Date, Executive shall serve as Chief Executive Officer, TTEC Engage business segment, and shall be vested with the relevant responsibilities to oversee the day-to-day activities of the TTEC Engage business segment, including strategy, portfolio expansion, client acquisition and success, operational execution, and overall P&amp;L for the business, in the best interest of TTEC Parent and its shareholders.</w:t>
      </w:r>
    </w:p>
    <w:p>
      <w:pPr>
        <w:pStyle w:val="TextBody"/>
        <w:bidi w:val="0"/>
        <w:spacing w:lineRule="atLeast" w:line="254" w:before="120" w:after="0"/>
        <w:ind w:left="0" w:right="0" w:hanging="0"/>
        <w:jc w:val="both"/>
        <w:rPr>
          <w:rFonts w:ascii="Aptos" w:hAnsi="Aptos"/>
          <w:sz w:val="20"/>
        </w:rPr>
      </w:pPr>
      <w:r>
        <w:rPr>
          <w:rFonts w:ascii="Arial;Helvetica;sans-serif" w:hAnsi="Arial;Helvetica;sans-serif"/>
          <w:sz w:val="20"/>
        </w:rPr>
        <w:t xml:space="preserve">In this role, Executive will report to the TTEC Parent Chief Executive Officer, or any </w:t>
      </w:r>
      <w:r>
        <w:rPr>
          <w:rFonts w:ascii="Arial;Helvetica;sans-serif" w:hAnsi="Arial;Helvetica;sans-serif"/>
          <w:spacing w:val="-1"/>
          <w:sz w:val="20"/>
        </w:rPr>
        <w:t xml:space="preserve">successor in such role, and will continue to be a member of TTEC Parent’s executive leadership </w:t>
      </w:r>
      <w:r>
        <w:rPr>
          <w:rFonts w:ascii="Arial;Helvetica;sans-serif" w:hAnsi="Arial;Helvetica;sans-serif"/>
          <w:sz w:val="20"/>
        </w:rPr>
        <w:t>team, known as the Executive Committee.</w:t>
      </w:r>
    </w:p>
    <w:p>
      <w:pPr>
        <w:pStyle w:val="TextBody"/>
        <w:bidi w:val="0"/>
        <w:spacing w:lineRule="atLeast" w:line="254" w:before="120" w:after="0"/>
        <w:ind w:left="0" w:right="0" w:hanging="0"/>
        <w:jc w:val="both"/>
        <w:rPr>
          <w:rFonts w:ascii="Aptos" w:hAnsi="Aptos"/>
          <w:sz w:val="20"/>
        </w:rPr>
      </w:pPr>
      <w:r>
        <w:rPr>
          <w:rFonts w:ascii="Arial;Helvetica;sans-serif" w:hAnsi="Arial;Helvetica;sans-serif"/>
          <w:spacing w:val="-2"/>
          <w:sz w:val="20"/>
        </w:rPr>
        <w:t xml:space="preserve">For purposes of relevant U.S. federal securities laws, Chief Executive Officer of TTEC Engage is a public company executive officer (known as a “Section 16 Officer”), subjecting Executive to all of the various compliance requirements appropriate for Section 16 Officers. Please refer TTEC </w:t>
      </w:r>
      <w:r>
        <w:rPr>
          <w:rFonts w:ascii="Arial;Helvetica;sans-serif" w:hAnsi="Arial;Helvetica;sans-serif"/>
          <w:b/>
          <w:i/>
          <w:spacing w:val="-2"/>
          <w:sz w:val="20"/>
        </w:rPr>
        <w:t xml:space="preserve">Directors and Executive Officers U.S. Securities Law Handbook </w:t>
      </w:r>
      <w:r>
        <w:rPr>
          <w:rFonts w:ascii="Arial;Helvetica;sans-serif" w:hAnsi="Arial;Helvetica;sans-serif"/>
          <w:spacing w:val="-2"/>
          <w:sz w:val="20"/>
        </w:rPr>
        <w:t>for reference.</w:t>
      </w:r>
    </w:p>
    <w:p>
      <w:pPr>
        <w:pStyle w:val="TextBody"/>
        <w:bidi w:val="0"/>
        <w:spacing w:lineRule="atLeast" w:line="251"/>
        <w:ind w:left="0" w:right="0" w:hanging="0"/>
        <w:jc w:val="both"/>
        <w:rPr>
          <w:rFonts w:ascii="Aptos" w:hAnsi="Aptos"/>
          <w:sz w:val="24"/>
        </w:rPr>
      </w:pPr>
      <w:r>
        <w:rPr>
          <w:rFonts w:ascii="Arial;Helvetica;sans-serif" w:hAnsi="Arial;Helvetica;sans-serif"/>
          <w:b/>
          <w:sz w:val="22"/>
        </w:rPr>
        <w:t>2.</w:t>
      </w:r>
      <w:r>
        <w:rPr>
          <w:rFonts w:ascii="Arial;Helvetica;sans-serif" w:hAnsi="Arial;Helvetica;sans-serif"/>
          <w:b/>
          <w:sz w:val="20"/>
        </w:rPr>
        <w:t>BASE SALARY</w:t>
      </w:r>
    </w:p>
    <w:p>
      <w:pPr>
        <w:pStyle w:val="TextBody"/>
        <w:bidi w:val="0"/>
        <w:spacing w:lineRule="atLeast" w:line="254" w:before="120" w:after="0"/>
        <w:ind w:left="0" w:right="0" w:hanging="0"/>
        <w:jc w:val="both"/>
        <w:rPr>
          <w:rFonts w:ascii="Aptos" w:hAnsi="Aptos"/>
          <w:sz w:val="20"/>
        </w:rPr>
      </w:pPr>
      <w:r>
        <w:rPr>
          <w:rFonts w:ascii="Arial;Helvetica;sans-serif" w:hAnsi="Arial;Helvetica;sans-serif"/>
          <w:sz w:val="20"/>
          <w:u w:val="single"/>
        </w:rPr>
        <w:t>Section 2(a)</w:t>
      </w:r>
      <w:r>
        <w:rPr>
          <w:rFonts w:ascii="Aptos" w:hAnsi="Aptos"/>
          <w:sz w:val="20"/>
        </w:rPr>
        <w:t xml:space="preserve"> </w:t>
      </w:r>
      <w:r>
        <w:rPr>
          <w:rFonts w:ascii="Arial;Helvetica;sans-serif" w:hAnsi="Arial;Helvetica;sans-serif"/>
          <w:sz w:val="20"/>
        </w:rPr>
        <w:t>of the Agreement is hereby amended to increase Executive's Base Salary from $600,000 to $625,000, effective as of the Amendment Effective Date.</w:t>
      </w:r>
    </w:p>
    <w:p>
      <w:pPr>
        <w:pStyle w:val="TextBody"/>
        <w:bidi w:val="0"/>
        <w:spacing w:lineRule="atLeast" w:line="251"/>
        <w:ind w:left="0" w:right="0" w:hanging="0"/>
        <w:jc w:val="both"/>
        <w:rPr>
          <w:rFonts w:ascii="Aptos" w:hAnsi="Aptos"/>
          <w:sz w:val="24"/>
        </w:rPr>
      </w:pPr>
      <w:r>
        <w:rPr>
          <w:rFonts w:ascii="Arial;Helvetica;sans-serif" w:hAnsi="Arial;Helvetica;sans-serif"/>
          <w:b/>
          <w:sz w:val="22"/>
        </w:rPr>
        <w:t>3.</w:t>
      </w:r>
      <w:r>
        <w:rPr>
          <w:rFonts w:ascii="Arial;Helvetica;sans-serif" w:hAnsi="Arial;Helvetica;sans-serif"/>
          <w:b/>
          <w:spacing w:val="-2"/>
          <w:sz w:val="20"/>
        </w:rPr>
        <w:t>VARIABLE INCENTIVE COMPENSATION</w:t>
      </w:r>
    </w:p>
    <w:p>
      <w:pPr>
        <w:pStyle w:val="TextBody"/>
        <w:bidi w:val="0"/>
        <w:spacing w:lineRule="atLeast" w:line="254" w:before="120" w:after="0"/>
        <w:ind w:left="0" w:right="0" w:hanging="0"/>
        <w:jc w:val="both"/>
        <w:rPr>
          <w:rFonts w:ascii="Aptos" w:hAnsi="Aptos"/>
          <w:sz w:val="20"/>
        </w:rPr>
      </w:pPr>
      <w:r>
        <w:rPr>
          <w:rFonts w:ascii="Arial;Helvetica;sans-serif" w:hAnsi="Arial;Helvetica;sans-serif"/>
          <w:sz w:val="20"/>
          <w:u w:val="single"/>
        </w:rPr>
        <w:t>Section 2(b)</w:t>
      </w:r>
      <w:r>
        <w:rPr>
          <w:rFonts w:ascii="Aptos" w:hAnsi="Aptos"/>
          <w:sz w:val="20"/>
        </w:rPr>
        <w:t xml:space="preserve"> </w:t>
      </w:r>
      <w:r>
        <w:rPr>
          <w:rFonts w:ascii="Arial;Helvetica;sans-serif" w:hAnsi="Arial;Helvetica;sans-serif"/>
          <w:sz w:val="20"/>
        </w:rPr>
        <w:t>of the Agreement is hereby amended to provide that Executive's annual VIP target opportunity is up to 100% of Base Salary starting with the 2026 performance year and all subsequent performance years during the term of the Agreement.</w:t>
      </w:r>
    </w:p>
    <w:p>
      <w:pPr>
        <w:pStyle w:val="TextBody"/>
        <w:bidi w:val="0"/>
        <w:spacing w:lineRule="atLeast" w:line="254" w:before="120" w:after="0"/>
        <w:ind w:left="0" w:right="0" w:hanging="0"/>
        <w:jc w:val="both"/>
        <w:rPr>
          <w:rFonts w:ascii="Arial;Helvetica;sans-serif" w:hAnsi="Arial;Helvetica;sans-serif"/>
          <w:sz w:val="20"/>
        </w:rPr>
      </w:pPr>
      <w:r>
        <w:rPr>
          <w:rFonts w:ascii="Arial;Helvetica;sans-serif" w:hAnsi="Arial;Helvetica;sans-serif"/>
          <w:sz w:val="20"/>
        </w:rPr>
        <w:t>In addition, the following guaranteed bonus provisions shall apply:</w:t>
      </w:r>
    </w:p>
    <w:p>
      <w:pPr>
        <w:pStyle w:val="TextBody"/>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1</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 xml:space="preserve">For the 2027 performance year, Executive's annual VIP payment shall be guaranteed at the greater of (i) 50% of the target bonus amount (i.e., $312,500) or (ii) the actual bonus amount earned based on the applicable performance metrics for the performance year, as determined by the TTEC Board of Directors. </w:t>
      </w:r>
    </w:p>
    <w:p>
      <w:pPr>
        <w:pStyle w:val="TextBody"/>
        <w:bidi w:val="0"/>
        <w:spacing w:lineRule="auto" w:line="285" w:before="120" w:after="0"/>
        <w:ind w:left="0" w:right="0" w:hanging="0"/>
        <w:jc w:val="both"/>
        <w:rPr>
          <w:rFonts w:ascii="Arial;Helvetica;sans-serif" w:hAnsi="Arial;Helvetica;sans-serif"/>
          <w:sz w:val="20"/>
        </w:rPr>
      </w:pPr>
      <w:r>
        <w:rPr>
          <w:rFonts w:ascii="Arial;Helvetica;sans-serif" w:hAnsi="Arial;Helvetica;sans-serif"/>
          <w:sz w:val="20"/>
        </w:rPr>
        <w:t>The 2027 VIP payment shall be payable in 2028, in each case after the Company's results of operations for the performance year have been determined and publicly released.</w:t>
      </w:r>
    </w:p>
    <w:p>
      <w:pPr>
        <w:pStyle w:val="TextBody"/>
        <w:bidi w:val="0"/>
        <w:spacing w:lineRule="auto" w:line="285" w:before="120" w:after="0"/>
        <w:ind w:left="0" w:right="0" w:hanging="0"/>
        <w:jc w:val="both"/>
        <w:rPr>
          <w:rFonts w:ascii="Aptos" w:hAnsi="Aptos"/>
          <w:sz w:val="20"/>
        </w:rPr>
      </w:pPr>
      <w:r>
        <w:rPr>
          <w:rFonts w:ascii="Arial;Helvetica;sans-serif" w:hAnsi="Arial;Helvetica;sans-serif"/>
          <w:sz w:val="20"/>
        </w:rPr>
        <w:t xml:space="preserve">All other terms and conditions of the VIP, including the timing and calculation provisions set forth in </w:t>
      </w:r>
      <w:r>
        <w:rPr>
          <w:rFonts w:ascii="Arial;Helvetica;sans-serif" w:hAnsi="Arial;Helvetica;sans-serif"/>
          <w:sz w:val="20"/>
          <w:u w:val="single"/>
        </w:rPr>
        <w:t>Section 2(d)</w:t>
      </w:r>
      <w:r>
        <w:rPr>
          <w:rFonts w:ascii="Aptos" w:hAnsi="Aptos"/>
          <w:sz w:val="20"/>
        </w:rPr>
        <w:t xml:space="preserve"> </w:t>
      </w:r>
      <w:r>
        <w:rPr>
          <w:rFonts w:ascii="Arial;Helvetica;sans-serif" w:hAnsi="Arial;Helvetica;sans-serif"/>
          <w:sz w:val="20"/>
        </w:rPr>
        <w:t>of the Agreement, shall remain unchanged.</w:t>
      </w:r>
    </w:p>
    <w:p>
      <w:pPr>
        <w:pStyle w:val="TextBody"/>
        <w:bidi w:val="0"/>
        <w:spacing w:lineRule="atLeast" w:line="249"/>
        <w:ind w:left="0" w:right="0" w:hanging="0"/>
        <w:jc w:val="both"/>
        <w:rPr>
          <w:rFonts w:ascii="Aptos" w:hAnsi="Aptos"/>
          <w:sz w:val="24"/>
        </w:rPr>
      </w:pPr>
      <w:r>
        <w:rPr>
          <w:rFonts w:ascii="Arial;Helvetica;sans-serif" w:hAnsi="Arial;Helvetica;sans-serif"/>
          <w:b/>
          <w:sz w:val="22"/>
        </w:rPr>
        <w:t>4.</w:t>
      </w:r>
      <w:r>
        <w:rPr>
          <w:rFonts w:ascii="Arial;Helvetica;sans-serif" w:hAnsi="Arial;Helvetica;sans-serif"/>
          <w:b/>
          <w:spacing w:val="-2"/>
          <w:sz w:val="20"/>
        </w:rPr>
        <w:t>EQUITY/LTIP INCENTIVE COMPENSATION</w:t>
      </w:r>
    </w:p>
    <w:p>
      <w:pPr>
        <w:pStyle w:val="TextBody"/>
        <w:bidi w:val="0"/>
        <w:spacing w:lineRule="atLeast" w:line="254" w:before="120" w:after="0"/>
        <w:ind w:left="0" w:right="0" w:hanging="0"/>
        <w:jc w:val="both"/>
        <w:rPr>
          <w:rFonts w:ascii="Aptos" w:hAnsi="Aptos"/>
          <w:sz w:val="20"/>
        </w:rPr>
      </w:pPr>
      <w:r>
        <w:rPr>
          <w:rFonts w:ascii="Arial;Helvetica;sans-serif" w:hAnsi="Arial;Helvetica;sans-serif"/>
          <w:sz w:val="20"/>
          <w:u w:val="single"/>
        </w:rPr>
        <w:t>Section 2(c)</w:t>
      </w:r>
      <w:r>
        <w:rPr>
          <w:rFonts w:ascii="Aptos" w:hAnsi="Aptos"/>
          <w:sz w:val="20"/>
        </w:rPr>
        <w:t xml:space="preserve"> </w:t>
      </w:r>
      <w:r>
        <w:rPr>
          <w:rFonts w:ascii="Arial;Helvetica;sans-serif" w:hAnsi="Arial;Helvetica;sans-serif"/>
          <w:sz w:val="20"/>
        </w:rPr>
        <w:t>of the Agreement (Equity Incentive Compensation (annual equity compensation)) is hereby deleted in its entirety and replaced with the following:</w:t>
      </w:r>
    </w:p>
    <w:p>
      <w:pPr>
        <w:pStyle w:val="TextBody"/>
        <w:bidi w:val="0"/>
        <w:spacing w:lineRule="atLeast" w:line="254" w:before="120" w:after="0"/>
        <w:ind w:left="0" w:right="0" w:hanging="0"/>
        <w:jc w:val="both"/>
        <w:rPr>
          <w:rFonts w:ascii="Aptos" w:hAnsi="Aptos"/>
          <w:sz w:val="20"/>
        </w:rPr>
      </w:pPr>
      <w:r>
        <w:rPr>
          <w:rFonts w:ascii="Arial;Helvetica;sans-serif" w:hAnsi="Arial;Helvetica;sans-serif"/>
          <w:sz w:val="20"/>
        </w:rPr>
        <w:t>"</w:t>
      </w:r>
      <w:r>
        <w:rPr>
          <w:rFonts w:ascii="Arial;Helvetica;sans-serif" w:hAnsi="Arial;Helvetica;sans-serif"/>
          <w:b/>
          <w:sz w:val="20"/>
        </w:rPr>
        <w:t xml:space="preserve">Equity Incentive Compensation. </w:t>
      </w:r>
      <w:r>
        <w:rPr>
          <w:rFonts w:ascii="Arial;Helvetica;sans-serif" w:hAnsi="Arial;Helvetica;sans-serif"/>
          <w:sz w:val="20"/>
        </w:rPr>
        <w:t>As of the Amendment Effective Date, the prior annual equity program described in the Agreement (providing for annual RSU and PRSU grants of 50% of Base Salary each) shall no longer apply to Executive. In lieu thereof, Executive shall receive the following long term incentive awards:</w:t>
      </w:r>
    </w:p>
    <w:p>
      <w:pPr>
        <w:pStyle w:val="TextBody"/>
        <w:bidi w:val="0"/>
        <w:spacing w:lineRule="atLeast" w:line="254" w:before="0" w:after="0"/>
        <w:ind w:left="0" w:right="0" w:hanging="0"/>
        <w:jc w:val="both"/>
        <w:rPr>
          <w:rFonts w:ascii="Aptos" w:hAnsi="Aptos"/>
          <w:sz w:val="24"/>
        </w:rPr>
      </w:pPr>
      <w:r>
        <w:rPr>
          <w:rFonts w:ascii="Arial;Helvetica;sans-serif" w:hAnsi="Arial;Helvetica;sans-serif"/>
          <w:sz w:val="22"/>
        </w:rPr>
        <w:t>(i)</w:t>
      </w:r>
      <w:r>
        <w:rPr>
          <w:rFonts w:ascii="Arial;Helvetica;sans-serif" w:hAnsi="Arial;Helvetica;sans-serif"/>
          <w:b/>
          <w:sz w:val="20"/>
        </w:rPr>
        <w:t xml:space="preserve">2026 RSU Award. </w:t>
      </w:r>
      <w:r>
        <w:rPr>
          <w:rFonts w:ascii="Arial;Helvetica;sans-serif" w:hAnsi="Arial;Helvetica;sans-serif"/>
          <w:sz w:val="20"/>
        </w:rPr>
        <w:t>Subject to approval of the Compensation Committee, TTEC Parent shall grant to Executive 300,000 restricted stock units (the “2026 RSUs”). The 2026 RSUs shall vest as follows: fifty percent (50%) shall vest on the twelve (12)-month anniversary of the grant date, and the remaining fifty percent (50%) shall vest on the eighteen (18)-month anniversary of the grant date, in each case subject to Executive's continued employment with the Company through the applicable vesting date.</w:t>
      </w:r>
    </w:p>
    <w:p>
      <w:pPr>
        <w:pStyle w:val="TextBody"/>
        <w:bidi w:val="0"/>
        <w:spacing w:lineRule="atLeast" w:line="254" w:before="120" w:after="0"/>
        <w:ind w:left="0" w:right="0" w:hanging="0"/>
        <w:jc w:val="both"/>
        <w:rPr>
          <w:rFonts w:ascii="Aptos" w:hAnsi="Aptos"/>
          <w:sz w:val="24"/>
        </w:rPr>
      </w:pPr>
      <w:r>
        <w:rPr>
          <w:rFonts w:ascii="Arial;Helvetica;sans-serif" w:hAnsi="Arial;Helvetica;sans-serif"/>
          <w:sz w:val="22"/>
        </w:rPr>
        <w:t>(ii)</w:t>
      </w:r>
      <w:r>
        <w:rPr>
          <w:rFonts w:ascii="Aptos" w:hAnsi="Aptos"/>
          <w:sz w:val="24"/>
        </w:rPr>
        <w:t xml:space="preserve"> </w:t>
      </w:r>
      <w:r>
        <w:rPr>
          <w:rFonts w:ascii="Arial;Helvetica;sans-serif" w:hAnsi="Arial;Helvetica;sans-serif"/>
          <w:b/>
          <w:sz w:val="20"/>
        </w:rPr>
        <w:t xml:space="preserve">2026 Performance RSU Award. </w:t>
      </w:r>
      <w:r>
        <w:rPr>
          <w:rFonts w:ascii="Arial;Helvetica;sans-serif" w:hAnsi="Arial;Helvetica;sans-serif"/>
          <w:sz w:val="20"/>
        </w:rPr>
        <w:t>Subject to approval of the Compensation Committee,</w:t>
      </w:r>
      <w:r>
        <w:rPr>
          <w:rFonts w:ascii="Aptos" w:hAnsi="Aptos"/>
          <w:sz w:val="24"/>
        </w:rPr>
        <w:t xml:space="preserve"> </w:t>
      </w:r>
      <w:r>
        <w:rPr>
          <w:rFonts w:ascii="Arial;Helvetica;sans-serif" w:hAnsi="Arial;Helvetica;sans-serif"/>
          <w:sz w:val="20"/>
        </w:rPr>
        <w:t>TTEC Parent shall grant to Executive 426,000 performance restricted stock units (the “2026 PRSUs”). The 2026 PRSUs shall be subject to the following terms:</w:t>
      </w:r>
    </w:p>
    <w:p>
      <w:pPr>
        <w:pStyle w:val="TextBody"/>
        <w:bidi w:val="0"/>
        <w:spacing w:lineRule="atLeast" w:line="254" w:before="0" w:after="120"/>
        <w:ind w:left="360" w:right="0" w:hanging="0"/>
        <w:jc w:val="both"/>
        <w:rPr/>
      </w:pPr>
      <w:r>
        <w:rPr>
          <w:rFonts w:ascii="Arial;Helvetica;sans-serif" w:hAnsi="Arial;Helvetica;sans-serif"/>
          <w:sz w:val="20"/>
        </w:rPr>
        <w:t>(A)</w:t>
      </w:r>
      <w:r>
        <w:rPr>
          <w:rFonts w:ascii="Arial;Helvetica;sans-serif" w:hAnsi="Arial;Helvetica;sans-serif"/>
          <w:b/>
          <w:spacing w:val="-3"/>
          <w:sz w:val="20"/>
        </w:rPr>
        <w:t xml:space="preserve">Performance Measure. </w:t>
      </w:r>
      <w:r>
        <w:rPr>
          <w:rFonts w:ascii="Arial;Helvetica;sans-serif" w:hAnsi="Arial;Helvetica;sans-serif"/>
          <w:spacing w:val="-3"/>
          <w:sz w:val="20"/>
        </w:rPr>
        <w:t xml:space="preserve">Except as otherwise provided in </w:t>
      </w:r>
      <w:r>
        <w:rPr>
          <w:rFonts w:ascii="Arial;Helvetica;sans-serif" w:hAnsi="Arial;Helvetica;sans-serif"/>
          <w:spacing w:val="-3"/>
          <w:sz w:val="20"/>
          <w:u w:val="single"/>
        </w:rPr>
        <w:t>Section 2(c)(ii)(C)</w:t>
      </w:r>
      <w:r>
        <w:rPr>
          <w:rFonts w:ascii="Aptos" w:hAnsi="Aptos"/>
          <w:spacing w:val="-3"/>
          <w:sz w:val="24"/>
        </w:rPr>
        <w:t xml:space="preserve"> </w:t>
      </w:r>
      <w:r>
        <w:rPr>
          <w:rFonts w:ascii="Arial;Helvetica;sans-serif" w:hAnsi="Arial;Helvetica;sans-serif"/>
          <w:spacing w:val="-3"/>
          <w:sz w:val="20"/>
        </w:rPr>
        <w:t xml:space="preserve">as revised herein, the vesting of the 2026 PRSUs shall be measured based on the TTEC Engage business segment’s adjusted EBITDA earned for fiscal year 2028 (the “PRSU Performance Period”), </w:t>
      </w:r>
      <w:r>
        <w:rPr>
          <w:rFonts w:ascii="Arial;Helvetica;sans-serif" w:hAnsi="Arial;Helvetica;sans-serif"/>
          <w:sz w:val="20"/>
        </w:rPr>
        <w:t>as publicly reported, or its substantive equivalent if TTEC Parent is no longer a publicly reporting company for fiscal year 2028</w:t>
      </w:r>
      <w:r>
        <w:rPr>
          <w:rFonts w:ascii="Arial;Helvetica;sans-serif" w:hAnsi="Arial;Helvetica;sans-serif"/>
          <w:spacing w:val="-3"/>
          <w:sz w:val="20"/>
        </w:rPr>
        <w:t xml:space="preserve">. </w:t>
      </w:r>
      <w:r>
        <w:rPr>
          <w:rFonts w:ascii="Arial;Helvetica;sans-serif" w:hAnsi="Arial;Helvetica;sans-serif"/>
          <w:sz w:val="20"/>
        </w:rPr>
        <w:t xml:space="preserve">For purposes of the PRSU vesting determination </w:t>
      </w:r>
      <w:r>
        <w:rPr>
          <w:rFonts w:ascii="Arial;Helvetica;sans-serif" w:hAnsi="Arial;Helvetica;sans-serif"/>
          <w:spacing w:val="-3"/>
          <w:sz w:val="20"/>
        </w:rPr>
        <w:t xml:space="preserve">the TTEC Engage business segment’s </w:t>
      </w:r>
      <w:r>
        <w:rPr>
          <w:rFonts w:ascii="Arial;Helvetica;sans-serif" w:hAnsi="Arial;Helvetica;sans-serif"/>
          <w:sz w:val="20"/>
        </w:rPr>
        <w:t>adjusted EBITDA target for the PRSU Performance Period shall be an amount equal to TTEC Engage business segment’s actual adjusted EBITDA for fiscal year 2026, as publicly reported or its substantive equivalent if TTEC Parent is no longer a publicly reporting company for 2026 (the “2026 Actual Adjusted EBITDA”) compounded at an annual growth rate of 10% over each of  fiscal year 2027 and 2028</w:t>
      </w:r>
      <w:hyperlink w:anchor="footnote-2">
        <w:r>
          <w:rPr>
            <w:rStyle w:val="InternetLink"/>
            <w:rFonts w:ascii="Aptos" w:hAnsi="Aptos"/>
            <w:sz w:val="18"/>
          </w:rPr>
          <w:t>1</w:t>
        </w:r>
      </w:hyperlink>
      <w:r>
        <w:rPr>
          <w:rFonts w:ascii="Aptos" w:hAnsi="Aptos"/>
          <w:sz w:val="24"/>
        </w:rPr>
        <w:t xml:space="preserve"> </w:t>
      </w:r>
      <w:r>
        <w:rPr>
          <w:rFonts w:ascii="Arial;Helvetica;sans-serif" w:hAnsi="Arial;Helvetica;sans-serif"/>
          <w:sz w:val="20"/>
        </w:rPr>
        <w:t xml:space="preserve">(the “EBITDA Target”). </w:t>
      </w:r>
    </w:p>
    <w:p>
      <w:pPr>
        <w:pStyle w:val="TextBody"/>
        <w:bidi w:val="0"/>
        <w:spacing w:lineRule="atLeast" w:line="254"/>
        <w:ind w:left="360" w:right="0" w:hanging="0"/>
        <w:jc w:val="both"/>
        <w:rPr>
          <w:rFonts w:ascii="Aptos" w:hAnsi="Aptos"/>
          <w:sz w:val="24"/>
        </w:rPr>
      </w:pPr>
      <w:r>
        <w:rPr>
          <w:rFonts w:ascii="Arial;Helvetica;sans-serif" w:hAnsi="Arial;Helvetica;sans-serif"/>
          <w:sz w:val="20"/>
        </w:rPr>
        <w:t>(B)</w:t>
      </w:r>
      <w:r>
        <w:rPr>
          <w:rFonts w:ascii="Arial;Helvetica;sans-serif" w:hAnsi="Arial;Helvetica;sans-serif"/>
          <w:b/>
          <w:sz w:val="20"/>
        </w:rPr>
        <w:t xml:space="preserve">Vesting. </w:t>
      </w:r>
      <w:r>
        <w:rPr>
          <w:rFonts w:ascii="Arial;Helvetica;sans-serif" w:hAnsi="Arial;Helvetica;sans-serif"/>
          <w:sz w:val="20"/>
        </w:rPr>
        <w:t xml:space="preserve">Except as otherwise provided in </w:t>
      </w:r>
      <w:r>
        <w:rPr>
          <w:rFonts w:ascii="Arial;Helvetica;sans-serif" w:hAnsi="Arial;Helvetica;sans-serif"/>
          <w:sz w:val="20"/>
          <w:u w:val="single"/>
        </w:rPr>
        <w:t>Section 2(c)(ii)(C</w:t>
      </w:r>
      <w:r>
        <w:rPr>
          <w:rFonts w:ascii="Arial;Helvetica;sans-serif" w:hAnsi="Arial;Helvetica;sans-serif"/>
          <w:sz w:val="20"/>
        </w:rPr>
        <w:t>) as revised herein, the 2026 Performance RSUs shall vest following the conclusion of the PRSU Performance Period as follows:</w:t>
      </w:r>
    </w:p>
    <w:p>
      <w:pPr>
        <w:pStyle w:val="TextBody"/>
        <w:pBdr/>
        <w:bidi w:val="0"/>
        <w:spacing w:lineRule="auto" w:line="285" w:before="120" w:after="0"/>
        <w:ind w:left="720" w:right="0" w:hanging="360"/>
        <w:jc w:val="both"/>
        <w:rPr>
          <w:rFonts w:ascii="Aptos" w:hAnsi="Aptos"/>
          <w:sz w:val="20"/>
        </w:rPr>
      </w:pPr>
      <w:r>
        <w:rPr>
          <w:rFonts w:ascii="Arial;Helvetica;sans-serif" w:hAnsi="Arial;Helvetica;sans-serif"/>
          <w:sz w:val="20"/>
        </w:rPr>
        <w:t xml:space="preserve">(w) </w:t>
      </w:r>
      <w:r>
        <w:rPr>
          <w:rFonts w:ascii="Arial;Helvetica;sans-serif" w:hAnsi="Arial;Helvetica;sans-serif"/>
          <w:b/>
          <w:sz w:val="20"/>
        </w:rPr>
        <w:t>Threshold</w:t>
      </w:r>
      <w:r>
        <w:rPr>
          <w:rFonts w:ascii="Arial;Helvetica;sans-serif" w:hAnsi="Arial;Helvetica;sans-serif"/>
          <w:sz w:val="20"/>
        </w:rPr>
        <w:t xml:space="preserve">: If the TTEC Engage business segment’s adjusted EBITDA for the PRSU Performance Period is below </w:t>
      </w:r>
      <w:r>
        <w:rPr>
          <w:rFonts w:ascii="Arial;Helvetica;sans-serif" w:hAnsi="Arial;Helvetica;sans-serif"/>
          <w:sz w:val="20"/>
          <w:u w:val="single"/>
        </w:rPr>
        <w:t>an amount equal to 92.6% of the EBITDA Target</w:t>
      </w:r>
      <w:r>
        <w:rPr>
          <w:rFonts w:ascii="Aptos" w:hAnsi="Aptos"/>
          <w:sz w:val="20"/>
        </w:rPr>
        <w:t xml:space="preserve"> </w:t>
      </w:r>
      <w:r>
        <w:rPr>
          <w:rFonts w:ascii="Arial;Helvetica;sans-serif" w:hAnsi="Arial;Helvetica;sans-serif"/>
          <w:sz w:val="20"/>
        </w:rPr>
        <w:t>(the “Threshold”), the 2026 Performance RSUs shall be forfeited in their entirety.</w:t>
      </w:r>
    </w:p>
    <w:p>
      <w:pPr>
        <w:pStyle w:val="TextBody"/>
        <w:pBdr/>
        <w:bidi w:val="0"/>
        <w:spacing w:lineRule="auto" w:line="285" w:before="120" w:after="0"/>
        <w:ind w:left="720" w:right="0" w:hanging="360"/>
        <w:jc w:val="both"/>
        <w:rPr>
          <w:rFonts w:ascii="Aptos" w:hAnsi="Aptos"/>
          <w:sz w:val="20"/>
        </w:rPr>
      </w:pPr>
      <w:r>
        <w:rPr>
          <w:rFonts w:ascii="Arial;Helvetica;sans-serif" w:hAnsi="Arial;Helvetica;sans-serif"/>
          <w:sz w:val="20"/>
        </w:rPr>
        <w:t xml:space="preserve">(x) </w:t>
      </w:r>
      <w:r>
        <w:rPr>
          <w:rFonts w:ascii="Arial;Helvetica;sans-serif" w:hAnsi="Arial;Helvetica;sans-serif"/>
          <w:b/>
          <w:sz w:val="20"/>
        </w:rPr>
        <w:t>Threshold Tier:</w:t>
      </w:r>
      <w:r>
        <w:rPr>
          <w:rFonts w:ascii="Aptos" w:hAnsi="Aptos"/>
          <w:sz w:val="20"/>
        </w:rPr>
        <w:t xml:space="preserve"> </w:t>
      </w:r>
      <w:r>
        <w:rPr>
          <w:rFonts w:ascii="Arial;Helvetica;sans-serif" w:hAnsi="Arial;Helvetica;sans-serif"/>
          <w:sz w:val="20"/>
        </w:rPr>
        <w:t>If the TTEC Engage business segment’s adjusted EBITDA for the PRSU Performance Period equals the Threshold, 50% of the 2026 Performance RSUs shall vest and the remaining PRSUs shall be forfeited in their entirety.</w:t>
      </w:r>
    </w:p>
    <w:p>
      <w:pPr>
        <w:pStyle w:val="TextBody"/>
        <w:pBdr/>
        <w:bidi w:val="0"/>
        <w:spacing w:lineRule="auto" w:line="285" w:before="120" w:after="0"/>
        <w:ind w:left="720" w:right="0" w:hanging="360"/>
        <w:jc w:val="both"/>
        <w:rPr>
          <w:rFonts w:ascii="Aptos" w:hAnsi="Aptos"/>
          <w:sz w:val="20"/>
        </w:rPr>
      </w:pPr>
      <w:r>
        <w:rPr>
          <w:rFonts w:ascii="Arial;Helvetica;sans-serif" w:hAnsi="Arial;Helvetica;sans-serif"/>
          <w:sz w:val="20"/>
        </w:rPr>
        <w:t xml:space="preserve">(y) </w:t>
      </w:r>
      <w:r>
        <w:rPr>
          <w:rFonts w:ascii="Arial;Helvetica;sans-serif" w:hAnsi="Arial;Helvetica;sans-serif"/>
          <w:b/>
          <w:sz w:val="20"/>
        </w:rPr>
        <w:t>Target Tier:</w:t>
      </w:r>
      <w:r>
        <w:rPr>
          <w:rFonts w:ascii="Aptos" w:hAnsi="Aptos"/>
          <w:sz w:val="20"/>
        </w:rPr>
        <w:t xml:space="preserve"> </w:t>
      </w:r>
      <w:r>
        <w:rPr>
          <w:rFonts w:ascii="Arial;Helvetica;sans-serif" w:hAnsi="Arial;Helvetica;sans-serif"/>
          <w:sz w:val="20"/>
        </w:rPr>
        <w:t>If the TTEC Engage business segment’s adjusted EBITDA for the PRSU Performance Period equals or exceeds EBITDA Target, 100% of the 2026 Performance RSUs shall vest.</w:t>
      </w:r>
    </w:p>
    <w:p>
      <w:pPr>
        <w:pStyle w:val="TextBody"/>
        <w:bidi w:val="0"/>
        <w:spacing w:lineRule="auto" w:line="285" w:before="0" w:after="0"/>
        <w:ind w:left="0" w:right="0" w:hanging="0"/>
        <w:jc w:val="left"/>
        <w:rPr>
          <w:rFonts w:ascii="Times New Roman;Times;serif" w:hAnsi="Times New Roman;Times;serif"/>
          <w:sz w:val="20"/>
        </w:rPr>
      </w:pPr>
      <w:bookmarkStart w:id="1778" w:name="footnote-2"/>
      <w:bookmarkEnd w:id="1778"/>
      <w:r>
        <w:rPr>
          <w:rFonts w:ascii="Arial;Helvetica;sans-serif" w:hAnsi="Arial;Helvetica;sans-serif"/>
          <w:sz w:val="15"/>
        </w:rPr>
        <w:t>1</w:t>
      </w:r>
      <w:r>
        <w:rPr>
          <w:rFonts w:ascii="Times New Roman;Times;serif" w:hAnsi="Times New Roman;Times;serif"/>
          <w:sz w:val="20"/>
        </w:rPr>
        <w:t xml:space="preserve"> </w:t>
      </w:r>
      <w:r>
        <w:rPr>
          <w:rFonts w:ascii="Arial;Helvetica;sans-serif" w:hAnsi="Arial;Helvetica;sans-serif"/>
          <w:sz w:val="20"/>
        </w:rPr>
        <w:t>For clarification calculated as follows - EBITDA Target = 2026 Actual Adjusted EBITDA x (1.1)</w:t>
      </w:r>
      <w:r>
        <w:rPr>
          <w:rFonts w:ascii="Arial;Helvetica;sans-serif" w:hAnsi="Arial;Helvetica;sans-serif"/>
          <w:sz w:val="15"/>
        </w:rPr>
        <w:t>2</w:t>
      </w:r>
      <w:r>
        <w:rPr>
          <w:rFonts w:ascii="Arial;Helvetica;sans-serif" w:hAnsi="Arial;Helvetica;sans-serif"/>
          <w:sz w:val="20"/>
        </w:rPr>
        <w:t>.</w:t>
      </w:r>
    </w:p>
    <w:p>
      <w:pPr>
        <w:pStyle w:val="TextBody"/>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2</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360"/>
        <w:jc w:val="both"/>
        <w:rPr>
          <w:rFonts w:ascii="Aptos" w:hAnsi="Aptos"/>
          <w:sz w:val="20"/>
        </w:rPr>
      </w:pPr>
      <w:r>
        <w:rPr>
          <w:rFonts w:ascii="Arial;Helvetica;sans-serif" w:hAnsi="Arial;Helvetica;sans-serif"/>
          <w:sz w:val="20"/>
        </w:rPr>
        <w:t xml:space="preserve">(z) </w:t>
      </w:r>
      <w:r>
        <w:rPr>
          <w:rFonts w:ascii="Arial;Helvetica;sans-serif" w:hAnsi="Arial;Helvetica;sans-serif"/>
          <w:b/>
          <w:sz w:val="20"/>
        </w:rPr>
        <w:t>Linear Interpolation:</w:t>
      </w:r>
      <w:r>
        <w:rPr>
          <w:rFonts w:ascii="Aptos" w:hAnsi="Aptos"/>
          <w:sz w:val="20"/>
        </w:rPr>
        <w:t xml:space="preserve"> </w:t>
      </w:r>
      <w:r>
        <w:rPr>
          <w:rFonts w:ascii="Arial;Helvetica;sans-serif" w:hAnsi="Arial;Helvetica;sans-serif"/>
          <w:sz w:val="20"/>
        </w:rPr>
        <w:t>If the TTEC Engage business segment’s adjusted EBITDA for the PRSU Performance Period falls anywhere above Threshold but below Target, the portion of 2026 Performance RSUs that shall vest will be determined by linear interpolation, based on the actual adjusted EBITDA achieved. For the avoidance of doubt, no interpolation shall apply if the adjusted EBITDA for the 2026 PRSU Performance Period is below the Threshold, and vesting shall not exceed 100% of the 2026 Performance RSUs regardless of the extent to which the EBITDA Target is exceeded.</w:t>
      </w:r>
    </w:p>
    <w:p>
      <w:pPr>
        <w:pStyle w:val="TextBody"/>
        <w:pBdr/>
        <w:bidi w:val="0"/>
        <w:spacing w:lineRule="auto" w:line="285" w:before="120" w:after="0"/>
        <w:ind w:left="720" w:right="0" w:hanging="360"/>
        <w:jc w:val="both"/>
        <w:rPr>
          <w:rFonts w:ascii="Aptos" w:hAnsi="Aptos"/>
          <w:sz w:val="20"/>
        </w:rPr>
      </w:pPr>
      <w:r>
        <w:rPr>
          <w:rFonts w:ascii="Arial;Helvetica;sans-serif" w:hAnsi="Arial;Helvetica;sans-serif"/>
          <w:sz w:val="20"/>
        </w:rPr>
        <w:t xml:space="preserve">(aa) </w:t>
      </w:r>
      <w:r>
        <w:rPr>
          <w:rFonts w:ascii="Arial;Helvetica;sans-serif" w:hAnsi="Arial;Helvetica;sans-serif"/>
          <w:b/>
          <w:sz w:val="20"/>
        </w:rPr>
        <w:t>Threshold Adjustment</w:t>
      </w:r>
      <w:r>
        <w:rPr>
          <w:rFonts w:ascii="Arial;Helvetica;sans-serif" w:hAnsi="Arial;Helvetica;sans-serif"/>
          <w:sz w:val="20"/>
        </w:rPr>
        <w:t>. The Compensation Committee may, at its discretion, adjust the Threshold level to enable a partial or full vesting of 2026 PRSU award at a lower EBITDA level for the 2026 PRSU Performance Period, if in its view market or company circumstances outside of Executive’s control materially impacted TTEC Engage’s ability to achieve EBITDA performance targets.  </w:t>
      </w:r>
    </w:p>
    <w:p>
      <w:pPr>
        <w:pStyle w:val="TextBody"/>
        <w:bidi w:val="0"/>
        <w:spacing w:lineRule="auto" w:line="285" w:before="120" w:after="120"/>
        <w:ind w:left="0" w:right="0" w:hanging="0"/>
        <w:jc w:val="both"/>
        <w:rPr>
          <w:rFonts w:ascii="Arial;Helvetica;sans-serif" w:hAnsi="Arial;Helvetica;sans-serif"/>
          <w:sz w:val="20"/>
        </w:rPr>
      </w:pPr>
      <w:r>
        <w:rPr>
          <w:rFonts w:ascii="Arial;Helvetica;sans-serif" w:hAnsi="Arial;Helvetica;sans-serif"/>
          <w:sz w:val="20"/>
        </w:rPr>
        <w:t xml:space="preserve">The final value of the 2026 PRSU Award will be determined and paid on April 30, 2029 provided the Executive continues to be employed by the Company on that date and shall be based on final audited and publicly released results of operations of the Company for the PRSU Performance Period. </w:t>
      </w:r>
    </w:p>
    <w:p>
      <w:pPr>
        <w:pStyle w:val="TextBody"/>
        <w:bidi w:val="0"/>
        <w:spacing w:lineRule="atLeast" w:line="254" w:before="0" w:after="0"/>
        <w:ind w:left="360" w:right="0" w:hanging="0"/>
        <w:jc w:val="both"/>
        <w:rPr>
          <w:rFonts w:ascii="Aptos" w:hAnsi="Aptos"/>
          <w:sz w:val="24"/>
        </w:rPr>
      </w:pPr>
      <w:r>
        <w:rPr>
          <w:rFonts w:ascii="Arial;Helvetica;sans-serif" w:hAnsi="Arial;Helvetica;sans-serif"/>
          <w:sz w:val="20"/>
        </w:rPr>
        <w:t>(C)</w:t>
      </w:r>
      <w:r>
        <w:rPr>
          <w:rFonts w:ascii="Arial;Helvetica;sans-serif" w:hAnsi="Arial;Helvetica;sans-serif"/>
          <w:b/>
          <w:sz w:val="20"/>
        </w:rPr>
        <w:t xml:space="preserve">Change in Control Triggered PRSU to RSU Conversion. </w:t>
      </w:r>
      <w:r>
        <w:rPr>
          <w:rFonts w:ascii="Arial;Helvetica;sans-serif" w:hAnsi="Arial;Helvetica;sans-serif"/>
          <w:sz w:val="20"/>
        </w:rPr>
        <w:t xml:space="preserve">For purposes of this provision of the First Amendment only, the definition of the Change in Control (CIC) in Section 4 of the Agreement shall be restated to exclude Section 4(e) on Board Composition as CIC trigger.  If a CIC event (as defined in Section 4 of the Agreement as amended herein) occurs prior to December 31, 2028, the 2026 PRSU performance conditions shall be deemed satisfied at the EBITDA Target level and the 2026 PRSUs shall convert to time-based restricted stock units, vesting on April 30, 2029, provided Executive continues to be employed by the Company (or successor) on that date. </w:t>
      </w:r>
    </w:p>
    <w:p>
      <w:pPr>
        <w:pStyle w:val="TextBody"/>
        <w:bidi w:val="0"/>
        <w:spacing w:lineRule="atLeast" w:line="254" w:before="120" w:after="283"/>
        <w:ind w:left="360" w:right="0" w:hanging="0"/>
        <w:jc w:val="both"/>
        <w:rPr>
          <w:rFonts w:ascii="Aptos" w:hAnsi="Aptos"/>
          <w:sz w:val="24"/>
        </w:rPr>
      </w:pPr>
      <w:r>
        <w:rPr>
          <w:rFonts w:ascii="Arial;Helvetica;sans-serif" w:hAnsi="Arial;Helvetica;sans-serif"/>
          <w:sz w:val="20"/>
        </w:rPr>
        <w:t>(D)</w:t>
      </w:r>
      <w:r>
        <w:rPr>
          <w:rFonts w:ascii="Arial;Helvetica;sans-serif" w:hAnsi="Arial;Helvetica;sans-serif"/>
          <w:b/>
          <w:sz w:val="20"/>
        </w:rPr>
        <w:t xml:space="preserve">Termination in Connection with a CIC Transaction. </w:t>
      </w:r>
      <w:r>
        <w:rPr>
          <w:rFonts w:ascii="Arial;Helvetica;sans-serif" w:hAnsi="Arial;Helvetica;sans-serif"/>
          <w:sz w:val="20"/>
        </w:rPr>
        <w:t>If Executive's employment is terminated without Cause or Executive resigns for Good Reason as defined in the Agreement within the CIC Period as that term is defined in Section 5(h) of the Agreement, as amended herein (see Section 6 of the First Amendment), all unvested 2026 RSUs and 2026 Performance RSUs (or the time-based RSUs resulting from a conversion of the 2026 PRSUs under subparagraph (C) above) shall vest in full immediately upon such termination or resignation.</w:t>
      </w:r>
    </w:p>
    <w:p>
      <w:pPr>
        <w:pStyle w:val="TextBody"/>
        <w:bidi w:val="0"/>
        <w:spacing w:lineRule="atLeast" w:line="254" w:before="120" w:after="0"/>
        <w:ind w:left="0" w:right="0" w:hanging="0"/>
        <w:jc w:val="both"/>
        <w:rPr>
          <w:rFonts w:ascii="Arial;Helvetica;sans-serif" w:hAnsi="Arial;Helvetica;sans-serif"/>
          <w:sz w:val="20"/>
        </w:rPr>
      </w:pPr>
      <w:r>
        <w:rPr>
          <w:rFonts w:ascii="Arial;Helvetica;sans-serif" w:hAnsi="Arial;Helvetica;sans-serif"/>
          <w:sz w:val="20"/>
        </w:rPr>
        <w:t xml:space="preserve">The 2026 RSUs and 2026 Performance RSUs shall be granted under the terms of grant-specific Equity Agreements approved by the Compensation Committee. </w:t>
      </w:r>
    </w:p>
    <w:p>
      <w:pPr>
        <w:pStyle w:val="TextBody"/>
        <w:bidi w:val="0"/>
        <w:spacing w:lineRule="atLeast" w:line="254" w:before="120" w:after="0"/>
        <w:ind w:left="0" w:right="0" w:hanging="0"/>
        <w:jc w:val="both"/>
        <w:rPr>
          <w:rFonts w:ascii="Aptos" w:hAnsi="Aptos"/>
          <w:sz w:val="20"/>
        </w:rPr>
      </w:pPr>
      <w:r>
        <w:rPr>
          <w:rFonts w:ascii="Arial;Helvetica;sans-serif" w:hAnsi="Arial;Helvetica;sans-serif"/>
          <w:spacing w:val="-2"/>
          <w:sz w:val="20"/>
        </w:rPr>
        <w:t>(iii)</w:t>
      </w:r>
      <w:r>
        <w:rPr>
          <w:rFonts w:ascii="Aptos" w:hAnsi="Aptos"/>
          <w:spacing w:val="-2"/>
          <w:sz w:val="20"/>
        </w:rPr>
        <w:t xml:space="preserve"> </w:t>
      </w:r>
      <w:r>
        <w:rPr>
          <w:rFonts w:ascii="Arial;Helvetica;sans-serif" w:hAnsi="Arial;Helvetica;sans-serif"/>
          <w:b/>
          <w:spacing w:val="-2"/>
          <w:sz w:val="20"/>
        </w:rPr>
        <w:t xml:space="preserve">Long-Term Incentive Program (2027 and Thereafter). </w:t>
      </w:r>
      <w:r>
        <w:rPr>
          <w:rFonts w:ascii="Arial;Helvetica;sans-serif" w:hAnsi="Arial;Helvetica;sans-serif"/>
          <w:spacing w:val="-2"/>
          <w:sz w:val="20"/>
        </w:rPr>
        <w:t xml:space="preserve">Commencing with the 2027 and for all subsequent periods during the term of the Agreement, Executive shall be eligible to participate in a long-term incentive program (the “LTIP”) with a target opportunity equal to up to 100% of his Base Salary. </w:t>
      </w:r>
    </w:p>
    <w:p>
      <w:pPr>
        <w:pStyle w:val="TextBody"/>
        <w:bidi w:val="0"/>
        <w:spacing w:lineRule="atLeast" w:line="254" w:before="120" w:after="120"/>
        <w:ind w:left="0" w:right="0" w:hanging="0"/>
        <w:jc w:val="both"/>
        <w:rPr>
          <w:rFonts w:ascii="Arial;Helvetica;sans-serif" w:hAnsi="Arial;Helvetica;sans-serif"/>
          <w:spacing w:val="-2"/>
          <w:sz w:val="20"/>
        </w:rPr>
      </w:pPr>
      <w:r>
        <w:rPr>
          <w:rFonts w:ascii="Arial;Helvetica;sans-serif" w:hAnsi="Arial;Helvetica;sans-serif"/>
          <w:spacing w:val="-2"/>
          <w:sz w:val="20"/>
        </w:rPr>
        <w:t>The performance metrics applicable to the LTIP shall be established from time to time by the Chief Executive Officer of TTEC Parent and the Board of Directors of TTEC Parent. The LTIP may be structured and settled in the form of equity awards, cash, or a combination thereof, as determined, in the sole discretion, of the Board of Directors of TTEC Parent. All LTIP awards shall be subject to the terms and conditions of grant-specific agreements that are approved by the TTEC Parent Board of Directors from time to time (“LTIP Agreements”). TTEC Parent and the Board reserve the right, at their discretion, to change the terms of future LTIP Agreements and the equity granted thereunder. The LTIP program and the use of the RSUs and PRSUs as part of the annual grant is discretionary and may be substituted, at the discretion of the Board, for other instruments, including cash, in accordance with incentive compensation plans adopted by TTEC Parent from time to time.</w:t>
      </w:r>
    </w:p>
    <w:p>
      <w:pPr>
        <w:pStyle w:val="TextBody"/>
        <w:bidi w:val="0"/>
        <w:spacing w:lineRule="atLeast" w:line="254" w:before="120" w:after="120"/>
        <w:ind w:left="0" w:right="0" w:hanging="0"/>
        <w:jc w:val="both"/>
        <w:rPr>
          <w:rFonts w:ascii="Aptos" w:hAnsi="Aptos"/>
          <w:sz w:val="20"/>
        </w:rPr>
      </w:pPr>
      <w:r>
        <w:rPr>
          <w:rFonts w:ascii="Arial;Helvetica;sans-serif" w:hAnsi="Arial;Helvetica;sans-serif"/>
          <w:sz w:val="20"/>
        </w:rPr>
        <w:t xml:space="preserve">All equity grants remain subject to the </w:t>
      </w:r>
      <w:r>
        <w:rPr>
          <w:rFonts w:ascii="Arial;Helvetica;sans-serif" w:hAnsi="Arial;Helvetica;sans-serif"/>
          <w:b/>
          <w:sz w:val="20"/>
        </w:rPr>
        <w:t>Executive Stock Ownership Guidelines</w:t>
      </w:r>
      <w:r>
        <w:rPr>
          <w:rFonts w:ascii="Aptos" w:hAnsi="Aptos"/>
          <w:sz w:val="20"/>
        </w:rPr>
        <w:t xml:space="preserve"> </w:t>
      </w:r>
      <w:r>
        <w:rPr>
          <w:rFonts w:ascii="Arial;Helvetica;sans-serif" w:hAnsi="Arial;Helvetica;sans-serif"/>
          <w:sz w:val="20"/>
        </w:rPr>
        <w:t xml:space="preserve">set forth in </w:t>
      </w:r>
      <w:r>
        <w:rPr>
          <w:rFonts w:ascii="Arial;Helvetica;sans-serif" w:hAnsi="Arial;Helvetica;sans-serif"/>
          <w:sz w:val="20"/>
          <w:u w:val="single"/>
        </w:rPr>
        <w:t>Exhibit D</w:t>
      </w:r>
      <w:r>
        <w:rPr>
          <w:rFonts w:ascii="Aptos" w:hAnsi="Aptos"/>
          <w:sz w:val="20"/>
        </w:rPr>
        <w:t xml:space="preserve"> </w:t>
      </w:r>
      <w:r>
        <w:rPr>
          <w:rFonts w:ascii="Arial;Helvetica;sans-serif" w:hAnsi="Arial;Helvetica;sans-serif"/>
          <w:sz w:val="20"/>
        </w:rPr>
        <w:t>to the Agreement."</w:t>
      </w:r>
    </w:p>
    <w:p>
      <w:pPr>
        <w:pStyle w:val="TextBody"/>
        <w:bidi w:val="0"/>
        <w:spacing w:lineRule="atLeast" w:line="228" w:before="120" w:after="0"/>
        <w:ind w:left="0" w:right="0" w:hanging="0"/>
        <w:jc w:val="both"/>
        <w:rPr>
          <w:rFonts w:ascii="Aptos" w:hAnsi="Aptos"/>
          <w:sz w:val="20"/>
        </w:rPr>
      </w:pPr>
      <w:r>
        <w:rPr>
          <w:rFonts w:ascii="Arial;Helvetica;sans-serif" w:hAnsi="Arial;Helvetica;sans-serif"/>
          <w:b/>
          <w:sz w:val="20"/>
        </w:rPr>
        <w:t xml:space="preserve">5. </w:t>
      </w:r>
      <w:r>
        <w:rPr>
          <w:rFonts w:ascii="Arial;Helvetica;sans-serif" w:hAnsi="Arial;Helvetica;sans-serif"/>
          <w:b/>
          <w:caps/>
          <w:sz w:val="20"/>
        </w:rPr>
        <w:t>Incentive Award Size Determination and Payment Timing</w:t>
      </w:r>
      <w:r>
        <w:rPr>
          <w:rFonts w:ascii="Arial;Helvetica;sans-serif" w:hAnsi="Arial;Helvetica;sans-serif"/>
          <w:b/>
          <w:sz w:val="20"/>
        </w:rPr>
        <w:t>.</w:t>
      </w:r>
      <w:r>
        <w:rPr>
          <w:rFonts w:ascii="Aptos" w:hAnsi="Aptos"/>
          <w:sz w:val="20"/>
        </w:rPr>
        <w:t xml:space="preserve"> </w:t>
      </w:r>
    </w:p>
    <w:p>
      <w:pPr>
        <w:pStyle w:val="TextBody"/>
        <w:bidi w:val="0"/>
        <w:spacing w:lineRule="atLeast" w:line="228" w:before="120" w:after="0"/>
        <w:ind w:left="0" w:right="0" w:hanging="0"/>
        <w:jc w:val="both"/>
        <w:rPr>
          <w:rFonts w:ascii="Arial;Helvetica;sans-serif" w:hAnsi="Arial;Helvetica;sans-serif"/>
          <w:sz w:val="20"/>
        </w:rPr>
      </w:pPr>
      <w:r>
        <w:rPr>
          <w:rFonts w:ascii="Arial;Helvetica;sans-serif" w:hAnsi="Arial;Helvetica;sans-serif"/>
          <w:sz w:val="20"/>
        </w:rPr>
        <w:t>Section 2(d) of the Agreement is hereby amended to replace the reference to “Equity” with “LTIP”.</w:t>
      </w:r>
    </w:p>
    <w:p>
      <w:pPr>
        <w:pStyle w:val="TextBody"/>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3</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tLeast" w:line="228" w:before="0" w:after="0"/>
        <w:ind w:left="0" w:right="0" w:hanging="0"/>
        <w:jc w:val="both"/>
        <w:rPr>
          <w:rFonts w:ascii="Aptos" w:hAnsi="Aptos"/>
          <w:sz w:val="20"/>
        </w:rPr>
      </w:pPr>
      <w:r>
        <w:rPr>
          <w:rFonts w:ascii="Arial;Helvetica;sans-serif" w:hAnsi="Arial;Helvetica;sans-serif"/>
          <w:b/>
          <w:sz w:val="20"/>
        </w:rPr>
        <w:t xml:space="preserve">6. TERMINATION. </w:t>
      </w:r>
      <w:r>
        <w:rPr>
          <w:rFonts w:ascii="Arial;Helvetica;sans-serif" w:hAnsi="Arial;Helvetica;sans-serif"/>
          <w:sz w:val="20"/>
          <w:u w:val="single"/>
        </w:rPr>
        <w:t>Section 5(a)</w:t>
      </w:r>
      <w:r>
        <w:rPr>
          <w:rFonts w:ascii="Aptos" w:hAnsi="Aptos"/>
          <w:sz w:val="20"/>
        </w:rPr>
        <w:t xml:space="preserve"> </w:t>
      </w:r>
      <w:r>
        <w:rPr>
          <w:rFonts w:ascii="Arial;Helvetica;sans-serif" w:hAnsi="Arial;Helvetica;sans-serif"/>
          <w:sz w:val="20"/>
        </w:rPr>
        <w:t>of the Agreement (Termination by Executive) is hereby amended by replacing the reference to "ninety (90) days' written notice" with "one hundred and twenty (120) days' written notice." As amended, Section 5(a) shall read in relevant part: "The Executive may terminate his employment with the Company with one hundred and twenty (120) days' written notice of his intention." All other terms of Section 5(a) shall remain unchanged.</w:t>
      </w:r>
    </w:p>
    <w:p>
      <w:pPr>
        <w:pStyle w:val="TextBody"/>
        <w:bidi w:val="0"/>
        <w:spacing w:lineRule="auto" w:line="285" w:before="120" w:after="120"/>
        <w:ind w:left="0" w:right="0" w:hanging="0"/>
        <w:jc w:val="both"/>
        <w:rPr>
          <w:rFonts w:ascii="Aptos" w:hAnsi="Aptos"/>
          <w:sz w:val="20"/>
        </w:rPr>
      </w:pPr>
      <w:r>
        <w:rPr>
          <w:rFonts w:ascii="Arial;Helvetica;sans-serif" w:hAnsi="Arial;Helvetica;sans-serif"/>
          <w:sz w:val="20"/>
        </w:rPr>
        <w:t xml:space="preserve">Section 5(h) of the Agreement (Termination due to CIC event) is hereby amended to modify the definition of the “COC Period” as follows: “any time within three (3) months before and twenty-four (24) months after such Change in Control event’s effective date (“CIC Period”).”   The change of terminology from “COC” which stands for “change </w:t>
      </w:r>
      <w:r>
        <w:rPr>
          <w:rFonts w:ascii="Arial;Helvetica;sans-serif" w:hAnsi="Arial;Helvetica;sans-serif"/>
          <w:i/>
          <w:sz w:val="20"/>
        </w:rPr>
        <w:t xml:space="preserve">of </w:t>
      </w:r>
      <w:r>
        <w:rPr>
          <w:rFonts w:ascii="Arial;Helvetica;sans-serif" w:hAnsi="Arial;Helvetica;sans-serif"/>
          <w:sz w:val="20"/>
        </w:rPr>
        <w:t xml:space="preserve">control” to “CIC” which stands for “change </w:t>
      </w:r>
      <w:r>
        <w:rPr>
          <w:rFonts w:ascii="Arial;Helvetica;sans-serif" w:hAnsi="Arial;Helvetica;sans-serif"/>
          <w:i/>
          <w:sz w:val="20"/>
        </w:rPr>
        <w:t xml:space="preserve">in </w:t>
      </w:r>
      <w:r>
        <w:rPr>
          <w:rFonts w:ascii="Arial;Helvetica;sans-serif" w:hAnsi="Arial;Helvetica;sans-serif"/>
          <w:sz w:val="20"/>
        </w:rPr>
        <w:t xml:space="preserve">control” is intentional.” </w:t>
      </w:r>
    </w:p>
    <w:p>
      <w:pPr>
        <w:pStyle w:val="TextBody"/>
        <w:bidi w:val="0"/>
        <w:spacing w:lineRule="atLeast" w:line="228" w:before="120" w:after="0"/>
        <w:ind w:left="0" w:right="0" w:hanging="0"/>
        <w:jc w:val="both"/>
        <w:rPr>
          <w:rFonts w:ascii="Aptos" w:hAnsi="Aptos"/>
          <w:sz w:val="20"/>
        </w:rPr>
      </w:pPr>
      <w:r>
        <w:rPr>
          <w:rFonts w:ascii="Arial;Helvetica;sans-serif" w:hAnsi="Arial;Helvetica;sans-serif"/>
          <w:b/>
          <w:sz w:val="20"/>
        </w:rPr>
        <w:t>7. SEVERANCE</w:t>
      </w:r>
      <w:r>
        <w:rPr>
          <w:rFonts w:ascii="Arial;Helvetica;sans-serif" w:hAnsi="Arial;Helvetica;sans-serif"/>
          <w:sz w:val="20"/>
        </w:rPr>
        <w:t>.</w:t>
      </w:r>
    </w:p>
    <w:p>
      <w:pPr>
        <w:pStyle w:val="TextBody"/>
        <w:bidi w:val="0"/>
        <w:spacing w:lineRule="atLeast" w:line="228" w:before="120" w:after="0"/>
        <w:ind w:left="0" w:right="0" w:hanging="0"/>
        <w:jc w:val="both"/>
        <w:rPr>
          <w:rFonts w:ascii="Aptos" w:hAnsi="Aptos"/>
          <w:sz w:val="20"/>
        </w:rPr>
      </w:pPr>
      <w:r>
        <w:rPr>
          <w:rFonts w:ascii="Arial;Helvetica;sans-serif" w:hAnsi="Arial;Helvetica;sans-serif"/>
          <w:sz w:val="20"/>
        </w:rPr>
        <w:t>Section 5(b)(i) of the Agreement (Severance when termination is without Cause or for Good Reason) is amended to set severance compensation to eighteen (18) full calendar months</w:t>
      </w:r>
      <w:r>
        <w:rPr>
          <w:rFonts w:ascii="Aptos" w:hAnsi="Aptos"/>
          <w:sz w:val="20"/>
        </w:rPr>
        <w:t xml:space="preserve"> </w:t>
      </w:r>
      <w:r>
        <w:rPr>
          <w:rFonts w:ascii="Arial;Helvetica;sans-serif" w:hAnsi="Arial;Helvetica;sans-serif"/>
          <w:sz w:val="20"/>
        </w:rPr>
        <w:t xml:space="preserve">of Executive’s then current Base Salary. </w:t>
      </w:r>
    </w:p>
    <w:p>
      <w:pPr>
        <w:pStyle w:val="TextBody"/>
        <w:bidi w:val="0"/>
        <w:spacing w:lineRule="atLeast" w:line="228" w:before="120" w:after="0"/>
        <w:ind w:left="0" w:right="0" w:hanging="0"/>
        <w:jc w:val="both"/>
        <w:rPr>
          <w:rFonts w:ascii="Arial;Helvetica;sans-serif" w:hAnsi="Arial;Helvetica;sans-serif"/>
          <w:sz w:val="20"/>
        </w:rPr>
      </w:pPr>
      <w:r>
        <w:rPr>
          <w:rFonts w:ascii="Arial;Helvetica;sans-serif" w:hAnsi="Arial;Helvetica;sans-serif"/>
          <w:sz w:val="20"/>
        </w:rPr>
        <w:t xml:space="preserve">Section 5(h)(i) of the Agreement (Severance when termination is in connection with CIC event) is amended to set severance compensation to 2 times the Executive’s then current Base Salary. </w:t>
      </w:r>
    </w:p>
    <w:p>
      <w:pPr>
        <w:pStyle w:val="TextBody"/>
        <w:bidi w:val="0"/>
        <w:spacing w:lineRule="atLeast" w:line="250" w:before="120" w:after="0"/>
        <w:ind w:left="0" w:right="0" w:hanging="0"/>
        <w:jc w:val="both"/>
        <w:rPr>
          <w:rFonts w:ascii="Arial;Helvetica;sans-serif" w:hAnsi="Arial;Helvetica;sans-serif"/>
          <w:b/>
          <w:spacing w:val="-1"/>
          <w:sz w:val="20"/>
        </w:rPr>
      </w:pPr>
      <w:r>
        <w:rPr>
          <w:rFonts w:ascii="Arial;Helvetica;sans-serif" w:hAnsi="Arial;Helvetica;sans-serif"/>
          <w:b/>
          <w:spacing w:val="-1"/>
          <w:sz w:val="20"/>
        </w:rPr>
        <w:t>8. REAFFIRMATION OF RESTRICTIVE COVENANTS</w:t>
      </w:r>
    </w:p>
    <w:p>
      <w:pPr>
        <w:pStyle w:val="TextBody"/>
        <w:bidi w:val="0"/>
        <w:spacing w:lineRule="atLeast" w:line="254" w:before="120" w:after="0"/>
        <w:ind w:left="0" w:right="0" w:hanging="0"/>
        <w:jc w:val="both"/>
        <w:rPr>
          <w:rFonts w:ascii="Arial;Helvetica;sans-serif" w:hAnsi="Arial;Helvetica;sans-serif"/>
          <w:spacing w:val="-2"/>
          <w:sz w:val="20"/>
        </w:rPr>
      </w:pPr>
      <w:r>
        <w:rPr>
          <w:rFonts w:ascii="Arial;Helvetica;sans-serif" w:hAnsi="Arial;Helvetica;sans-serif"/>
          <w:spacing w:val="-2"/>
          <w:sz w:val="20"/>
        </w:rPr>
        <w:t>Executive hereby acknowledges and reaffirms all restrictive covenants set forth in Section 6 of the Agreement, including without limitation the Non-Compete Undertaking (Section 6(a)), the Employees Non-Solicitation Undertaking (Section 6(b)), the Client Non-Solicitation Undertaking (Section 6(c)), and all related confidentiality and non-disclosure obligations (collectively, the "Restrictive Covenants"). Executive agrees to comply with the Restrictive Covenants to the fullest extent permitted by applicable law, including the Texas Business and Commerce Code, Chapter 15, Subchapter E (the "Texas Covenants Not to Compete Act"), as amended.</w:t>
      </w:r>
    </w:p>
    <w:p>
      <w:pPr>
        <w:pStyle w:val="TextBody"/>
        <w:bidi w:val="0"/>
        <w:spacing w:lineRule="atLeast" w:line="254" w:before="120" w:after="0"/>
        <w:ind w:left="0" w:right="0" w:hanging="0"/>
        <w:jc w:val="both"/>
        <w:rPr>
          <w:rFonts w:ascii="Arial;Helvetica;sans-serif" w:hAnsi="Arial;Helvetica;sans-serif"/>
          <w:spacing w:val="-2"/>
          <w:sz w:val="20"/>
        </w:rPr>
      </w:pPr>
      <w:r>
        <w:rPr>
          <w:rFonts w:ascii="Arial;Helvetica;sans-serif" w:hAnsi="Arial;Helvetica;sans-serif"/>
          <w:spacing w:val="-2"/>
          <w:sz w:val="20"/>
        </w:rPr>
        <w:t>Executive acknowledges that the incremental compensation provided under this First Amendment— including without limitation the increase in Base Salary, the guaranteed bonus provision, the 2026 RSU Award, the 2026 PRSU Award, and the LTIP eligibility— constitutes adequate, sufficient, and independent consideration for Executive's continued obligations under the Restrictive Covenants, and that such consideration is reasonably related to the interests sought to be protected by the Restrictive Covenants.</w:t>
      </w:r>
    </w:p>
    <w:p>
      <w:pPr>
        <w:pStyle w:val="TextBody"/>
        <w:bidi w:val="0"/>
        <w:spacing w:lineRule="atLeast" w:line="254" w:before="120" w:after="120"/>
        <w:ind w:left="0" w:right="0" w:hanging="0"/>
        <w:jc w:val="both"/>
        <w:rPr>
          <w:rFonts w:ascii="Arial;Helvetica;sans-serif" w:hAnsi="Arial;Helvetica;sans-serif"/>
          <w:spacing w:val="-1"/>
          <w:sz w:val="20"/>
        </w:rPr>
      </w:pPr>
      <w:r>
        <w:rPr>
          <w:rFonts w:ascii="Arial;Helvetica;sans-serif" w:hAnsi="Arial;Helvetica;sans-serif"/>
          <w:spacing w:val="-1"/>
          <w:sz w:val="20"/>
        </w:rPr>
        <w:t>Executive further acknowledges that: (i) the Restrictive Covenants are ancillary to and part of an otherwise enforceable agreement; (ii) the limitations as to time, geographical area, and scope of activity contained in the Restrictive Covenants are reasonable and do not impose a greater restraint than is necessary to protect the goodwill and other legitimate business interests of the Company and TTEC Parent; (iii) Executive's continued employment, promotion, access to confidential information, and the additional compensation provided herein give rise to the Company's interest in enforcing such Restrictive Covenants; and (iv) compliance with the Restrictive Covenants may result in certain hardships to Executive, and Executive knowingly and voluntarily assumes and accepts any risk associated with such hardships.</w:t>
      </w:r>
    </w:p>
    <w:p>
      <w:pPr>
        <w:pStyle w:val="TextBody"/>
        <w:bidi w:val="0"/>
        <w:spacing w:lineRule="atLeast" w:line="250" w:before="0" w:after="0"/>
        <w:ind w:left="0" w:right="0" w:hanging="0"/>
        <w:jc w:val="both"/>
        <w:rPr>
          <w:rFonts w:ascii="Arial;Helvetica;sans-serif" w:hAnsi="Arial;Helvetica;sans-serif"/>
          <w:b/>
          <w:spacing w:val="-1"/>
          <w:sz w:val="20"/>
        </w:rPr>
      </w:pPr>
      <w:r>
        <w:rPr>
          <w:rFonts w:ascii="Arial;Helvetica;sans-serif" w:hAnsi="Arial;Helvetica;sans-serif"/>
          <w:b/>
          <w:spacing w:val="-1"/>
          <w:sz w:val="20"/>
        </w:rPr>
        <w:t>9. GOVERNING LAW AND DISPUTE RESOLUTION</w:t>
      </w:r>
    </w:p>
    <w:p>
      <w:pPr>
        <w:pStyle w:val="TextBody"/>
        <w:bidi w:val="0"/>
        <w:spacing w:lineRule="atLeast" w:line="254" w:before="120" w:after="0"/>
        <w:ind w:left="0" w:right="0" w:hanging="0"/>
        <w:jc w:val="both"/>
        <w:rPr>
          <w:rFonts w:ascii="Aptos" w:hAnsi="Aptos"/>
          <w:sz w:val="20"/>
        </w:rPr>
      </w:pPr>
      <w:r>
        <w:rPr>
          <w:rFonts w:ascii="Arial;Helvetica;sans-serif" w:hAnsi="Arial;Helvetica;sans-serif"/>
          <w:sz w:val="20"/>
          <w:u w:val="single"/>
        </w:rPr>
        <w:t>Section 7(d)</w:t>
      </w:r>
      <w:r>
        <w:rPr>
          <w:rFonts w:ascii="Aptos" w:hAnsi="Aptos"/>
          <w:sz w:val="20"/>
        </w:rPr>
        <w:t xml:space="preserve"> </w:t>
      </w:r>
      <w:r>
        <w:rPr>
          <w:rFonts w:ascii="Arial;Helvetica;sans-serif" w:hAnsi="Arial;Helvetica;sans-serif"/>
          <w:sz w:val="20"/>
        </w:rPr>
        <w:t>of the Agreement is hereby amended and restated in its entirety as follows:</w:t>
      </w:r>
    </w:p>
    <w:p>
      <w:pPr>
        <w:pStyle w:val="TextBody"/>
        <w:bidi w:val="0"/>
        <w:spacing w:lineRule="atLeast" w:line="254" w:before="120" w:after="0"/>
        <w:ind w:left="0" w:right="0" w:hanging="0"/>
        <w:jc w:val="both"/>
        <w:rPr>
          <w:rFonts w:ascii="Aptos" w:hAnsi="Aptos"/>
          <w:sz w:val="20"/>
        </w:rPr>
      </w:pPr>
      <w:r>
        <w:rPr>
          <w:rFonts w:ascii="Arial;Helvetica;sans-serif" w:hAnsi="Arial;Helvetica;sans-serif"/>
          <w:sz w:val="20"/>
        </w:rPr>
        <w:t xml:space="preserve">"(i) </w:t>
      </w:r>
      <w:r>
        <w:rPr>
          <w:rFonts w:ascii="Arial;Helvetica;sans-serif" w:hAnsi="Arial;Helvetica;sans-serif"/>
          <w:b/>
          <w:sz w:val="20"/>
        </w:rPr>
        <w:t>Good Faith Negotiation Requirement</w:t>
      </w:r>
      <w:r>
        <w:rPr>
          <w:rFonts w:ascii="Arial;Helvetica;sans-serif" w:hAnsi="Arial;Helvetica;sans-serif"/>
          <w:sz w:val="20"/>
        </w:rPr>
        <w:t>. Executive, the Company and TTEC Parent agree that in the event of any controversy or claim arising out of or relating to Executive’s employment with and/or separation from the Company, they shall negotiate in good faith to resolve the controversy or claim privately, amicably and confidentially. Each Party may consult with counsel in connection with such negotiations.</w:t>
      </w:r>
    </w:p>
    <w:p>
      <w:pPr>
        <w:pStyle w:val="TextBody"/>
        <w:bidi w:val="0"/>
        <w:spacing w:lineRule="atLeast" w:line="254" w:before="120" w:after="120"/>
        <w:ind w:left="0" w:right="0" w:hanging="0"/>
        <w:jc w:val="both"/>
        <w:rPr>
          <w:rFonts w:ascii="Aptos" w:hAnsi="Aptos"/>
          <w:sz w:val="20"/>
        </w:rPr>
      </w:pPr>
      <w:r>
        <w:rPr>
          <w:rFonts w:ascii="Arial;Helvetica;sans-serif" w:hAnsi="Arial;Helvetica;sans-serif"/>
          <w:sz w:val="20"/>
        </w:rPr>
        <w:t xml:space="preserve">(ii) </w:t>
      </w:r>
      <w:r>
        <w:rPr>
          <w:rFonts w:ascii="Arial;Helvetica;sans-serif" w:hAnsi="Arial;Helvetica;sans-serif"/>
          <w:b/>
          <w:sz w:val="20"/>
        </w:rPr>
        <w:t xml:space="preserve">Governing Law and Disputes. </w:t>
      </w:r>
      <w:r>
        <w:rPr>
          <w:rFonts w:ascii="Arial;Helvetica;sans-serif" w:hAnsi="Arial;Helvetica;sans-serif"/>
          <w:sz w:val="20"/>
        </w:rPr>
        <w:t>For purposes of this subparagraph (ii), 'Restrictive Covenants' means the non-competition, non-solicitation, confidentiality, and non-disclosure covenants set forth in Section 6 of the Agreement, as reaffirmed in Section 8 of this First Amendment.</w:t>
      </w:r>
    </w:p>
    <w:p>
      <w:pPr>
        <w:pStyle w:val="TextBody"/>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4</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tLeast" w:line="254" w:before="0" w:after="120"/>
        <w:ind w:left="360" w:right="0" w:hanging="0"/>
        <w:jc w:val="both"/>
        <w:rPr>
          <w:rFonts w:ascii="Aptos" w:hAnsi="Aptos"/>
          <w:sz w:val="24"/>
        </w:rPr>
      </w:pPr>
      <w:r>
        <w:rPr>
          <w:rFonts w:ascii="Arial;Helvetica;sans-serif" w:hAnsi="Arial;Helvetica;sans-serif"/>
          <w:sz w:val="20"/>
        </w:rPr>
        <w:t>(A)</w:t>
      </w:r>
      <w:r>
        <w:rPr>
          <w:rFonts w:ascii="Arial;Helvetica;sans-serif" w:hAnsi="Arial;Helvetica;sans-serif"/>
          <w:b/>
          <w:sz w:val="20"/>
        </w:rPr>
        <w:t xml:space="preserve">Governing Law. </w:t>
      </w:r>
      <w:r>
        <w:rPr>
          <w:rFonts w:ascii="Arial;Helvetica;sans-serif" w:hAnsi="Arial;Helvetica;sans-serif"/>
          <w:sz w:val="20"/>
        </w:rPr>
        <w:t>This Agreement will be construed and interpreted in accordance with the laws of the State of Texas, without regard to conflict of law principles that would require the application of the laws of any other jurisdiction. The Parties acknowledge that the Company maintains its principal place of business in Austin, Texas, employs over 3,000 persons in Texas, and that Executive regularly travels to and conducts business in Texas on behalf of the Company, establishing a substantial relationship between the State of Texas and the Parties sufficient to support this choice of law, including with respect to the Restrictive Covenants. This choice of law shall apply notwithstanding Executive's residence in the State of New York, and Executive agrees that neither his New York residence nor the performance of remote services from New York shall serve as a basis for the application of New York law to this Agreement or any provision hereof.</w:t>
      </w:r>
    </w:p>
    <w:p>
      <w:pPr>
        <w:pStyle w:val="TextBody"/>
        <w:bidi w:val="0"/>
        <w:spacing w:lineRule="atLeast" w:line="254" w:before="120" w:after="120"/>
        <w:ind w:left="360" w:right="0" w:hanging="0"/>
        <w:jc w:val="both"/>
        <w:rPr>
          <w:rFonts w:ascii="Aptos" w:hAnsi="Aptos"/>
          <w:sz w:val="24"/>
        </w:rPr>
      </w:pPr>
      <w:r>
        <w:rPr>
          <w:rFonts w:ascii="Arial;Helvetica;sans-serif" w:hAnsi="Arial;Helvetica;sans-serif"/>
          <w:sz w:val="20"/>
        </w:rPr>
        <w:t>(B)</w:t>
      </w:r>
      <w:r>
        <w:rPr>
          <w:rFonts w:ascii="Arial;Helvetica;sans-serif" w:hAnsi="Arial;Helvetica;sans-serif"/>
          <w:b/>
          <w:spacing w:val="-1"/>
          <w:sz w:val="20"/>
        </w:rPr>
        <w:t xml:space="preserve">Exclusive Jurisdiction and Venue. </w:t>
      </w:r>
      <w:r>
        <w:rPr>
          <w:rFonts w:ascii="Arial;Helvetica;sans-serif" w:hAnsi="Arial;Helvetica;sans-serif"/>
          <w:spacing w:val="-1"/>
          <w:sz w:val="20"/>
        </w:rPr>
        <w:t>Any action, suit, or proceeding arising out of or relating to this Agreement, Executive's employment, or the enforcement of any provision hereof (including the Restrictive Covenants) shall be brought exclusively in the state or federal courts located in Travis County, Texas. Each Party hereby irrevocably submits to the exclusive</w:t>
      </w:r>
      <w:r>
        <w:rPr>
          <w:rFonts w:ascii="Aptos" w:hAnsi="Aptos"/>
          <w:spacing w:val="-1"/>
          <w:sz w:val="24"/>
        </w:rPr>
        <w:t xml:space="preserve"> </w:t>
      </w:r>
      <w:r>
        <w:rPr>
          <w:rFonts w:ascii="Arial;Helvetica;sans-serif" w:hAnsi="Arial;Helvetica;sans-serif"/>
          <w:spacing w:val="-2"/>
          <w:sz w:val="20"/>
        </w:rPr>
        <w:t>personal jurisdiction of such courts and irrevocably waives, to the fullest extent permitted by law, any objection that it may now or hereafter have to the laying of venue of any such action, suit, or proceeding in such courts, and any claim that any such action, suit, or proceeding brought in such courts has been brought in an inconvenient forum. The foregoing exclusive jurisdiction and venue provisions shall apply to all forms of relief, including applications for temporary restraining orders, preliminary injunctions, and other equitable relief sought in connection with the enforcement of the Restrictive Covenants or any other provision of this Agreement.</w:t>
      </w:r>
    </w:p>
    <w:p>
      <w:pPr>
        <w:pStyle w:val="TextBody"/>
        <w:bidi w:val="0"/>
        <w:spacing w:lineRule="atLeast" w:line="254" w:before="120" w:after="0"/>
        <w:ind w:left="360" w:right="0" w:hanging="0"/>
        <w:jc w:val="both"/>
        <w:rPr>
          <w:rFonts w:ascii="Aptos" w:hAnsi="Aptos"/>
          <w:sz w:val="24"/>
        </w:rPr>
      </w:pPr>
      <w:r>
        <w:rPr>
          <w:rFonts w:ascii="Arial;Helvetica;sans-serif" w:hAnsi="Arial;Helvetica;sans-serif"/>
          <w:sz w:val="20"/>
        </w:rPr>
        <w:t>(C)</w:t>
      </w:r>
      <w:r>
        <w:rPr>
          <w:rFonts w:ascii="Arial;Helvetica;sans-serif" w:hAnsi="Arial;Helvetica;sans-serif"/>
          <w:b/>
          <w:spacing w:val="-2"/>
          <w:sz w:val="20"/>
        </w:rPr>
        <w:t xml:space="preserve">Waiver of Forum Challenges. </w:t>
      </w:r>
      <w:r>
        <w:rPr>
          <w:rFonts w:ascii="Arial;Helvetica;sans-serif" w:hAnsi="Arial;Helvetica;sans-serif"/>
          <w:spacing w:val="-2"/>
          <w:sz w:val="20"/>
        </w:rPr>
        <w:t>Executive expressly waives any objection to the governing law, jurisdiction, and venue provisions set forth in subparagraphs (A) and (B) above, whether based on inconvenience of forum, improper venue, or the applicability of the laws of any other jurisdiction. Executive acknowledges that these provisions are a material inducement to the Company entering into this First Amendment and that Executive has had the opportunity to consult with independent legal counsel regarding the same.</w:t>
      </w:r>
    </w:p>
    <w:p>
      <w:pPr>
        <w:pStyle w:val="TextBody"/>
        <w:bidi w:val="0"/>
        <w:spacing w:lineRule="atLeast" w:line="254" w:before="120" w:after="0"/>
        <w:ind w:left="360" w:right="0" w:hanging="0"/>
        <w:jc w:val="both"/>
        <w:rPr>
          <w:rFonts w:ascii="Aptos" w:hAnsi="Aptos"/>
          <w:sz w:val="24"/>
        </w:rPr>
      </w:pPr>
      <w:r>
        <w:rPr>
          <w:rFonts w:ascii="Arial;Helvetica;sans-serif" w:hAnsi="Arial;Helvetica;sans-serif"/>
          <w:sz w:val="20"/>
        </w:rPr>
        <w:t>(D)</w:t>
      </w:r>
      <w:r>
        <w:rPr>
          <w:rFonts w:ascii="Arial;Helvetica;sans-serif" w:hAnsi="Arial;Helvetica;sans-serif"/>
          <w:b/>
          <w:sz w:val="20"/>
        </w:rPr>
        <w:t xml:space="preserve">Service of Process. </w:t>
      </w:r>
      <w:r>
        <w:rPr>
          <w:rFonts w:ascii="Arial;Helvetica;sans-serif" w:hAnsi="Arial;Helvetica;sans-serif"/>
          <w:sz w:val="20"/>
        </w:rPr>
        <w:t>Each Party consents to service of process by certified mail, return receipt requested, to the addresses set forth in the Agreement (or such other address as a Party may designate in writing), and agrees that such service shall constitute valid and sufficient service of process for any action brought in the courts specified herein.</w:t>
      </w:r>
    </w:p>
    <w:p>
      <w:pPr>
        <w:pStyle w:val="TextBody"/>
        <w:bidi w:val="0"/>
        <w:spacing w:lineRule="atLeast" w:line="254" w:before="151" w:after="283"/>
        <w:ind w:left="360" w:right="0" w:hanging="0"/>
        <w:jc w:val="both"/>
        <w:rPr>
          <w:rFonts w:ascii="Aptos" w:hAnsi="Aptos"/>
          <w:sz w:val="24"/>
        </w:rPr>
      </w:pPr>
      <w:r>
        <w:rPr>
          <w:rFonts w:ascii="Arial;Helvetica;sans-serif" w:hAnsi="Arial;Helvetica;sans-serif"/>
          <w:sz w:val="20"/>
        </w:rPr>
        <w:t>(E)</w:t>
      </w:r>
      <w:r>
        <w:rPr>
          <w:rFonts w:ascii="Arial;Helvetica;sans-serif" w:hAnsi="Arial;Helvetica;sans-serif"/>
          <w:b/>
          <w:sz w:val="20"/>
        </w:rPr>
        <w:t xml:space="preserve">Severability of Forum and Choice-of-Law Provisions. </w:t>
      </w:r>
      <w:r>
        <w:rPr>
          <w:rFonts w:ascii="Arial;Helvetica;sans-serif" w:hAnsi="Arial;Helvetica;sans-serif"/>
          <w:sz w:val="20"/>
        </w:rPr>
        <w:t>If any court of competent jurisdiction determines that any provision of this subparagraph (ii) is invalid or unenforceable, the remaining provisions of this subparagraph (ii) shall remain in full force and effect. In the event that the exclusive jurisdiction or venue provisions of subparagraph (B) are held unenforceable, the Parties consent to jurisdiction and venue in any court of competent jurisdiction in the State of Texas."</w:t>
      </w:r>
    </w:p>
    <w:p>
      <w:pPr>
        <w:pStyle w:val="TextBody"/>
        <w:bidi w:val="0"/>
        <w:spacing w:lineRule="atLeast" w:line="250" w:before="120" w:after="120"/>
        <w:ind w:left="0" w:right="0" w:hanging="0"/>
        <w:jc w:val="both"/>
        <w:rPr>
          <w:rFonts w:ascii="Arial;Helvetica;sans-serif" w:hAnsi="Arial;Helvetica;sans-serif"/>
          <w:b/>
          <w:sz w:val="20"/>
        </w:rPr>
      </w:pPr>
      <w:r>
        <w:rPr>
          <w:rFonts w:ascii="Arial;Helvetica;sans-serif" w:hAnsi="Arial;Helvetica;sans-serif"/>
          <w:b/>
          <w:sz w:val="20"/>
        </w:rPr>
        <w:t>10. GENERAL PROVISIONS</w:t>
      </w:r>
    </w:p>
    <w:p>
      <w:pPr>
        <w:pStyle w:val="TextBody"/>
        <w:bidi w:val="0"/>
        <w:spacing w:lineRule="atLeast" w:line="254" w:before="0" w:after="0"/>
        <w:ind w:left="0" w:right="0" w:hanging="0"/>
        <w:jc w:val="both"/>
        <w:rPr>
          <w:rFonts w:ascii="Aptos" w:hAnsi="Aptos"/>
          <w:sz w:val="24"/>
        </w:rPr>
      </w:pPr>
      <w:r>
        <w:rPr>
          <w:rFonts w:ascii="Arial;Helvetica;sans-serif" w:hAnsi="Arial;Helvetica;sans-serif"/>
          <w:sz w:val="20"/>
        </w:rPr>
        <w:t>(a)</w:t>
      </w:r>
      <w:r>
        <w:rPr>
          <w:rFonts w:ascii="Arial;Helvetica;sans-serif" w:hAnsi="Arial;Helvetica;sans-serif"/>
          <w:b/>
          <w:sz w:val="20"/>
        </w:rPr>
        <w:t xml:space="preserve">Ratification. </w:t>
      </w:r>
      <w:r>
        <w:rPr>
          <w:rFonts w:ascii="Arial;Helvetica;sans-serif" w:hAnsi="Arial;Helvetica;sans-serif"/>
          <w:sz w:val="20"/>
        </w:rPr>
        <w:t>Except as expressly modified by this First Amendment, the Agreement shall remain in full force and effect, and all terms, conditions, and provisions of the Agreement are hereby ratified and confirmed in all respects.</w:t>
      </w:r>
    </w:p>
    <w:p>
      <w:pPr>
        <w:pStyle w:val="TextBody"/>
        <w:bidi w:val="0"/>
        <w:spacing w:lineRule="atLeast" w:line="254" w:before="0" w:after="0"/>
        <w:ind w:left="0" w:right="0" w:hanging="0"/>
        <w:jc w:val="both"/>
        <w:rPr>
          <w:rFonts w:ascii="Aptos" w:hAnsi="Aptos"/>
          <w:sz w:val="24"/>
        </w:rPr>
      </w:pPr>
      <w:r>
        <w:rPr>
          <w:rFonts w:ascii="Arial;Helvetica;sans-serif" w:hAnsi="Arial;Helvetica;sans-serif"/>
          <w:sz w:val="22"/>
        </w:rPr>
        <w:t>(b)</w:t>
      </w:r>
      <w:r>
        <w:rPr>
          <w:rFonts w:ascii="Arial;Helvetica;sans-serif" w:hAnsi="Arial;Helvetica;sans-serif"/>
          <w:b/>
          <w:sz w:val="20"/>
        </w:rPr>
        <w:t xml:space="preserve">Conflict. </w:t>
      </w:r>
      <w:r>
        <w:rPr>
          <w:rFonts w:ascii="Arial;Helvetica;sans-serif" w:hAnsi="Arial;Helvetica;sans-serif"/>
          <w:sz w:val="20"/>
        </w:rPr>
        <w:t>In the event of any conflict between the terms of this First Amendment and the terms of the Agreement, the terms of this First Amendment shall prevail.</w:t>
      </w:r>
    </w:p>
    <w:p>
      <w:pPr>
        <w:pStyle w:val="TextBody"/>
        <w:bidi w:val="0"/>
        <w:spacing w:lineRule="atLeast" w:line="254" w:before="120" w:after="0"/>
        <w:ind w:left="0" w:right="0" w:hanging="0"/>
        <w:jc w:val="both"/>
        <w:rPr>
          <w:rFonts w:ascii="Aptos" w:hAnsi="Aptos"/>
          <w:sz w:val="24"/>
        </w:rPr>
      </w:pPr>
      <w:r>
        <w:rPr>
          <w:rFonts w:ascii="Arial;Helvetica;sans-serif" w:hAnsi="Arial;Helvetica;sans-serif"/>
          <w:sz w:val="22"/>
        </w:rPr>
        <w:t>(c)</w:t>
      </w:r>
      <w:r>
        <w:rPr>
          <w:rFonts w:ascii="Arial;Helvetica;sans-serif" w:hAnsi="Arial;Helvetica;sans-serif"/>
          <w:b/>
          <w:sz w:val="20"/>
        </w:rPr>
        <w:t xml:space="preserve">Defined Terms. </w:t>
      </w:r>
      <w:r>
        <w:rPr>
          <w:rFonts w:ascii="Arial;Helvetica;sans-serif" w:hAnsi="Arial;Helvetica;sans-serif"/>
          <w:sz w:val="20"/>
        </w:rPr>
        <w:t>Capitalized terms used but not defined in this First Amendment shall have the meanings ascribed to them in the Agreement.</w:t>
      </w:r>
    </w:p>
    <w:p>
      <w:pPr>
        <w:pStyle w:val="TextBody"/>
        <w:bidi w:val="0"/>
        <w:spacing w:lineRule="atLeast" w:line="254" w:before="120" w:after="283"/>
        <w:ind w:left="0" w:right="0" w:hanging="0"/>
        <w:jc w:val="both"/>
        <w:rPr>
          <w:rFonts w:ascii="Aptos" w:hAnsi="Aptos"/>
          <w:sz w:val="24"/>
        </w:rPr>
      </w:pPr>
      <w:r>
        <w:rPr>
          <w:rFonts w:ascii="Arial;Helvetica;sans-serif" w:hAnsi="Arial;Helvetica;sans-serif"/>
          <w:sz w:val="22"/>
        </w:rPr>
        <w:t>(d)</w:t>
      </w:r>
      <w:r>
        <w:rPr>
          <w:rFonts w:ascii="Arial;Helvetica;sans-serif" w:hAnsi="Arial;Helvetica;sans-serif"/>
          <w:b/>
          <w:spacing w:val="-2"/>
          <w:sz w:val="20"/>
        </w:rPr>
        <w:t xml:space="preserve">Counterparts. </w:t>
      </w:r>
      <w:r>
        <w:rPr>
          <w:rFonts w:ascii="Arial;Helvetica;sans-serif" w:hAnsi="Arial;Helvetica;sans-serif"/>
          <w:spacing w:val="-2"/>
          <w:sz w:val="20"/>
        </w:rPr>
        <w:t>This First Amendment may be executed in counterparts, each of which shall be deemed an original, but all of which together shall constitute one and the same instrument.</w:t>
      </w:r>
    </w:p>
    <w:p>
      <w:pPr>
        <w:pStyle w:val="TextBody"/>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5</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tLeast" w:line="254" w:before="120" w:after="283"/>
        <w:ind w:left="0" w:right="0" w:hanging="0"/>
        <w:jc w:val="both"/>
        <w:rPr>
          <w:rFonts w:ascii="Aptos" w:hAnsi="Aptos"/>
          <w:sz w:val="24"/>
        </w:rPr>
      </w:pPr>
      <w:r>
        <w:rPr>
          <w:rFonts w:ascii="Arial;Helvetica;sans-serif" w:hAnsi="Arial;Helvetica;sans-serif"/>
          <w:sz w:val="22"/>
        </w:rPr>
        <w:t>(e)</w:t>
      </w:r>
      <w:r>
        <w:rPr>
          <w:rFonts w:ascii="Arial;Helvetica;sans-serif" w:hAnsi="Arial;Helvetica;sans-serif"/>
          <w:b/>
          <w:sz w:val="20"/>
        </w:rPr>
        <w:t xml:space="preserve">Modification of Agreement. </w:t>
      </w:r>
      <w:r>
        <w:rPr>
          <w:rFonts w:ascii="Arial;Helvetica;sans-serif" w:hAnsi="Arial;Helvetica;sans-serif"/>
          <w:sz w:val="20"/>
        </w:rPr>
        <w:t>This First Amendment, together with the Agreement, constitutes the entire agreement between the Parties with respect to the subject matter hereof and may not be further modified except in writing signed by both Parties in accordance with Section 7(f) of the Agreement.</w:t>
      </w:r>
    </w:p>
    <w:p>
      <w:pPr>
        <w:pStyle w:val="TextBody"/>
        <w:bidi w:val="0"/>
        <w:spacing w:lineRule="atLeast" w:line="254" w:before="120" w:after="0"/>
        <w:ind w:left="0" w:right="0" w:hanging="0"/>
        <w:jc w:val="both"/>
        <w:rPr>
          <w:rFonts w:ascii="Arial;Helvetica;sans-serif" w:hAnsi="Arial;Helvetica;sans-serif"/>
          <w:b/>
          <w:sz w:val="20"/>
        </w:rPr>
      </w:pPr>
      <w:r>
        <w:rPr>
          <w:rFonts w:ascii="Arial;Helvetica;sans-serif" w:hAnsi="Arial;Helvetica;sans-serif"/>
          <w:b/>
          <w:sz w:val="20"/>
        </w:rPr>
        <w:t xml:space="preserve">The Parties have executed this First Amendment to be effective as of Amendment Effective Date.  Mr. Abou acknowledges and agrees that he reviewed and fully understands the terms and provisions of this First Amendment; that he enters into it freely, knowingly, and mindful of the fact that it creates important legal obligations and affects his legal rights; and that he understands the need to and has had the opportunity to consult with legal counsel about the terms and conditions of this First Amendment. </w:t>
      </w:r>
    </w:p>
    <w:p>
      <w:pPr>
        <w:pStyle w:val="TextBody"/>
        <w:bidi w:val="0"/>
        <w:spacing w:lineRule="atLeast" w:line="254" w:before="155" w:after="0"/>
        <w:ind w:left="0" w:right="216" w:hanging="0"/>
        <w:jc w:val="left"/>
        <w:rPr>
          <w:rFonts w:ascii="Aptos" w:hAnsi="Aptos"/>
          <w:sz w:val="20"/>
        </w:rPr>
      </w:pPr>
      <w:r>
        <w:rPr>
          <w:rFonts w:ascii="Arial;Helvetica;sans-serif" w:hAnsi="Arial;Helvetica;sans-serif"/>
          <w:b/>
          <w:i w:val="false"/>
          <w:caps w:val="false"/>
          <w:smallCaps w:val="false"/>
          <w:sz w:val="20"/>
        </w:rPr>
        <w:t xml:space="preserve">Executive </w:t>
      </w:r>
      <w:r>
        <w:rPr>
          <w:rFonts w:ascii="Arial;Helvetica;sans-serif" w:hAnsi="Arial;Helvetica;sans-serif"/>
          <w:b/>
          <w:sz w:val="20"/>
        </w:rPr>
        <w:t>TTEC Services Corporation</w:t>
      </w:r>
    </w:p>
    <w:p>
      <w:pPr>
        <w:pStyle w:val="TextBody"/>
        <w:bidi w:val="0"/>
        <w:spacing w:lineRule="auto" w:line="331" w:before="0" w:after="160"/>
        <w:ind w:left="0" w:right="216" w:hanging="0"/>
        <w:jc w:val="left"/>
        <w:rPr/>
      </w:pPr>
      <w:r>
        <w:rPr/>
        <w:t>​</w:t>
      </w:r>
    </w:p>
    <w:p>
      <w:pPr>
        <w:pStyle w:val="TextBody"/>
        <w:bidi w:val="0"/>
        <w:spacing w:lineRule="auto" w:line="331" w:before="0" w:after="160"/>
        <w:ind w:left="0" w:right="0" w:hanging="0"/>
        <w:jc w:val="left"/>
        <w:rPr/>
      </w:pPr>
      <w:r>
        <w:rPr/>
        <w:t>​</w:t>
      </w:r>
    </w:p>
    <w:p>
      <w:pPr>
        <w:pStyle w:val="TextBody"/>
        <w:bidi w:val="0"/>
        <w:spacing w:lineRule="atLeast" w:line="254" w:before="0" w:after="0"/>
        <w:ind w:left="0" w:right="0" w:hanging="0"/>
        <w:jc w:val="left"/>
        <w:rPr>
          <w:rFonts w:ascii="Arial;Helvetica;sans-serif" w:hAnsi="Arial;Helvetica;sans-serif"/>
          <w:b/>
          <w:sz w:val="20"/>
        </w:rPr>
      </w:pPr>
      <w:r>
        <w:rPr>
          <w:rFonts w:ascii="Arial;Helvetica;sans-serif" w:hAnsi="Arial;Helvetica;sans-serif"/>
          <w:b/>
          <w:sz w:val="20"/>
        </w:rPr>
        <w:t>__________________________________________________________</w:t>
      </w:r>
    </w:p>
    <w:p>
      <w:pPr>
        <w:pStyle w:val="TextBody"/>
        <w:bidi w:val="0"/>
        <w:spacing w:lineRule="auto" w:line="285" w:before="0" w:after="40"/>
        <w:ind w:left="0" w:right="216" w:hanging="0"/>
        <w:jc w:val="left"/>
        <w:rPr>
          <w:rFonts w:ascii="Aptos" w:hAnsi="Aptos"/>
          <w:sz w:val="20"/>
        </w:rPr>
      </w:pPr>
      <w:r>
        <w:rPr>
          <w:rFonts w:ascii="Arial;Helvetica;sans-serif" w:hAnsi="Arial;Helvetica;sans-serif"/>
          <w:b/>
          <w:i w:val="false"/>
          <w:caps w:val="false"/>
          <w:smallCaps w:val="false"/>
          <w:sz w:val="20"/>
        </w:rPr>
        <w:t>/s/John Abou</w:t>
      </w:r>
      <w:r>
        <w:rPr>
          <w:rFonts w:ascii="Arial;Helvetica;sans-serif" w:hAnsi="Arial;Helvetica;sans-serif"/>
          <w:b/>
          <w:sz w:val="20"/>
        </w:rPr>
        <w:t>/s/Laura L. Butler, TTEC Chief People Officer</w:t>
      </w:r>
    </w:p>
    <w:p>
      <w:pPr>
        <w:pStyle w:val="TextBody"/>
        <w:bidi w:val="0"/>
        <w:spacing w:lineRule="auto" w:line="285" w:before="0" w:after="0"/>
        <w:ind w:left="0" w:right="0" w:hanging="0"/>
        <w:jc w:val="left"/>
        <w:rPr>
          <w:rFonts w:ascii="Aptos" w:hAnsi="Aptos"/>
          <w:sz w:val="20"/>
        </w:rPr>
      </w:pPr>
      <w:r>
        <w:rPr>
          <w:rFonts w:ascii="Arial;Helvetica;sans-serif" w:hAnsi="Arial;Helvetica;sans-serif"/>
          <w:b/>
          <w:i w:val="false"/>
          <w:caps w:val="false"/>
          <w:smallCaps w:val="false"/>
          <w:sz w:val="20"/>
        </w:rPr>
        <w:t>Date:</w:t>
      </w:r>
      <w:r>
        <w:rPr>
          <w:rFonts w:ascii="Arial;Helvetica;sans-serif" w:hAnsi="Arial;Helvetica;sans-serif"/>
          <w:b/>
          <w:sz w:val="20"/>
        </w:rPr>
        <w:t>August 5, 2026Date:August 5, 2026</w:t>
      </w:r>
    </w:p>
    <w:p>
      <w:pPr>
        <w:pStyle w:val="TextBody"/>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6</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bookmarkStart w:id="1779" w:name="ttec-20260630xex10d2.htm"/>
      <w:bookmarkStart w:id="1780" w:name="ksttec20260630xex10d2"/>
      <w:bookmarkEnd w:id="1779"/>
      <w:bookmarkEnd w:id="1780"/>
      <w:r>
        <w:rPr/>
        <w:t>​</w:t>
      </w:r>
      <w:r>
        <w:br w:type="page"/>
      </w:r>
    </w:p>
    <w:p>
      <w:pPr>
        <w:pStyle w:val="TextBody"/>
        <w:bidi w:val="0"/>
        <w:spacing w:lineRule="auto" w:line="331" w:before="0" w:after="160"/>
        <w:ind w:left="0" w:right="0" w:hanging="0"/>
        <w:jc w:val="right"/>
        <w:rPr>
          <w:rFonts w:ascii="Arial;Helvetica;sans-serif" w:hAnsi="Arial;Helvetica;sans-serif"/>
          <w:b/>
          <w:sz w:val="20"/>
        </w:rPr>
      </w:pPr>
      <w:r>
        <w:rPr>
          <w:rFonts w:ascii="Arial;Helvetica;sans-serif" w:hAnsi="Arial;Helvetica;sans-serif"/>
          <w:b/>
          <w:sz w:val="20"/>
        </w:rPr>
        <w:t>EXHIBIT 10.2</w:t>
      </w:r>
    </w:p>
    <w:p>
      <w:pPr>
        <w:pStyle w:val="TextBody"/>
        <w:bidi w:val="0"/>
        <w:spacing w:lineRule="auto" w:line="285" w:before="0" w:after="0"/>
        <w:ind w:left="0" w:right="357" w:hanging="0"/>
        <w:jc w:val="center"/>
        <w:rPr>
          <w:rFonts w:ascii="Aptos" w:hAnsi="Aptos"/>
          <w:sz w:val="20"/>
        </w:rPr>
      </w:pPr>
      <w:r>
        <w:rPr>
          <w:rFonts w:ascii="Arial;Helvetica;sans-serif" w:hAnsi="Arial;Helvetica;sans-serif"/>
          <w:b/>
          <w:spacing w:val="-2"/>
          <w:sz w:val="20"/>
        </w:rPr>
        <w:t>EXECUTIVE</w:t>
      </w:r>
      <w:r>
        <w:rPr>
          <w:rFonts w:ascii="Aptos" w:hAnsi="Aptos"/>
          <w:sz w:val="20"/>
        </w:rPr>
        <w:t xml:space="preserve"> </w:t>
      </w:r>
      <w:r>
        <w:rPr>
          <w:rFonts w:ascii="Arial;Helvetica;sans-serif" w:hAnsi="Arial;Helvetica;sans-serif"/>
          <w:b/>
          <w:spacing w:val="-2"/>
          <w:sz w:val="20"/>
        </w:rPr>
        <w:t>EMPLOYMENT</w:t>
      </w:r>
      <w:r>
        <w:rPr>
          <w:rFonts w:ascii="Aptos" w:hAnsi="Aptos"/>
          <w:spacing w:val="1"/>
          <w:sz w:val="20"/>
        </w:rPr>
        <w:t xml:space="preserve"> </w:t>
      </w:r>
      <w:r>
        <w:rPr>
          <w:rFonts w:ascii="Arial;Helvetica;sans-serif" w:hAnsi="Arial;Helvetica;sans-serif"/>
          <w:b/>
          <w:spacing w:val="-2"/>
          <w:sz w:val="20"/>
        </w:rPr>
        <w:t>AGREEMENT</w:t>
      </w:r>
    </w:p>
    <w:p>
      <w:pPr>
        <w:pStyle w:val="TextBody"/>
        <w:bidi w:val="0"/>
        <w:spacing w:lineRule="auto" w:line="285" w:before="111" w:after="0"/>
        <w:ind w:left="0" w:right="386" w:hanging="0"/>
        <w:jc w:val="left"/>
        <w:rPr>
          <w:rFonts w:ascii="Aptos" w:hAnsi="Aptos"/>
          <w:sz w:val="20"/>
        </w:rPr>
      </w:pPr>
      <w:r>
        <w:rPr>
          <w:rFonts w:ascii="Arial;Helvetica;sans-serif" w:hAnsi="Arial;Helvetica;sans-serif"/>
          <w:sz w:val="20"/>
        </w:rPr>
        <w:t>This Executive Employment Agreement ("Agreement") is by and between TTEC Digital LLC (the "Company"</w:t>
      </w:r>
      <w:r>
        <w:rPr>
          <w:rFonts w:ascii="Aptos" w:hAnsi="Aptos"/>
          <w:spacing w:val="-3"/>
          <w:sz w:val="20"/>
        </w:rPr>
        <w:t xml:space="preserve"> </w:t>
      </w:r>
      <w:r>
        <w:rPr>
          <w:rFonts w:ascii="Arial;Helvetica;sans-serif" w:hAnsi="Arial;Helvetica;sans-serif"/>
          <w:sz w:val="20"/>
        </w:rPr>
        <w:t>or</w:t>
      </w:r>
      <w:r>
        <w:rPr>
          <w:rFonts w:ascii="Aptos" w:hAnsi="Aptos"/>
          <w:spacing w:val="-3"/>
          <w:sz w:val="20"/>
        </w:rPr>
        <w:t xml:space="preserve"> </w:t>
      </w:r>
      <w:r>
        <w:rPr>
          <w:rFonts w:ascii="Aptos" w:hAnsi="Aptos"/>
          <w:sz w:val="20"/>
        </w:rPr>
        <w:t>“</w:t>
      </w:r>
      <w:r>
        <w:rPr>
          <w:rFonts w:ascii="Arial;Helvetica;sans-serif" w:hAnsi="Arial;Helvetica;sans-serif"/>
          <w:sz w:val="20"/>
        </w:rPr>
        <w:t>TTEC</w:t>
      </w:r>
      <w:r>
        <w:rPr>
          <w:rFonts w:ascii="Aptos" w:hAnsi="Aptos"/>
          <w:spacing w:val="-4"/>
          <w:sz w:val="20"/>
        </w:rPr>
        <w:t xml:space="preserve"> </w:t>
      </w:r>
      <w:r>
        <w:rPr>
          <w:rFonts w:ascii="Arial;Helvetica;sans-serif" w:hAnsi="Arial;Helvetica;sans-serif"/>
          <w:sz w:val="20"/>
        </w:rPr>
        <w:t>Digital”),</w:t>
      </w:r>
      <w:r>
        <w:rPr>
          <w:rFonts w:ascii="Aptos" w:hAnsi="Aptos"/>
          <w:spacing w:val="-3"/>
          <w:sz w:val="20"/>
        </w:rPr>
        <w:t xml:space="preserve"> </w:t>
      </w:r>
      <w:r>
        <w:rPr>
          <w:rFonts w:ascii="Arial;Helvetica;sans-serif" w:hAnsi="Arial;Helvetica;sans-serif"/>
          <w:sz w:val="20"/>
        </w:rPr>
        <w:t>a</w:t>
      </w:r>
      <w:r>
        <w:rPr>
          <w:rFonts w:ascii="Aptos" w:hAnsi="Aptos"/>
          <w:spacing w:val="-3"/>
          <w:sz w:val="20"/>
        </w:rPr>
        <w:t xml:space="preserve"> </w:t>
      </w:r>
      <w:r>
        <w:rPr>
          <w:rFonts w:ascii="Arial;Helvetica;sans-serif" w:hAnsi="Arial;Helvetica;sans-serif"/>
          <w:sz w:val="20"/>
        </w:rPr>
        <w:t>wholly</w:t>
      </w:r>
      <w:r>
        <w:rPr>
          <w:rFonts w:ascii="Aptos" w:hAnsi="Aptos"/>
          <w:spacing w:val="-3"/>
          <w:sz w:val="20"/>
        </w:rPr>
        <w:t xml:space="preserve"> </w:t>
      </w:r>
      <w:r>
        <w:rPr>
          <w:rFonts w:ascii="Arial;Helvetica;sans-serif" w:hAnsi="Arial;Helvetica;sans-serif"/>
          <w:sz w:val="20"/>
        </w:rPr>
        <w:t>owned</w:t>
      </w:r>
      <w:r>
        <w:rPr>
          <w:rFonts w:ascii="Aptos" w:hAnsi="Aptos"/>
          <w:spacing w:val="-3"/>
          <w:sz w:val="20"/>
        </w:rPr>
        <w:t xml:space="preserve"> </w:t>
      </w:r>
      <w:r>
        <w:rPr>
          <w:rFonts w:ascii="Arial;Helvetica;sans-serif" w:hAnsi="Arial;Helvetica;sans-serif"/>
          <w:sz w:val="20"/>
        </w:rPr>
        <w:t>subsidiary</w:t>
      </w:r>
      <w:r>
        <w:rPr>
          <w:rFonts w:ascii="Aptos" w:hAnsi="Aptos"/>
          <w:spacing w:val="-3"/>
          <w:sz w:val="20"/>
        </w:rPr>
        <w:t xml:space="preserve"> </w:t>
      </w:r>
      <w:r>
        <w:rPr>
          <w:rFonts w:ascii="Arial;Helvetica;sans-serif" w:hAnsi="Arial;Helvetica;sans-serif"/>
          <w:sz w:val="20"/>
        </w:rPr>
        <w:t>of</w:t>
      </w:r>
      <w:r>
        <w:rPr>
          <w:rFonts w:ascii="Aptos" w:hAnsi="Aptos"/>
          <w:spacing w:val="-3"/>
          <w:sz w:val="20"/>
        </w:rPr>
        <w:t xml:space="preserve"> </w:t>
      </w:r>
      <w:r>
        <w:rPr>
          <w:rFonts w:ascii="Arial;Helvetica;sans-serif" w:hAnsi="Arial;Helvetica;sans-serif"/>
          <w:sz w:val="20"/>
        </w:rPr>
        <w:t>TTEC</w:t>
      </w:r>
      <w:r>
        <w:rPr>
          <w:rFonts w:ascii="Aptos" w:hAnsi="Aptos"/>
          <w:spacing w:val="-4"/>
          <w:sz w:val="20"/>
        </w:rPr>
        <w:t xml:space="preserve"> </w:t>
      </w:r>
      <w:r>
        <w:rPr>
          <w:rFonts w:ascii="Arial;Helvetica;sans-serif" w:hAnsi="Arial;Helvetica;sans-serif"/>
          <w:sz w:val="20"/>
        </w:rPr>
        <w:t>Holdings,</w:t>
      </w:r>
      <w:r>
        <w:rPr>
          <w:rFonts w:ascii="Aptos" w:hAnsi="Aptos"/>
          <w:spacing w:val="-3"/>
          <w:sz w:val="20"/>
        </w:rPr>
        <w:t xml:space="preserve"> </w:t>
      </w:r>
      <w:r>
        <w:rPr>
          <w:rFonts w:ascii="Arial;Helvetica;sans-serif" w:hAnsi="Arial;Helvetica;sans-serif"/>
          <w:sz w:val="20"/>
        </w:rPr>
        <w:t>Inc.,</w:t>
      </w:r>
      <w:r>
        <w:rPr>
          <w:rFonts w:ascii="Aptos" w:hAnsi="Aptos"/>
          <w:spacing w:val="-3"/>
          <w:sz w:val="20"/>
        </w:rPr>
        <w:t xml:space="preserve"> </w:t>
      </w:r>
      <w:r>
        <w:rPr>
          <w:rFonts w:ascii="Arial;Helvetica;sans-serif" w:hAnsi="Arial;Helvetica;sans-serif"/>
          <w:sz w:val="20"/>
        </w:rPr>
        <w:t>a</w:t>
      </w:r>
      <w:r>
        <w:rPr>
          <w:rFonts w:ascii="Aptos" w:hAnsi="Aptos"/>
          <w:spacing w:val="-3"/>
          <w:sz w:val="20"/>
        </w:rPr>
        <w:t xml:space="preserve"> </w:t>
      </w:r>
      <w:r>
        <w:rPr>
          <w:rFonts w:ascii="Arial;Helvetica;sans-serif" w:hAnsi="Arial;Helvetica;sans-serif"/>
          <w:sz w:val="20"/>
        </w:rPr>
        <w:t>Delaware</w:t>
      </w:r>
      <w:r>
        <w:rPr>
          <w:rFonts w:ascii="Aptos" w:hAnsi="Aptos"/>
          <w:spacing w:val="-3"/>
          <w:sz w:val="20"/>
        </w:rPr>
        <w:t xml:space="preserve"> </w:t>
      </w:r>
      <w:r>
        <w:rPr>
          <w:rFonts w:ascii="Arial;Helvetica;sans-serif" w:hAnsi="Arial;Helvetica;sans-serif"/>
          <w:sz w:val="20"/>
        </w:rPr>
        <w:t>corporation ("TTEC Parent"), and Christopher Brown ("Executive" or "Brown"), each a "Party" and together the "Parties." This Agreement is executed to be effective as of March 17, 2026 ("Effective Date").</w:t>
      </w:r>
    </w:p>
    <w:p>
      <w:pPr>
        <w:pStyle w:val="TextBody"/>
        <w:bidi w:val="0"/>
        <w:spacing w:lineRule="auto" w:line="285" w:before="203" w:after="0"/>
        <w:ind w:left="0" w:right="386" w:hanging="0"/>
        <w:jc w:val="left"/>
        <w:rPr>
          <w:rFonts w:ascii="Aptos" w:hAnsi="Aptos"/>
          <w:sz w:val="20"/>
        </w:rPr>
      </w:pPr>
      <w:r>
        <w:rPr>
          <w:rFonts w:ascii="Arial;Helvetica;sans-serif" w:hAnsi="Arial;Helvetica;sans-serif"/>
          <w:b/>
          <w:sz w:val="20"/>
        </w:rPr>
        <w:t>Whereas</w:t>
      </w:r>
      <w:r>
        <w:rPr>
          <w:rFonts w:ascii="Arial;Helvetica;sans-serif" w:hAnsi="Arial;Helvetica;sans-serif"/>
          <w:sz w:val="20"/>
        </w:rPr>
        <w:t>,</w:t>
      </w:r>
      <w:r>
        <w:rPr>
          <w:rFonts w:ascii="Aptos" w:hAnsi="Aptos"/>
          <w:spacing w:val="-2"/>
          <w:sz w:val="20"/>
        </w:rPr>
        <w:t xml:space="preserve"> </w:t>
      </w:r>
      <w:r>
        <w:rPr>
          <w:rFonts w:ascii="Arial;Helvetica;sans-serif" w:hAnsi="Arial;Helvetica;sans-serif"/>
          <w:sz w:val="20"/>
        </w:rPr>
        <w:t>Mr.</w:t>
      </w:r>
      <w:r>
        <w:rPr>
          <w:rFonts w:ascii="Aptos" w:hAnsi="Aptos"/>
          <w:spacing w:val="-2"/>
          <w:sz w:val="20"/>
        </w:rPr>
        <w:t xml:space="preserve"> </w:t>
      </w:r>
      <w:r>
        <w:rPr>
          <w:rFonts w:ascii="Arial;Helvetica;sans-serif" w:hAnsi="Arial;Helvetica;sans-serif"/>
          <w:sz w:val="20"/>
        </w:rPr>
        <w:t>Brown</w:t>
      </w:r>
      <w:r>
        <w:rPr>
          <w:rFonts w:ascii="Aptos" w:hAnsi="Aptos"/>
          <w:spacing w:val="-2"/>
          <w:sz w:val="20"/>
        </w:rPr>
        <w:t xml:space="preserve"> </w:t>
      </w:r>
      <w:r>
        <w:rPr>
          <w:rFonts w:ascii="Arial;Helvetica;sans-serif" w:hAnsi="Arial;Helvetica;sans-serif"/>
          <w:sz w:val="20"/>
        </w:rPr>
        <w:t>joined</w:t>
      </w:r>
      <w:r>
        <w:rPr>
          <w:rFonts w:ascii="Aptos" w:hAnsi="Aptos"/>
          <w:spacing w:val="-2"/>
          <w:sz w:val="20"/>
        </w:rPr>
        <w:t xml:space="preserve"> </w:t>
      </w:r>
      <w:r>
        <w:rPr>
          <w:rFonts w:ascii="Arial;Helvetica;sans-serif" w:hAnsi="Arial;Helvetica;sans-serif"/>
          <w:sz w:val="20"/>
        </w:rPr>
        <w:t>TTEC</w:t>
      </w:r>
      <w:r>
        <w:rPr>
          <w:rFonts w:ascii="Aptos" w:hAnsi="Aptos"/>
          <w:spacing w:val="-3"/>
          <w:sz w:val="20"/>
        </w:rPr>
        <w:t xml:space="preserve"> </w:t>
      </w:r>
      <w:r>
        <w:rPr>
          <w:rFonts w:ascii="Arial;Helvetica;sans-serif" w:hAnsi="Arial;Helvetica;sans-serif"/>
          <w:sz w:val="20"/>
        </w:rPr>
        <w:t>on</w:t>
      </w:r>
      <w:r>
        <w:rPr>
          <w:rFonts w:ascii="Aptos" w:hAnsi="Aptos"/>
          <w:spacing w:val="-2"/>
          <w:sz w:val="20"/>
        </w:rPr>
        <w:t xml:space="preserve"> </w:t>
      </w:r>
      <w:r>
        <w:rPr>
          <w:rFonts w:ascii="Arial;Helvetica;sans-serif" w:hAnsi="Arial;Helvetica;sans-serif"/>
          <w:sz w:val="20"/>
        </w:rPr>
        <w:t>June</w:t>
      </w:r>
      <w:r>
        <w:rPr>
          <w:rFonts w:ascii="Aptos" w:hAnsi="Aptos"/>
          <w:spacing w:val="-2"/>
          <w:sz w:val="20"/>
        </w:rPr>
        <w:t xml:space="preserve"> </w:t>
      </w:r>
      <w:r>
        <w:rPr>
          <w:rFonts w:ascii="Arial;Helvetica;sans-serif" w:hAnsi="Arial;Helvetica;sans-serif"/>
          <w:sz w:val="20"/>
        </w:rPr>
        <w:t>15,</w:t>
      </w:r>
      <w:r>
        <w:rPr>
          <w:rFonts w:ascii="Aptos" w:hAnsi="Aptos"/>
          <w:spacing w:val="-2"/>
          <w:sz w:val="20"/>
        </w:rPr>
        <w:t xml:space="preserve"> </w:t>
      </w:r>
      <w:r>
        <w:rPr>
          <w:rFonts w:ascii="Arial;Helvetica;sans-serif" w:hAnsi="Arial;Helvetica;sans-serif"/>
          <w:sz w:val="20"/>
        </w:rPr>
        <w:t>2015</w:t>
      </w:r>
      <w:r>
        <w:rPr>
          <w:rFonts w:ascii="Aptos" w:hAnsi="Aptos"/>
          <w:spacing w:val="-2"/>
          <w:sz w:val="20"/>
        </w:rPr>
        <w:t xml:space="preserve"> </w:t>
      </w:r>
      <w:r>
        <w:rPr>
          <w:rFonts w:ascii="Arial;Helvetica;sans-serif" w:hAnsi="Arial;Helvetica;sans-serif"/>
          <w:sz w:val="20"/>
        </w:rPr>
        <w:t>(“start</w:t>
      </w:r>
      <w:r>
        <w:rPr>
          <w:rFonts w:ascii="Aptos" w:hAnsi="Aptos"/>
          <w:spacing w:val="-2"/>
          <w:sz w:val="20"/>
        </w:rPr>
        <w:t xml:space="preserve"> </w:t>
      </w:r>
      <w:r>
        <w:rPr>
          <w:rFonts w:ascii="Arial;Helvetica;sans-serif" w:hAnsi="Arial;Helvetica;sans-serif"/>
          <w:sz w:val="20"/>
        </w:rPr>
        <w:t>date”)</w:t>
      </w:r>
      <w:r>
        <w:rPr>
          <w:rFonts w:ascii="Aptos" w:hAnsi="Aptos"/>
          <w:spacing w:val="-2"/>
          <w:sz w:val="20"/>
        </w:rPr>
        <w:t xml:space="preserve"> </w:t>
      </w:r>
      <w:r>
        <w:rPr>
          <w:rFonts w:ascii="Arial;Helvetica;sans-serif" w:hAnsi="Arial;Helvetica;sans-serif"/>
          <w:sz w:val="20"/>
        </w:rPr>
        <w:t>as</w:t>
      </w:r>
      <w:r>
        <w:rPr>
          <w:rFonts w:ascii="Aptos" w:hAnsi="Aptos"/>
          <w:spacing w:val="-2"/>
          <w:sz w:val="20"/>
        </w:rPr>
        <w:t xml:space="preserve"> </w:t>
      </w:r>
      <w:r>
        <w:rPr>
          <w:rFonts w:ascii="Arial;Helvetica;sans-serif" w:hAnsi="Arial;Helvetica;sans-serif"/>
          <w:sz w:val="20"/>
        </w:rPr>
        <w:t>Chief</w:t>
      </w:r>
      <w:r>
        <w:rPr>
          <w:rFonts w:ascii="Aptos" w:hAnsi="Aptos"/>
          <w:spacing w:val="-2"/>
          <w:sz w:val="20"/>
        </w:rPr>
        <w:t xml:space="preserve"> </w:t>
      </w:r>
      <w:r>
        <w:rPr>
          <w:rFonts w:ascii="Arial;Helvetica;sans-serif" w:hAnsi="Arial;Helvetica;sans-serif"/>
          <w:sz w:val="20"/>
        </w:rPr>
        <w:t>of</w:t>
      </w:r>
      <w:r>
        <w:rPr>
          <w:rFonts w:ascii="Aptos" w:hAnsi="Aptos"/>
          <w:spacing w:val="-2"/>
          <w:sz w:val="20"/>
        </w:rPr>
        <w:t xml:space="preserve"> </w:t>
      </w:r>
      <w:r>
        <w:rPr>
          <w:rFonts w:ascii="Arial;Helvetica;sans-serif" w:hAnsi="Arial;Helvetica;sans-serif"/>
          <w:sz w:val="20"/>
        </w:rPr>
        <w:t>Staff</w:t>
      </w:r>
      <w:r>
        <w:rPr>
          <w:rFonts w:ascii="Aptos" w:hAnsi="Aptos"/>
          <w:spacing w:val="-2"/>
          <w:sz w:val="20"/>
        </w:rPr>
        <w:t xml:space="preserve"> </w:t>
      </w:r>
      <w:r>
        <w:rPr>
          <w:rFonts w:ascii="Arial;Helvetica;sans-serif" w:hAnsi="Arial;Helvetica;sans-serif"/>
          <w:sz w:val="20"/>
        </w:rPr>
        <w:t>to</w:t>
      </w:r>
      <w:r>
        <w:rPr>
          <w:rFonts w:ascii="Aptos" w:hAnsi="Aptos"/>
          <w:spacing w:val="-2"/>
          <w:sz w:val="20"/>
        </w:rPr>
        <w:t xml:space="preserve"> </w:t>
      </w:r>
      <w:r>
        <w:rPr>
          <w:rFonts w:ascii="Arial;Helvetica;sans-serif" w:hAnsi="Arial;Helvetica;sans-serif"/>
          <w:sz w:val="20"/>
        </w:rPr>
        <w:t>the</w:t>
      </w:r>
      <w:r>
        <w:rPr>
          <w:rFonts w:ascii="Aptos" w:hAnsi="Aptos"/>
          <w:spacing w:val="-2"/>
          <w:sz w:val="20"/>
        </w:rPr>
        <w:t xml:space="preserve"> </w:t>
      </w:r>
      <w:r>
        <w:rPr>
          <w:rFonts w:ascii="Arial;Helvetica;sans-serif" w:hAnsi="Arial;Helvetica;sans-serif"/>
          <w:sz w:val="20"/>
        </w:rPr>
        <w:t>Chairman</w:t>
      </w:r>
      <w:r>
        <w:rPr>
          <w:rFonts w:ascii="Aptos" w:hAnsi="Aptos"/>
          <w:spacing w:val="-2"/>
          <w:sz w:val="20"/>
        </w:rPr>
        <w:t xml:space="preserve"> </w:t>
      </w:r>
      <w:r>
        <w:rPr>
          <w:rFonts w:ascii="Arial;Helvetica;sans-serif" w:hAnsi="Arial;Helvetica;sans-serif"/>
          <w:sz w:val="20"/>
        </w:rPr>
        <w:t>and CEO (initial role);</w:t>
      </w:r>
    </w:p>
    <w:p>
      <w:pPr>
        <w:pStyle w:val="TextBody"/>
        <w:bidi w:val="0"/>
        <w:spacing w:lineRule="auto" w:line="285" w:before="198" w:after="0"/>
        <w:ind w:left="0" w:right="341" w:hanging="0"/>
        <w:jc w:val="left"/>
        <w:rPr>
          <w:rFonts w:ascii="Aptos" w:hAnsi="Aptos"/>
          <w:sz w:val="20"/>
        </w:rPr>
      </w:pPr>
      <w:r>
        <w:rPr>
          <w:rFonts w:ascii="Arial;Helvetica;sans-serif" w:hAnsi="Arial;Helvetica;sans-serif"/>
          <w:b/>
          <w:sz w:val="20"/>
        </w:rPr>
        <w:t>Whereas</w:t>
      </w:r>
      <w:r>
        <w:rPr>
          <w:rFonts w:ascii="Arial;Helvetica;sans-serif" w:hAnsi="Arial;Helvetica;sans-serif"/>
          <w:sz w:val="20"/>
        </w:rPr>
        <w:t>, Mr. Brown’s responsibilities expanded to include the leadership of TTEC Corporate Development</w:t>
      </w:r>
      <w:r>
        <w:rPr>
          <w:rFonts w:ascii="Aptos" w:hAnsi="Aptos"/>
          <w:spacing w:val="-3"/>
          <w:sz w:val="20"/>
        </w:rPr>
        <w:t xml:space="preserve"> </w:t>
      </w:r>
      <w:r>
        <w:rPr>
          <w:rFonts w:ascii="Arial;Helvetica;sans-serif" w:hAnsi="Arial;Helvetica;sans-serif"/>
          <w:sz w:val="20"/>
        </w:rPr>
        <w:t>function</w:t>
      </w:r>
      <w:r>
        <w:rPr>
          <w:rFonts w:ascii="Aptos" w:hAnsi="Aptos"/>
          <w:spacing w:val="-3"/>
          <w:sz w:val="20"/>
        </w:rPr>
        <w:t xml:space="preserve"> </w:t>
      </w:r>
      <w:r>
        <w:rPr>
          <w:rFonts w:ascii="Arial;Helvetica;sans-serif" w:hAnsi="Arial;Helvetica;sans-serif"/>
          <w:sz w:val="20"/>
        </w:rPr>
        <w:t>in</w:t>
      </w:r>
      <w:r>
        <w:rPr>
          <w:rFonts w:ascii="Aptos" w:hAnsi="Aptos"/>
          <w:spacing w:val="-3"/>
          <w:sz w:val="20"/>
        </w:rPr>
        <w:t xml:space="preserve"> </w:t>
      </w:r>
      <w:r>
        <w:rPr>
          <w:rFonts w:ascii="Arial;Helvetica;sans-serif" w:hAnsi="Arial;Helvetica;sans-serif"/>
          <w:sz w:val="20"/>
        </w:rPr>
        <w:t>June</w:t>
      </w:r>
      <w:r>
        <w:rPr>
          <w:rFonts w:ascii="Aptos" w:hAnsi="Aptos"/>
          <w:spacing w:val="-3"/>
          <w:sz w:val="20"/>
        </w:rPr>
        <w:t xml:space="preserve"> </w:t>
      </w:r>
      <w:r>
        <w:rPr>
          <w:rFonts w:ascii="Arial;Helvetica;sans-serif" w:hAnsi="Arial;Helvetica;sans-serif"/>
          <w:sz w:val="20"/>
        </w:rPr>
        <w:t>2020</w:t>
      </w:r>
      <w:r>
        <w:rPr>
          <w:rFonts w:ascii="Aptos" w:hAnsi="Aptos"/>
          <w:spacing w:val="-4"/>
          <w:sz w:val="20"/>
        </w:rPr>
        <w:t xml:space="preserve"> </w:t>
      </w:r>
      <w:r>
        <w:rPr>
          <w:rFonts w:ascii="Arial;Helvetica;sans-serif" w:hAnsi="Arial;Helvetica;sans-serif"/>
          <w:sz w:val="20"/>
        </w:rPr>
        <w:t>(which</w:t>
      </w:r>
      <w:r>
        <w:rPr>
          <w:rFonts w:ascii="Aptos" w:hAnsi="Aptos"/>
          <w:spacing w:val="-3"/>
          <w:sz w:val="20"/>
        </w:rPr>
        <w:t xml:space="preserve"> </w:t>
      </w:r>
      <w:r>
        <w:rPr>
          <w:rFonts w:ascii="Arial;Helvetica;sans-serif" w:hAnsi="Arial;Helvetica;sans-serif"/>
          <w:sz w:val="20"/>
        </w:rPr>
        <w:t>together</w:t>
      </w:r>
      <w:r>
        <w:rPr>
          <w:rFonts w:ascii="Aptos" w:hAnsi="Aptos"/>
          <w:spacing w:val="-3"/>
          <w:sz w:val="20"/>
        </w:rPr>
        <w:t xml:space="preserve"> </w:t>
      </w:r>
      <w:r>
        <w:rPr>
          <w:rFonts w:ascii="Arial;Helvetica;sans-serif" w:hAnsi="Arial;Helvetica;sans-serif"/>
          <w:sz w:val="20"/>
        </w:rPr>
        <w:t>with</w:t>
      </w:r>
      <w:r>
        <w:rPr>
          <w:rFonts w:ascii="Aptos" w:hAnsi="Aptos"/>
          <w:spacing w:val="-3"/>
          <w:sz w:val="20"/>
        </w:rPr>
        <w:t xml:space="preserve"> </w:t>
      </w:r>
      <w:r>
        <w:rPr>
          <w:rFonts w:ascii="Arial;Helvetica;sans-serif" w:hAnsi="Arial;Helvetica;sans-serif"/>
          <w:sz w:val="20"/>
        </w:rPr>
        <w:t>the</w:t>
      </w:r>
      <w:r>
        <w:rPr>
          <w:rFonts w:ascii="Aptos" w:hAnsi="Aptos"/>
          <w:spacing w:val="-3"/>
          <w:sz w:val="20"/>
        </w:rPr>
        <w:t xml:space="preserve"> </w:t>
      </w:r>
      <w:r>
        <w:rPr>
          <w:rFonts w:ascii="Arial;Helvetica;sans-serif" w:hAnsi="Arial;Helvetica;sans-serif"/>
          <w:sz w:val="20"/>
        </w:rPr>
        <w:t>initial</w:t>
      </w:r>
      <w:r>
        <w:rPr>
          <w:rFonts w:ascii="Aptos" w:hAnsi="Aptos"/>
          <w:spacing w:val="-3"/>
          <w:sz w:val="20"/>
        </w:rPr>
        <w:t xml:space="preserve"> </w:t>
      </w:r>
      <w:r>
        <w:rPr>
          <w:rFonts w:ascii="Arial;Helvetica;sans-serif" w:hAnsi="Arial;Helvetica;sans-serif"/>
          <w:sz w:val="20"/>
        </w:rPr>
        <w:t>role</w:t>
      </w:r>
      <w:r>
        <w:rPr>
          <w:rFonts w:ascii="Aptos" w:hAnsi="Aptos"/>
          <w:spacing w:val="-3"/>
          <w:sz w:val="20"/>
        </w:rPr>
        <w:t xml:space="preserve"> </w:t>
      </w:r>
      <w:r>
        <w:rPr>
          <w:rFonts w:ascii="Arial;Helvetica;sans-serif" w:hAnsi="Arial;Helvetica;sans-serif"/>
          <w:sz w:val="20"/>
        </w:rPr>
        <w:t>will</w:t>
      </w:r>
      <w:r>
        <w:rPr>
          <w:rFonts w:ascii="Aptos" w:hAnsi="Aptos"/>
          <w:spacing w:val="-3"/>
          <w:sz w:val="20"/>
        </w:rPr>
        <w:t xml:space="preserve"> </w:t>
      </w:r>
      <w:r>
        <w:rPr>
          <w:rFonts w:ascii="Arial;Helvetica;sans-serif" w:hAnsi="Arial;Helvetica;sans-serif"/>
          <w:sz w:val="20"/>
        </w:rPr>
        <w:t>hereafter</w:t>
      </w:r>
      <w:r>
        <w:rPr>
          <w:rFonts w:ascii="Aptos" w:hAnsi="Aptos"/>
          <w:spacing w:val="-3"/>
          <w:sz w:val="20"/>
        </w:rPr>
        <w:t xml:space="preserve"> </w:t>
      </w:r>
      <w:r>
        <w:rPr>
          <w:rFonts w:ascii="Arial;Helvetica;sans-serif" w:hAnsi="Arial;Helvetica;sans-serif"/>
          <w:sz w:val="20"/>
        </w:rPr>
        <w:t>be</w:t>
      </w:r>
      <w:r>
        <w:rPr>
          <w:rFonts w:ascii="Aptos" w:hAnsi="Aptos"/>
          <w:spacing w:val="-3"/>
          <w:sz w:val="20"/>
        </w:rPr>
        <w:t xml:space="preserve"> </w:t>
      </w:r>
      <w:r>
        <w:rPr>
          <w:rFonts w:ascii="Arial;Helvetica;sans-serif" w:hAnsi="Arial;Helvetica;sans-serif"/>
          <w:sz w:val="20"/>
        </w:rPr>
        <w:t>referred</w:t>
      </w:r>
      <w:r>
        <w:rPr>
          <w:rFonts w:ascii="Aptos" w:hAnsi="Aptos"/>
          <w:spacing w:val="-3"/>
          <w:sz w:val="20"/>
        </w:rPr>
        <w:t xml:space="preserve"> </w:t>
      </w:r>
      <w:r>
        <w:rPr>
          <w:rFonts w:ascii="Arial;Helvetica;sans-serif" w:hAnsi="Arial;Helvetica;sans-serif"/>
          <w:sz w:val="20"/>
        </w:rPr>
        <w:t>to</w:t>
      </w:r>
      <w:r>
        <w:rPr>
          <w:rFonts w:ascii="Aptos" w:hAnsi="Aptos"/>
          <w:spacing w:val="-3"/>
          <w:sz w:val="20"/>
        </w:rPr>
        <w:t xml:space="preserve"> </w:t>
      </w:r>
      <w:r>
        <w:rPr>
          <w:rFonts w:ascii="Arial;Helvetica;sans-serif" w:hAnsi="Arial;Helvetica;sans-serif"/>
          <w:sz w:val="20"/>
        </w:rPr>
        <w:t>as “Current Responsibilities”);</w:t>
      </w:r>
    </w:p>
    <w:p>
      <w:pPr>
        <w:pStyle w:val="TextBody"/>
        <w:bidi w:val="0"/>
        <w:spacing w:lineRule="auto" w:line="285" w:before="203" w:after="0"/>
        <w:ind w:left="0" w:right="0" w:hanging="0"/>
        <w:jc w:val="left"/>
        <w:rPr>
          <w:rFonts w:ascii="Aptos" w:hAnsi="Aptos"/>
          <w:sz w:val="20"/>
        </w:rPr>
      </w:pPr>
      <w:r>
        <w:rPr>
          <w:rFonts w:ascii="Arial;Helvetica;sans-serif" w:hAnsi="Arial;Helvetica;sans-serif"/>
          <w:b/>
          <w:sz w:val="20"/>
        </w:rPr>
        <w:t>Whereas</w:t>
      </w:r>
      <w:r>
        <w:rPr>
          <w:rFonts w:ascii="Arial;Helvetica;sans-serif" w:hAnsi="Arial;Helvetica;sans-serif"/>
          <w:sz w:val="20"/>
        </w:rPr>
        <w:t>,</w:t>
      </w:r>
      <w:r>
        <w:rPr>
          <w:rFonts w:ascii="Aptos" w:hAnsi="Aptos"/>
          <w:spacing w:val="41"/>
          <w:sz w:val="20"/>
        </w:rPr>
        <w:t xml:space="preserve"> </w:t>
      </w:r>
      <w:r>
        <w:rPr>
          <w:rFonts w:ascii="Arial;Helvetica;sans-serif" w:hAnsi="Arial;Helvetica;sans-serif"/>
          <w:sz w:val="20"/>
        </w:rPr>
        <w:t>effective</w:t>
      </w:r>
      <w:r>
        <w:rPr>
          <w:rFonts w:ascii="Aptos" w:hAnsi="Aptos"/>
          <w:spacing w:val="-6"/>
          <w:sz w:val="20"/>
        </w:rPr>
        <w:t xml:space="preserve"> </w:t>
      </w:r>
      <w:r>
        <w:rPr>
          <w:rFonts w:ascii="Arial;Helvetica;sans-serif" w:hAnsi="Arial;Helvetica;sans-serif"/>
          <w:sz w:val="20"/>
        </w:rPr>
        <w:t>March</w:t>
      </w:r>
      <w:r>
        <w:rPr>
          <w:rFonts w:ascii="Aptos" w:hAnsi="Aptos"/>
          <w:spacing w:val="-6"/>
          <w:sz w:val="20"/>
        </w:rPr>
        <w:t xml:space="preserve"> </w:t>
      </w:r>
      <w:r>
        <w:rPr>
          <w:rFonts w:ascii="Arial;Helvetica;sans-serif" w:hAnsi="Arial;Helvetica;sans-serif"/>
          <w:sz w:val="20"/>
        </w:rPr>
        <w:t>17,</w:t>
      </w:r>
      <w:r>
        <w:rPr>
          <w:rFonts w:ascii="Aptos" w:hAnsi="Aptos"/>
          <w:spacing w:val="-6"/>
          <w:sz w:val="20"/>
        </w:rPr>
        <w:t xml:space="preserve"> </w:t>
      </w:r>
      <w:r>
        <w:rPr>
          <w:rFonts w:ascii="Arial;Helvetica;sans-serif" w:hAnsi="Arial;Helvetica;sans-serif"/>
          <w:sz w:val="20"/>
        </w:rPr>
        <w:t>2026</w:t>
      </w:r>
      <w:r>
        <w:rPr>
          <w:rFonts w:ascii="Aptos" w:hAnsi="Aptos"/>
          <w:spacing w:val="-6"/>
          <w:sz w:val="20"/>
        </w:rPr>
        <w:t xml:space="preserve"> </w:t>
      </w:r>
      <w:r>
        <w:rPr>
          <w:rFonts w:ascii="Arial;Helvetica;sans-serif" w:hAnsi="Arial;Helvetica;sans-serif"/>
          <w:sz w:val="20"/>
        </w:rPr>
        <w:t>TTEC</w:t>
      </w:r>
      <w:r>
        <w:rPr>
          <w:rFonts w:ascii="Aptos" w:hAnsi="Aptos"/>
          <w:spacing w:val="-7"/>
          <w:sz w:val="20"/>
        </w:rPr>
        <w:t xml:space="preserve"> </w:t>
      </w:r>
      <w:r>
        <w:rPr>
          <w:rFonts w:ascii="Arial;Helvetica;sans-serif" w:hAnsi="Arial;Helvetica;sans-serif"/>
          <w:sz w:val="20"/>
        </w:rPr>
        <w:t>appointed</w:t>
      </w:r>
      <w:r>
        <w:rPr>
          <w:rFonts w:ascii="Aptos" w:hAnsi="Aptos"/>
          <w:spacing w:val="-6"/>
          <w:sz w:val="20"/>
        </w:rPr>
        <w:t xml:space="preserve"> </w:t>
      </w:r>
      <w:r>
        <w:rPr>
          <w:rFonts w:ascii="Arial;Helvetica;sans-serif" w:hAnsi="Arial;Helvetica;sans-serif"/>
          <w:sz w:val="20"/>
        </w:rPr>
        <w:t>Mr.</w:t>
      </w:r>
      <w:r>
        <w:rPr>
          <w:rFonts w:ascii="Aptos" w:hAnsi="Aptos"/>
          <w:spacing w:val="-6"/>
          <w:sz w:val="20"/>
        </w:rPr>
        <w:t xml:space="preserve"> </w:t>
      </w:r>
      <w:r>
        <w:rPr>
          <w:rFonts w:ascii="Arial;Helvetica;sans-serif" w:hAnsi="Arial;Helvetica;sans-serif"/>
          <w:sz w:val="20"/>
        </w:rPr>
        <w:t>Brown</w:t>
      </w:r>
      <w:r>
        <w:rPr>
          <w:rFonts w:ascii="Aptos" w:hAnsi="Aptos"/>
          <w:spacing w:val="-6"/>
          <w:sz w:val="20"/>
        </w:rPr>
        <w:t xml:space="preserve"> </w:t>
      </w:r>
      <w:r>
        <w:rPr>
          <w:rFonts w:ascii="Arial;Helvetica;sans-serif" w:hAnsi="Arial;Helvetica;sans-serif"/>
          <w:sz w:val="20"/>
        </w:rPr>
        <w:t>as</w:t>
      </w:r>
      <w:r>
        <w:rPr>
          <w:rFonts w:ascii="Aptos" w:hAnsi="Aptos"/>
          <w:spacing w:val="-7"/>
          <w:sz w:val="20"/>
        </w:rPr>
        <w:t xml:space="preserve"> </w:t>
      </w:r>
      <w:r>
        <w:rPr>
          <w:rFonts w:ascii="Arial;Helvetica;sans-serif" w:hAnsi="Arial;Helvetica;sans-serif"/>
          <w:sz w:val="20"/>
        </w:rPr>
        <w:t>President,</w:t>
      </w:r>
      <w:r>
        <w:rPr>
          <w:rFonts w:ascii="Aptos" w:hAnsi="Aptos"/>
          <w:spacing w:val="-6"/>
          <w:sz w:val="20"/>
        </w:rPr>
        <w:t xml:space="preserve"> </w:t>
      </w:r>
      <w:r>
        <w:rPr>
          <w:rFonts w:ascii="Arial;Helvetica;sans-serif" w:hAnsi="Arial;Helvetica;sans-serif"/>
          <w:sz w:val="20"/>
        </w:rPr>
        <w:t>TTEC</w:t>
      </w:r>
      <w:r>
        <w:rPr>
          <w:rFonts w:ascii="Aptos" w:hAnsi="Aptos"/>
          <w:spacing w:val="-7"/>
          <w:sz w:val="20"/>
        </w:rPr>
        <w:t xml:space="preserve"> </w:t>
      </w:r>
      <w:r>
        <w:rPr>
          <w:rFonts w:ascii="Arial;Helvetica;sans-serif" w:hAnsi="Arial;Helvetica;sans-serif"/>
          <w:spacing w:val="-2"/>
          <w:sz w:val="20"/>
        </w:rPr>
        <w:t>Digital;</w:t>
      </w:r>
    </w:p>
    <w:p>
      <w:pPr>
        <w:pStyle w:val="TextBody"/>
        <w:bidi w:val="0"/>
        <w:spacing w:lineRule="auto" w:line="285" w:before="197" w:after="0"/>
        <w:ind w:left="0" w:right="503" w:hanging="0"/>
        <w:jc w:val="left"/>
        <w:rPr>
          <w:rFonts w:ascii="Aptos" w:hAnsi="Aptos"/>
          <w:sz w:val="20"/>
        </w:rPr>
      </w:pPr>
      <w:r>
        <w:rPr>
          <w:rFonts w:ascii="Arial;Helvetica;sans-serif" w:hAnsi="Arial;Helvetica;sans-serif"/>
          <w:b/>
          <w:sz w:val="20"/>
        </w:rPr>
        <w:t>Whereas,</w:t>
      </w:r>
      <w:r>
        <w:rPr>
          <w:rFonts w:ascii="Aptos" w:hAnsi="Aptos"/>
          <w:spacing w:val="-2"/>
          <w:sz w:val="20"/>
        </w:rPr>
        <w:t xml:space="preserve"> </w:t>
      </w:r>
      <w:r>
        <w:rPr>
          <w:rFonts w:ascii="Arial;Helvetica;sans-serif" w:hAnsi="Arial;Helvetica;sans-serif"/>
          <w:sz w:val="20"/>
        </w:rPr>
        <w:t>Mr.</w:t>
      </w:r>
      <w:r>
        <w:rPr>
          <w:rFonts w:ascii="Aptos" w:hAnsi="Aptos"/>
          <w:spacing w:val="-2"/>
          <w:sz w:val="20"/>
        </w:rPr>
        <w:t xml:space="preserve"> </w:t>
      </w:r>
      <w:r>
        <w:rPr>
          <w:rFonts w:ascii="Arial;Helvetica;sans-serif" w:hAnsi="Arial;Helvetica;sans-serif"/>
          <w:sz w:val="20"/>
        </w:rPr>
        <w:t>Brown</w:t>
      </w:r>
      <w:r>
        <w:rPr>
          <w:rFonts w:ascii="Aptos" w:hAnsi="Aptos"/>
          <w:spacing w:val="-2"/>
          <w:sz w:val="20"/>
        </w:rPr>
        <w:t xml:space="preserve"> </w:t>
      </w:r>
      <w:r>
        <w:rPr>
          <w:rFonts w:ascii="Arial;Helvetica;sans-serif" w:hAnsi="Arial;Helvetica;sans-serif"/>
          <w:sz w:val="20"/>
        </w:rPr>
        <w:t>currently</w:t>
      </w:r>
      <w:r>
        <w:rPr>
          <w:rFonts w:ascii="Aptos" w:hAnsi="Aptos"/>
          <w:spacing w:val="-2"/>
          <w:sz w:val="20"/>
        </w:rPr>
        <w:t xml:space="preserve"> </w:t>
      </w:r>
      <w:r>
        <w:rPr>
          <w:rFonts w:ascii="Arial;Helvetica;sans-serif" w:hAnsi="Arial;Helvetica;sans-serif"/>
          <w:sz w:val="20"/>
        </w:rPr>
        <w:t>is</w:t>
      </w:r>
      <w:r>
        <w:rPr>
          <w:rFonts w:ascii="Aptos" w:hAnsi="Aptos"/>
          <w:spacing w:val="-2"/>
          <w:sz w:val="20"/>
        </w:rPr>
        <w:t xml:space="preserve"> </w:t>
      </w:r>
      <w:r>
        <w:rPr>
          <w:rFonts w:ascii="Arial;Helvetica;sans-serif" w:hAnsi="Arial;Helvetica;sans-serif"/>
          <w:sz w:val="20"/>
        </w:rPr>
        <w:t>an</w:t>
      </w:r>
      <w:r>
        <w:rPr>
          <w:rFonts w:ascii="Aptos" w:hAnsi="Aptos"/>
          <w:spacing w:val="-2"/>
          <w:sz w:val="20"/>
        </w:rPr>
        <w:t xml:space="preserve"> </w:t>
      </w:r>
      <w:r>
        <w:rPr>
          <w:rFonts w:ascii="Arial;Helvetica;sans-serif" w:hAnsi="Arial;Helvetica;sans-serif"/>
          <w:sz w:val="20"/>
        </w:rPr>
        <w:t>employee</w:t>
      </w:r>
      <w:r>
        <w:rPr>
          <w:rFonts w:ascii="Aptos" w:hAnsi="Aptos"/>
          <w:spacing w:val="-2"/>
          <w:sz w:val="20"/>
        </w:rPr>
        <w:t xml:space="preserve"> </w:t>
      </w:r>
      <w:r>
        <w:rPr>
          <w:rFonts w:ascii="Arial;Helvetica;sans-serif" w:hAnsi="Arial;Helvetica;sans-serif"/>
          <w:i/>
          <w:sz w:val="20"/>
        </w:rPr>
        <w:t>at-will</w:t>
      </w:r>
      <w:r>
        <w:rPr>
          <w:rFonts w:ascii="Aptos" w:hAnsi="Aptos"/>
          <w:spacing w:val="-2"/>
          <w:sz w:val="20"/>
        </w:rPr>
        <w:t xml:space="preserve"> </w:t>
      </w:r>
      <w:r>
        <w:rPr>
          <w:rFonts w:ascii="Arial;Helvetica;sans-serif" w:hAnsi="Arial;Helvetica;sans-serif"/>
          <w:sz w:val="20"/>
        </w:rPr>
        <w:t>and</w:t>
      </w:r>
      <w:r>
        <w:rPr>
          <w:rFonts w:ascii="Aptos" w:hAnsi="Aptos"/>
          <w:spacing w:val="-2"/>
          <w:sz w:val="20"/>
        </w:rPr>
        <w:t xml:space="preserve"> </w:t>
      </w:r>
      <w:r>
        <w:rPr>
          <w:rFonts w:ascii="Arial;Helvetica;sans-serif" w:hAnsi="Arial;Helvetica;sans-serif"/>
          <w:sz w:val="20"/>
        </w:rPr>
        <w:t>does</w:t>
      </w:r>
      <w:r>
        <w:rPr>
          <w:rFonts w:ascii="Aptos" w:hAnsi="Aptos"/>
          <w:spacing w:val="-2"/>
          <w:sz w:val="20"/>
        </w:rPr>
        <w:t xml:space="preserve"> </w:t>
      </w:r>
      <w:r>
        <w:rPr>
          <w:rFonts w:ascii="Arial;Helvetica;sans-serif" w:hAnsi="Arial;Helvetica;sans-serif"/>
          <w:sz w:val="20"/>
        </w:rPr>
        <w:t>not</w:t>
      </w:r>
      <w:r>
        <w:rPr>
          <w:rFonts w:ascii="Aptos" w:hAnsi="Aptos"/>
          <w:spacing w:val="-2"/>
          <w:sz w:val="20"/>
        </w:rPr>
        <w:t xml:space="preserve"> </w:t>
      </w:r>
      <w:r>
        <w:rPr>
          <w:rFonts w:ascii="Arial;Helvetica;sans-serif" w:hAnsi="Arial;Helvetica;sans-serif"/>
          <w:sz w:val="20"/>
        </w:rPr>
        <w:t>have</w:t>
      </w:r>
      <w:r>
        <w:rPr>
          <w:rFonts w:ascii="Aptos" w:hAnsi="Aptos"/>
          <w:spacing w:val="-2"/>
          <w:sz w:val="20"/>
        </w:rPr>
        <w:t xml:space="preserve"> </w:t>
      </w:r>
      <w:r>
        <w:rPr>
          <w:rFonts w:ascii="Arial;Helvetica;sans-serif" w:hAnsi="Arial;Helvetica;sans-serif"/>
          <w:sz w:val="20"/>
        </w:rPr>
        <w:t>an</w:t>
      </w:r>
      <w:r>
        <w:rPr>
          <w:rFonts w:ascii="Aptos" w:hAnsi="Aptos"/>
          <w:spacing w:val="-2"/>
          <w:sz w:val="20"/>
        </w:rPr>
        <w:t xml:space="preserve"> </w:t>
      </w:r>
      <w:r>
        <w:rPr>
          <w:rFonts w:ascii="Arial;Helvetica;sans-serif" w:hAnsi="Arial;Helvetica;sans-serif"/>
          <w:sz w:val="20"/>
        </w:rPr>
        <w:t>employment</w:t>
      </w:r>
      <w:r>
        <w:rPr>
          <w:rFonts w:ascii="Aptos" w:hAnsi="Aptos"/>
          <w:spacing w:val="-2"/>
          <w:sz w:val="20"/>
        </w:rPr>
        <w:t xml:space="preserve"> </w:t>
      </w:r>
      <w:r>
        <w:rPr>
          <w:rFonts w:ascii="Arial;Helvetica;sans-serif" w:hAnsi="Arial;Helvetica;sans-serif"/>
          <w:sz w:val="20"/>
        </w:rPr>
        <w:t>agreement</w:t>
      </w:r>
      <w:r>
        <w:rPr>
          <w:rFonts w:ascii="Aptos" w:hAnsi="Aptos"/>
          <w:spacing w:val="-2"/>
          <w:sz w:val="20"/>
        </w:rPr>
        <w:t xml:space="preserve"> </w:t>
      </w:r>
      <w:r>
        <w:rPr>
          <w:rFonts w:ascii="Arial;Helvetica;sans-serif" w:hAnsi="Arial;Helvetica;sans-serif"/>
          <w:sz w:val="20"/>
        </w:rPr>
        <w:t>with TTEC Parent or the Company; and whereas his employment</w:t>
      </w:r>
      <w:r>
        <w:rPr>
          <w:rFonts w:ascii="Aptos" w:hAnsi="Aptos"/>
          <w:spacing w:val="40"/>
          <w:sz w:val="20"/>
        </w:rPr>
        <w:t xml:space="preserve"> </w:t>
      </w:r>
      <w:r>
        <w:rPr>
          <w:rFonts w:ascii="Arial;Helvetica;sans-serif" w:hAnsi="Arial;Helvetica;sans-serif"/>
          <w:sz w:val="20"/>
        </w:rPr>
        <w:t>arrangement</w:t>
      </w:r>
      <w:r>
        <w:rPr>
          <w:rFonts w:ascii="Aptos" w:hAnsi="Aptos"/>
          <w:spacing w:val="40"/>
          <w:sz w:val="20"/>
        </w:rPr>
        <w:t xml:space="preserve"> </w:t>
      </w:r>
      <w:r>
        <w:rPr>
          <w:rFonts w:ascii="Arial;Helvetica;sans-serif" w:hAnsi="Arial;Helvetica;sans-serif"/>
          <w:sz w:val="20"/>
        </w:rPr>
        <w:t>with the Company</w:t>
      </w:r>
      <w:r>
        <w:rPr>
          <w:rFonts w:ascii="Aptos" w:hAnsi="Aptos"/>
          <w:spacing w:val="37"/>
          <w:sz w:val="20"/>
        </w:rPr>
        <w:t xml:space="preserve"> </w:t>
      </w:r>
      <w:r>
        <w:rPr>
          <w:rFonts w:ascii="Arial;Helvetica;sans-serif" w:hAnsi="Arial;Helvetica;sans-serif"/>
          <w:sz w:val="20"/>
        </w:rPr>
        <w:t>is documented</w:t>
      </w:r>
      <w:r>
        <w:rPr>
          <w:rFonts w:ascii="Aptos" w:hAnsi="Aptos"/>
          <w:spacing w:val="17"/>
          <w:sz w:val="20"/>
        </w:rPr>
        <w:t xml:space="preserve"> </w:t>
      </w:r>
      <w:r>
        <w:rPr>
          <w:rFonts w:ascii="Arial;Helvetica;sans-serif" w:hAnsi="Arial;Helvetica;sans-serif"/>
          <w:sz w:val="20"/>
        </w:rPr>
        <w:t>as an offer letter</w:t>
      </w:r>
      <w:r>
        <w:rPr>
          <w:rFonts w:ascii="Aptos" w:hAnsi="Aptos"/>
          <w:spacing w:val="21"/>
          <w:sz w:val="20"/>
        </w:rPr>
        <w:t xml:space="preserve"> </w:t>
      </w:r>
      <w:r>
        <w:rPr>
          <w:rFonts w:ascii="Arial;Helvetica;sans-serif" w:hAnsi="Arial;Helvetica;sans-serif"/>
          <w:sz w:val="20"/>
        </w:rPr>
        <w:t>and a series</w:t>
      </w:r>
      <w:r>
        <w:rPr>
          <w:rFonts w:ascii="Aptos" w:hAnsi="Aptos"/>
          <w:spacing w:val="16"/>
          <w:sz w:val="20"/>
        </w:rPr>
        <w:t xml:space="preserve"> </w:t>
      </w:r>
      <w:r>
        <w:rPr>
          <w:rFonts w:ascii="Arial;Helvetica;sans-serif" w:hAnsi="Arial;Helvetica;sans-serif"/>
          <w:sz w:val="20"/>
        </w:rPr>
        <w:t>of other</w:t>
      </w:r>
      <w:r>
        <w:rPr>
          <w:rFonts w:ascii="Aptos" w:hAnsi="Aptos"/>
          <w:spacing w:val="18"/>
          <w:sz w:val="20"/>
        </w:rPr>
        <w:t xml:space="preserve"> </w:t>
      </w:r>
      <w:r>
        <w:rPr>
          <w:rFonts w:ascii="Arial;Helvetica;sans-serif" w:hAnsi="Arial;Helvetica;sans-serif"/>
          <w:sz w:val="20"/>
        </w:rPr>
        <w:t>documents;</w:t>
      </w:r>
      <w:r>
        <w:rPr>
          <w:rFonts w:ascii="Aptos" w:hAnsi="Aptos"/>
          <w:spacing w:val="26"/>
          <w:sz w:val="20"/>
        </w:rPr>
        <w:t xml:space="preserve"> </w:t>
      </w:r>
      <w:r>
        <w:rPr>
          <w:rFonts w:ascii="Arial;Helvetica;sans-serif" w:hAnsi="Arial;Helvetica;sans-serif"/>
          <w:sz w:val="20"/>
        </w:rPr>
        <w:t>and, whereas</w:t>
      </w:r>
      <w:r>
        <w:rPr>
          <w:rFonts w:ascii="Aptos" w:hAnsi="Aptos"/>
          <w:spacing w:val="35"/>
          <w:sz w:val="20"/>
        </w:rPr>
        <w:t xml:space="preserve"> </w:t>
      </w:r>
      <w:r>
        <w:rPr>
          <w:rFonts w:ascii="Arial;Helvetica;sans-serif" w:hAnsi="Arial;Helvetica;sans-serif"/>
          <w:sz w:val="20"/>
        </w:rPr>
        <w:t>it is</w:t>
      </w:r>
      <w:r>
        <w:rPr>
          <w:rFonts w:ascii="Aptos" w:hAnsi="Aptos"/>
          <w:spacing w:val="-14"/>
          <w:sz w:val="20"/>
        </w:rPr>
        <w:t xml:space="preserve"> </w:t>
      </w:r>
      <w:r>
        <w:rPr>
          <w:rFonts w:ascii="Arial;Helvetica;sans-serif" w:hAnsi="Arial;Helvetica;sans-serif"/>
          <w:sz w:val="20"/>
        </w:rPr>
        <w:t>the desire</w:t>
      </w:r>
      <w:r>
        <w:rPr>
          <w:rFonts w:ascii="Aptos" w:hAnsi="Aptos"/>
          <w:spacing w:val="25"/>
          <w:sz w:val="20"/>
        </w:rPr>
        <w:t xml:space="preserve"> </w:t>
      </w:r>
      <w:r>
        <w:rPr>
          <w:rFonts w:ascii="Arial;Helvetica;sans-serif" w:hAnsi="Arial;Helvetica;sans-serif"/>
          <w:sz w:val="20"/>
        </w:rPr>
        <w:t>of TTEC Parent and the Compensation</w:t>
      </w:r>
      <w:r>
        <w:rPr>
          <w:rFonts w:ascii="Aptos" w:hAnsi="Aptos"/>
          <w:spacing w:val="40"/>
          <w:sz w:val="20"/>
        </w:rPr>
        <w:t xml:space="preserve"> </w:t>
      </w:r>
      <w:r>
        <w:rPr>
          <w:rFonts w:ascii="Arial;Helvetica;sans-serif" w:hAnsi="Arial;Helvetica;sans-serif"/>
          <w:sz w:val="20"/>
        </w:rPr>
        <w:t>Committee of</w:t>
      </w:r>
      <w:r>
        <w:rPr>
          <w:rFonts w:ascii="Aptos" w:hAnsi="Aptos"/>
          <w:spacing w:val="38"/>
          <w:sz w:val="20"/>
        </w:rPr>
        <w:t xml:space="preserve"> </w:t>
      </w:r>
      <w:r>
        <w:rPr>
          <w:rFonts w:ascii="Arial;Helvetica;sans-serif" w:hAnsi="Arial;Helvetica;sans-serif"/>
          <w:sz w:val="20"/>
        </w:rPr>
        <w:t>the TTEC Board</w:t>
      </w:r>
      <w:r>
        <w:rPr>
          <w:rFonts w:ascii="Aptos" w:hAnsi="Aptos"/>
          <w:spacing w:val="35"/>
          <w:sz w:val="20"/>
        </w:rPr>
        <w:t xml:space="preserve"> </w:t>
      </w:r>
      <w:r>
        <w:rPr>
          <w:rFonts w:ascii="Arial;Helvetica;sans-serif" w:hAnsi="Arial;Helvetica;sans-serif"/>
          <w:sz w:val="20"/>
        </w:rPr>
        <w:t>of Directors ("Compensation Committee"), on the advice</w:t>
      </w:r>
      <w:r>
        <w:rPr>
          <w:rFonts w:ascii="Aptos" w:hAnsi="Aptos"/>
          <w:spacing w:val="40"/>
          <w:sz w:val="20"/>
        </w:rPr>
        <w:t xml:space="preserve"> </w:t>
      </w:r>
      <w:r>
        <w:rPr>
          <w:rFonts w:ascii="Arial;Helvetica;sans-serif" w:hAnsi="Arial;Helvetica;sans-serif"/>
          <w:sz w:val="20"/>
        </w:rPr>
        <w:t>of the independent</w:t>
      </w:r>
      <w:r>
        <w:rPr>
          <w:rFonts w:ascii="Aptos" w:hAnsi="Aptos"/>
          <w:spacing w:val="40"/>
          <w:sz w:val="20"/>
        </w:rPr>
        <w:t xml:space="preserve"> </w:t>
      </w:r>
      <w:r>
        <w:rPr>
          <w:rFonts w:ascii="Arial;Helvetica;sans-serif" w:hAnsi="Arial;Helvetica;sans-serif"/>
          <w:sz w:val="20"/>
        </w:rPr>
        <w:t>compensation</w:t>
      </w:r>
      <w:r>
        <w:rPr>
          <w:rFonts w:ascii="Aptos" w:hAnsi="Aptos"/>
          <w:spacing w:val="31"/>
          <w:sz w:val="20"/>
        </w:rPr>
        <w:t xml:space="preserve"> </w:t>
      </w:r>
      <w:r>
        <w:rPr>
          <w:rFonts w:ascii="Arial;Helvetica;sans-serif" w:hAnsi="Arial;Helvetica;sans-serif"/>
          <w:sz w:val="20"/>
        </w:rPr>
        <w:t>consultant</w:t>
      </w:r>
      <w:r>
        <w:rPr>
          <w:rFonts w:ascii="Aptos" w:hAnsi="Aptos"/>
          <w:spacing w:val="31"/>
          <w:sz w:val="20"/>
        </w:rPr>
        <w:t xml:space="preserve"> </w:t>
      </w:r>
      <w:r>
        <w:rPr>
          <w:rFonts w:ascii="Arial;Helvetica;sans-serif" w:hAnsi="Arial;Helvetica;sans-serif"/>
          <w:sz w:val="20"/>
        </w:rPr>
        <w:t>to the</w:t>
      </w:r>
      <w:r>
        <w:rPr>
          <w:rFonts w:ascii="Aptos" w:hAnsi="Aptos"/>
          <w:spacing w:val="-1"/>
          <w:sz w:val="20"/>
        </w:rPr>
        <w:t xml:space="preserve"> </w:t>
      </w:r>
      <w:r>
        <w:rPr>
          <w:rFonts w:ascii="Arial;Helvetica;sans-serif" w:hAnsi="Arial;Helvetica;sans-serif"/>
          <w:sz w:val="20"/>
        </w:rPr>
        <w:t>Committee,</w:t>
      </w:r>
      <w:r>
        <w:rPr>
          <w:rFonts w:ascii="Aptos" w:hAnsi="Aptos"/>
          <w:spacing w:val="30"/>
          <w:sz w:val="20"/>
        </w:rPr>
        <w:t xml:space="preserve"> </w:t>
      </w:r>
      <w:r>
        <w:rPr>
          <w:rFonts w:ascii="Arial;Helvetica;sans-serif" w:hAnsi="Arial;Helvetica;sans-serif"/>
          <w:sz w:val="20"/>
        </w:rPr>
        <w:t>to restate the prior arrangement</w:t>
      </w:r>
      <w:r>
        <w:rPr>
          <w:rFonts w:ascii="Aptos" w:hAnsi="Aptos"/>
          <w:spacing w:val="40"/>
          <w:sz w:val="20"/>
        </w:rPr>
        <w:t xml:space="preserve"> </w:t>
      </w:r>
      <w:r>
        <w:rPr>
          <w:rFonts w:ascii="Arial;Helvetica;sans-serif" w:hAnsi="Arial;Helvetica;sans-serif"/>
          <w:sz w:val="20"/>
        </w:rPr>
        <w:t>via</w:t>
      </w:r>
      <w:r>
        <w:rPr>
          <w:rFonts w:ascii="Aptos" w:hAnsi="Aptos"/>
          <w:spacing w:val="37"/>
          <w:sz w:val="20"/>
        </w:rPr>
        <w:t xml:space="preserve"> </w:t>
      </w:r>
      <w:r>
        <w:rPr>
          <w:rFonts w:ascii="Arial;Helvetica;sans-serif" w:hAnsi="Arial;Helvetica;sans-serif"/>
          <w:sz w:val="20"/>
        </w:rPr>
        <w:t>a formal</w:t>
      </w:r>
      <w:r>
        <w:rPr>
          <w:rFonts w:ascii="Aptos" w:hAnsi="Aptos"/>
          <w:spacing w:val="37"/>
          <w:sz w:val="20"/>
        </w:rPr>
        <w:t xml:space="preserve"> </w:t>
      </w:r>
      <w:r>
        <w:rPr>
          <w:rFonts w:ascii="Arial;Helvetica;sans-serif" w:hAnsi="Arial;Helvetica;sans-serif"/>
          <w:sz w:val="20"/>
        </w:rPr>
        <w:t>Employment</w:t>
      </w:r>
      <w:r>
        <w:rPr>
          <w:rFonts w:ascii="Aptos" w:hAnsi="Aptos"/>
          <w:spacing w:val="40"/>
          <w:sz w:val="20"/>
        </w:rPr>
        <w:t xml:space="preserve"> </w:t>
      </w:r>
      <w:r>
        <w:rPr>
          <w:rFonts w:ascii="Arial;Helvetica;sans-serif" w:hAnsi="Arial;Helvetica;sans-serif"/>
          <w:sz w:val="20"/>
        </w:rPr>
        <w:t>Agreement</w:t>
      </w:r>
      <w:r>
        <w:rPr>
          <w:rFonts w:ascii="Aptos" w:hAnsi="Aptos"/>
          <w:spacing w:val="40"/>
          <w:sz w:val="20"/>
        </w:rPr>
        <w:t xml:space="preserve"> </w:t>
      </w:r>
      <w:r>
        <w:rPr>
          <w:rFonts w:ascii="Arial;Helvetica;sans-serif" w:hAnsi="Arial;Helvetica;sans-serif"/>
          <w:sz w:val="20"/>
        </w:rPr>
        <w:t>in order</w:t>
      </w:r>
      <w:r>
        <w:rPr>
          <w:rFonts w:ascii="Aptos" w:hAnsi="Aptos"/>
          <w:spacing w:val="40"/>
          <w:sz w:val="20"/>
        </w:rPr>
        <w:t xml:space="preserve"> </w:t>
      </w:r>
      <w:r>
        <w:rPr>
          <w:rFonts w:ascii="Arial;Helvetica;sans-serif" w:hAnsi="Arial;Helvetica;sans-serif"/>
          <w:sz w:val="20"/>
        </w:rPr>
        <w:t>to document</w:t>
      </w:r>
      <w:r>
        <w:rPr>
          <w:rFonts w:ascii="Aptos" w:hAnsi="Aptos"/>
          <w:spacing w:val="35"/>
          <w:sz w:val="20"/>
        </w:rPr>
        <w:t xml:space="preserve"> </w:t>
      </w:r>
      <w:r>
        <w:rPr>
          <w:rFonts w:ascii="Arial;Helvetica;sans-serif" w:hAnsi="Arial;Helvetica;sans-serif"/>
          <w:sz w:val="20"/>
        </w:rPr>
        <w:t>the</w:t>
      </w:r>
      <w:r>
        <w:rPr>
          <w:rFonts w:ascii="Aptos" w:hAnsi="Aptos"/>
          <w:spacing w:val="35"/>
          <w:sz w:val="20"/>
        </w:rPr>
        <w:t xml:space="preserve"> </w:t>
      </w:r>
      <w:r>
        <w:rPr>
          <w:rFonts w:ascii="Arial;Helvetica;sans-serif" w:hAnsi="Arial;Helvetica;sans-serif"/>
          <w:sz w:val="20"/>
        </w:rPr>
        <w:t>Executive’s compensation arrangements, severance,</w:t>
      </w:r>
      <w:r>
        <w:rPr>
          <w:rFonts w:ascii="Aptos" w:hAnsi="Aptos"/>
          <w:spacing w:val="40"/>
          <w:sz w:val="20"/>
        </w:rPr>
        <w:t xml:space="preserve"> </w:t>
      </w:r>
      <w:r>
        <w:rPr>
          <w:rFonts w:ascii="Arial;Helvetica;sans-serif" w:hAnsi="Arial;Helvetica;sans-serif"/>
          <w:sz w:val="20"/>
        </w:rPr>
        <w:t>non- competition,</w:t>
      </w:r>
      <w:r>
        <w:rPr>
          <w:rFonts w:ascii="Aptos" w:hAnsi="Aptos"/>
          <w:spacing w:val="40"/>
          <w:sz w:val="20"/>
        </w:rPr>
        <w:t xml:space="preserve"> </w:t>
      </w:r>
      <w:r>
        <w:rPr>
          <w:rFonts w:ascii="Arial;Helvetica;sans-serif" w:hAnsi="Arial;Helvetica;sans-serif"/>
          <w:sz w:val="20"/>
        </w:rPr>
        <w:t>non-solicit,</w:t>
      </w:r>
      <w:r>
        <w:rPr>
          <w:rFonts w:ascii="Aptos" w:hAnsi="Aptos"/>
          <w:spacing w:val="40"/>
          <w:sz w:val="20"/>
        </w:rPr>
        <w:t xml:space="preserve"> </w:t>
      </w:r>
      <w:r>
        <w:rPr>
          <w:rFonts w:ascii="Arial;Helvetica;sans-serif" w:hAnsi="Arial;Helvetica;sans-serif"/>
          <w:sz w:val="20"/>
        </w:rPr>
        <w:t>and</w:t>
      </w:r>
      <w:r>
        <w:rPr>
          <w:rFonts w:ascii="Aptos" w:hAnsi="Aptos"/>
          <w:spacing w:val="40"/>
          <w:sz w:val="20"/>
        </w:rPr>
        <w:t xml:space="preserve"> </w:t>
      </w:r>
      <w:r>
        <w:rPr>
          <w:rFonts w:ascii="Arial;Helvetica;sans-serif" w:hAnsi="Arial;Helvetica;sans-serif"/>
          <w:sz w:val="20"/>
        </w:rPr>
        <w:t>change</w:t>
      </w:r>
      <w:r>
        <w:rPr>
          <w:rFonts w:ascii="Aptos" w:hAnsi="Aptos"/>
          <w:spacing w:val="40"/>
          <w:sz w:val="20"/>
        </w:rPr>
        <w:t xml:space="preserve"> </w:t>
      </w:r>
      <w:r>
        <w:rPr>
          <w:rFonts w:ascii="Arial;Helvetica;sans-serif" w:hAnsi="Arial;Helvetica;sans-serif"/>
          <w:sz w:val="20"/>
        </w:rPr>
        <w:t>in control provisions</w:t>
      </w:r>
      <w:r>
        <w:rPr>
          <w:rFonts w:ascii="Aptos" w:hAnsi="Aptos"/>
          <w:spacing w:val="40"/>
          <w:sz w:val="20"/>
        </w:rPr>
        <w:t xml:space="preserve"> </w:t>
      </w:r>
      <w:r>
        <w:rPr>
          <w:rFonts w:ascii="Arial;Helvetica;sans-serif" w:hAnsi="Arial;Helvetica;sans-serif"/>
          <w:sz w:val="20"/>
        </w:rPr>
        <w:t>thereof;</w:t>
      </w:r>
    </w:p>
    <w:p>
      <w:pPr>
        <w:pStyle w:val="TextBody"/>
        <w:bidi w:val="0"/>
        <w:spacing w:lineRule="auto" w:line="285" w:before="200" w:after="0"/>
        <w:ind w:left="0" w:right="386" w:hanging="0"/>
        <w:jc w:val="left"/>
        <w:rPr>
          <w:rFonts w:ascii="Aptos" w:hAnsi="Aptos"/>
          <w:sz w:val="20"/>
        </w:rPr>
      </w:pPr>
      <w:r>
        <w:rPr>
          <w:rFonts w:ascii="Arial;Helvetica;sans-serif" w:hAnsi="Arial;Helvetica;sans-serif"/>
          <w:b/>
          <w:sz w:val="20"/>
        </w:rPr>
        <w:t>Whereas,</w:t>
      </w:r>
      <w:r>
        <w:rPr>
          <w:rFonts w:ascii="Aptos" w:hAnsi="Aptos"/>
          <w:spacing w:val="-3"/>
          <w:sz w:val="20"/>
        </w:rPr>
        <w:t xml:space="preserve"> </w:t>
      </w:r>
      <w:r>
        <w:rPr>
          <w:rFonts w:ascii="Arial;Helvetica;sans-serif" w:hAnsi="Arial;Helvetica;sans-serif"/>
          <w:sz w:val="20"/>
        </w:rPr>
        <w:t>the</w:t>
      </w:r>
      <w:r>
        <w:rPr>
          <w:rFonts w:ascii="Aptos" w:hAnsi="Aptos"/>
          <w:spacing w:val="-3"/>
          <w:sz w:val="20"/>
        </w:rPr>
        <w:t xml:space="preserve"> </w:t>
      </w:r>
      <w:r>
        <w:rPr>
          <w:rFonts w:ascii="Arial;Helvetica;sans-serif" w:hAnsi="Arial;Helvetica;sans-serif"/>
          <w:sz w:val="20"/>
        </w:rPr>
        <w:t>Company</w:t>
      </w:r>
      <w:r>
        <w:rPr>
          <w:rFonts w:ascii="Aptos" w:hAnsi="Aptos"/>
          <w:spacing w:val="-3"/>
          <w:sz w:val="20"/>
        </w:rPr>
        <w:t xml:space="preserve"> </w:t>
      </w:r>
      <w:r>
        <w:rPr>
          <w:rFonts w:ascii="Arial;Helvetica;sans-serif" w:hAnsi="Arial;Helvetica;sans-serif"/>
          <w:sz w:val="20"/>
        </w:rPr>
        <w:t>desires</w:t>
      </w:r>
      <w:r>
        <w:rPr>
          <w:rFonts w:ascii="Aptos" w:hAnsi="Aptos"/>
          <w:spacing w:val="-3"/>
          <w:sz w:val="20"/>
        </w:rPr>
        <w:t xml:space="preserve"> </w:t>
      </w:r>
      <w:r>
        <w:rPr>
          <w:rFonts w:ascii="Arial;Helvetica;sans-serif" w:hAnsi="Arial;Helvetica;sans-serif"/>
          <w:sz w:val="20"/>
        </w:rPr>
        <w:t>to</w:t>
      </w:r>
      <w:r>
        <w:rPr>
          <w:rFonts w:ascii="Aptos" w:hAnsi="Aptos"/>
          <w:spacing w:val="-3"/>
          <w:sz w:val="20"/>
        </w:rPr>
        <w:t xml:space="preserve"> </w:t>
      </w:r>
      <w:r>
        <w:rPr>
          <w:rFonts w:ascii="Arial;Helvetica;sans-serif" w:hAnsi="Arial;Helvetica;sans-serif"/>
          <w:sz w:val="20"/>
        </w:rPr>
        <w:t>employ</w:t>
      </w:r>
      <w:r>
        <w:rPr>
          <w:rFonts w:ascii="Aptos" w:hAnsi="Aptos"/>
          <w:spacing w:val="-3"/>
          <w:sz w:val="20"/>
        </w:rPr>
        <w:t xml:space="preserve"> </w:t>
      </w:r>
      <w:r>
        <w:rPr>
          <w:rFonts w:ascii="Arial;Helvetica;sans-serif" w:hAnsi="Arial;Helvetica;sans-serif"/>
          <w:sz w:val="20"/>
        </w:rPr>
        <w:t>Mr.</w:t>
      </w:r>
      <w:r>
        <w:rPr>
          <w:rFonts w:ascii="Aptos" w:hAnsi="Aptos"/>
          <w:spacing w:val="-3"/>
          <w:sz w:val="20"/>
        </w:rPr>
        <w:t xml:space="preserve"> </w:t>
      </w:r>
      <w:r>
        <w:rPr>
          <w:rFonts w:ascii="Arial;Helvetica;sans-serif" w:hAnsi="Arial;Helvetica;sans-serif"/>
          <w:sz w:val="20"/>
        </w:rPr>
        <w:t>Brown</w:t>
      </w:r>
      <w:r>
        <w:rPr>
          <w:rFonts w:ascii="Aptos" w:hAnsi="Aptos"/>
          <w:spacing w:val="-3"/>
          <w:sz w:val="20"/>
        </w:rPr>
        <w:t xml:space="preserve"> </w:t>
      </w:r>
      <w:r>
        <w:rPr>
          <w:rFonts w:ascii="Arial;Helvetica;sans-serif" w:hAnsi="Arial;Helvetica;sans-serif"/>
          <w:sz w:val="20"/>
        </w:rPr>
        <w:t>and</w:t>
      </w:r>
      <w:r>
        <w:rPr>
          <w:rFonts w:ascii="Aptos" w:hAnsi="Aptos"/>
          <w:spacing w:val="-3"/>
          <w:sz w:val="20"/>
        </w:rPr>
        <w:t xml:space="preserve"> </w:t>
      </w:r>
      <w:r>
        <w:rPr>
          <w:rFonts w:ascii="Arial;Helvetica;sans-serif" w:hAnsi="Arial;Helvetica;sans-serif"/>
          <w:sz w:val="20"/>
        </w:rPr>
        <w:t>to</w:t>
      </w:r>
      <w:r>
        <w:rPr>
          <w:rFonts w:ascii="Aptos" w:hAnsi="Aptos"/>
          <w:spacing w:val="-3"/>
          <w:sz w:val="20"/>
        </w:rPr>
        <w:t xml:space="preserve"> </w:t>
      </w:r>
      <w:r>
        <w:rPr>
          <w:rFonts w:ascii="Arial;Helvetica;sans-serif" w:hAnsi="Arial;Helvetica;sans-serif"/>
          <w:sz w:val="20"/>
        </w:rPr>
        <w:t>document</w:t>
      </w:r>
      <w:r>
        <w:rPr>
          <w:rFonts w:ascii="Aptos" w:hAnsi="Aptos"/>
          <w:spacing w:val="-3"/>
          <w:sz w:val="20"/>
        </w:rPr>
        <w:t xml:space="preserve"> </w:t>
      </w:r>
      <w:r>
        <w:rPr>
          <w:rFonts w:ascii="Arial;Helvetica;sans-serif" w:hAnsi="Arial;Helvetica;sans-serif"/>
          <w:sz w:val="20"/>
        </w:rPr>
        <w:t>formally</w:t>
      </w:r>
      <w:r>
        <w:rPr>
          <w:rFonts w:ascii="Aptos" w:hAnsi="Aptos"/>
          <w:spacing w:val="-3"/>
          <w:sz w:val="20"/>
        </w:rPr>
        <w:t xml:space="preserve"> </w:t>
      </w:r>
      <w:r>
        <w:rPr>
          <w:rFonts w:ascii="Arial;Helvetica;sans-serif" w:hAnsi="Arial;Helvetica;sans-serif"/>
          <w:sz w:val="20"/>
        </w:rPr>
        <w:t>the</w:t>
      </w:r>
      <w:r>
        <w:rPr>
          <w:rFonts w:ascii="Aptos" w:hAnsi="Aptos"/>
          <w:spacing w:val="-3"/>
          <w:sz w:val="20"/>
        </w:rPr>
        <w:t xml:space="preserve"> </w:t>
      </w:r>
      <w:r>
        <w:rPr>
          <w:rFonts w:ascii="Arial;Helvetica;sans-serif" w:hAnsi="Arial;Helvetica;sans-serif"/>
          <w:sz w:val="20"/>
        </w:rPr>
        <w:t>terms</w:t>
      </w:r>
      <w:r>
        <w:rPr>
          <w:rFonts w:ascii="Aptos" w:hAnsi="Aptos"/>
          <w:spacing w:val="-3"/>
          <w:sz w:val="20"/>
        </w:rPr>
        <w:t xml:space="preserve"> </w:t>
      </w:r>
      <w:r>
        <w:rPr>
          <w:rFonts w:ascii="Arial;Helvetica;sans-serif" w:hAnsi="Arial;Helvetica;sans-serif"/>
          <w:sz w:val="20"/>
        </w:rPr>
        <w:t>and</w:t>
      </w:r>
      <w:r>
        <w:rPr>
          <w:rFonts w:ascii="Aptos" w:hAnsi="Aptos"/>
          <w:spacing w:val="-3"/>
          <w:sz w:val="20"/>
        </w:rPr>
        <w:t xml:space="preserve"> </w:t>
      </w:r>
      <w:r>
        <w:rPr>
          <w:rFonts w:ascii="Arial;Helvetica;sans-serif" w:hAnsi="Arial;Helvetica;sans-serif"/>
          <w:sz w:val="20"/>
        </w:rPr>
        <w:t>conditions of Mr. Brown's employment with the Company.</w:t>
      </w:r>
    </w:p>
    <w:p>
      <w:pPr>
        <w:pStyle w:val="TextBody"/>
        <w:bidi w:val="0"/>
        <w:spacing w:lineRule="auto" w:line="285" w:before="203" w:after="0"/>
        <w:ind w:left="0" w:right="386" w:hanging="0"/>
        <w:jc w:val="left"/>
        <w:rPr>
          <w:rFonts w:ascii="Aptos" w:hAnsi="Aptos"/>
          <w:sz w:val="20"/>
        </w:rPr>
      </w:pPr>
      <w:r>
        <w:rPr>
          <w:rFonts w:ascii="Arial;Helvetica;sans-serif" w:hAnsi="Arial;Helvetica;sans-serif"/>
          <w:b/>
          <w:sz w:val="20"/>
        </w:rPr>
        <w:t>Now</w:t>
      </w:r>
      <w:r>
        <w:rPr>
          <w:rFonts w:ascii="Aptos" w:hAnsi="Aptos"/>
          <w:spacing w:val="-4"/>
          <w:sz w:val="20"/>
        </w:rPr>
        <w:t xml:space="preserve"> </w:t>
      </w:r>
      <w:r>
        <w:rPr>
          <w:rFonts w:ascii="Arial;Helvetica;sans-serif" w:hAnsi="Arial;Helvetica;sans-serif"/>
          <w:b/>
          <w:sz w:val="20"/>
        </w:rPr>
        <w:t>Therefore,</w:t>
      </w:r>
      <w:r>
        <w:rPr>
          <w:rFonts w:ascii="Aptos" w:hAnsi="Aptos"/>
          <w:spacing w:val="-3"/>
          <w:sz w:val="20"/>
        </w:rPr>
        <w:t xml:space="preserve"> </w:t>
      </w:r>
      <w:r>
        <w:rPr>
          <w:rFonts w:ascii="Arial;Helvetica;sans-serif" w:hAnsi="Arial;Helvetica;sans-serif"/>
          <w:sz w:val="20"/>
        </w:rPr>
        <w:t>the</w:t>
      </w:r>
      <w:r>
        <w:rPr>
          <w:rFonts w:ascii="Aptos" w:hAnsi="Aptos"/>
          <w:spacing w:val="-3"/>
          <w:sz w:val="20"/>
        </w:rPr>
        <w:t xml:space="preserve"> </w:t>
      </w:r>
      <w:r>
        <w:rPr>
          <w:rFonts w:ascii="Arial;Helvetica;sans-serif" w:hAnsi="Arial;Helvetica;sans-serif"/>
          <w:sz w:val="20"/>
        </w:rPr>
        <w:t>purpose</w:t>
      </w:r>
      <w:r>
        <w:rPr>
          <w:rFonts w:ascii="Aptos" w:hAnsi="Aptos"/>
          <w:spacing w:val="-3"/>
          <w:sz w:val="20"/>
        </w:rPr>
        <w:t xml:space="preserve"> </w:t>
      </w:r>
      <w:r>
        <w:rPr>
          <w:rFonts w:ascii="Arial;Helvetica;sans-serif" w:hAnsi="Arial;Helvetica;sans-serif"/>
          <w:sz w:val="20"/>
        </w:rPr>
        <w:t>of</w:t>
      </w:r>
      <w:r>
        <w:rPr>
          <w:rFonts w:ascii="Aptos" w:hAnsi="Aptos"/>
          <w:spacing w:val="-3"/>
          <w:sz w:val="20"/>
        </w:rPr>
        <w:t xml:space="preserve"> </w:t>
      </w:r>
      <w:r>
        <w:rPr>
          <w:rFonts w:ascii="Arial;Helvetica;sans-serif" w:hAnsi="Arial;Helvetica;sans-serif"/>
          <w:sz w:val="20"/>
        </w:rPr>
        <w:t>this</w:t>
      </w:r>
      <w:r>
        <w:rPr>
          <w:rFonts w:ascii="Aptos" w:hAnsi="Aptos"/>
          <w:spacing w:val="-3"/>
          <w:sz w:val="20"/>
        </w:rPr>
        <w:t xml:space="preserve"> </w:t>
      </w:r>
      <w:r>
        <w:rPr>
          <w:rFonts w:ascii="Arial;Helvetica;sans-serif" w:hAnsi="Arial;Helvetica;sans-serif"/>
          <w:sz w:val="20"/>
        </w:rPr>
        <w:t>Agreement</w:t>
      </w:r>
      <w:r>
        <w:rPr>
          <w:rFonts w:ascii="Aptos" w:hAnsi="Aptos"/>
          <w:spacing w:val="-3"/>
          <w:sz w:val="20"/>
        </w:rPr>
        <w:t xml:space="preserve"> </w:t>
      </w:r>
      <w:r>
        <w:rPr>
          <w:rFonts w:ascii="Arial;Helvetica;sans-serif" w:hAnsi="Arial;Helvetica;sans-serif"/>
          <w:sz w:val="20"/>
        </w:rPr>
        <w:t>is</w:t>
      </w:r>
      <w:r>
        <w:rPr>
          <w:rFonts w:ascii="Aptos" w:hAnsi="Aptos"/>
          <w:spacing w:val="-3"/>
          <w:sz w:val="20"/>
        </w:rPr>
        <w:t xml:space="preserve"> </w:t>
      </w:r>
      <w:r>
        <w:rPr>
          <w:rFonts w:ascii="Arial;Helvetica;sans-serif" w:hAnsi="Arial;Helvetica;sans-serif"/>
          <w:sz w:val="20"/>
        </w:rPr>
        <w:t>to</w:t>
      </w:r>
      <w:r>
        <w:rPr>
          <w:rFonts w:ascii="Aptos" w:hAnsi="Aptos"/>
          <w:spacing w:val="-3"/>
          <w:sz w:val="20"/>
        </w:rPr>
        <w:t xml:space="preserve"> </w:t>
      </w:r>
      <w:r>
        <w:rPr>
          <w:rFonts w:ascii="Arial;Helvetica;sans-serif" w:hAnsi="Arial;Helvetica;sans-serif"/>
          <w:sz w:val="20"/>
        </w:rPr>
        <w:t>document</w:t>
      </w:r>
      <w:r>
        <w:rPr>
          <w:rFonts w:ascii="Aptos" w:hAnsi="Aptos"/>
          <w:spacing w:val="-3"/>
          <w:sz w:val="20"/>
        </w:rPr>
        <w:t xml:space="preserve"> </w:t>
      </w:r>
      <w:r>
        <w:rPr>
          <w:rFonts w:ascii="Arial;Helvetica;sans-serif" w:hAnsi="Arial;Helvetica;sans-serif"/>
          <w:sz w:val="20"/>
        </w:rPr>
        <w:t>formally</w:t>
      </w:r>
      <w:r>
        <w:rPr>
          <w:rFonts w:ascii="Aptos" w:hAnsi="Aptos"/>
          <w:spacing w:val="-3"/>
          <w:sz w:val="20"/>
        </w:rPr>
        <w:t xml:space="preserve"> </w:t>
      </w:r>
      <w:r>
        <w:rPr>
          <w:rFonts w:ascii="Arial;Helvetica;sans-serif" w:hAnsi="Arial;Helvetica;sans-serif"/>
          <w:sz w:val="20"/>
        </w:rPr>
        <w:t>the</w:t>
      </w:r>
      <w:r>
        <w:rPr>
          <w:rFonts w:ascii="Aptos" w:hAnsi="Aptos"/>
          <w:spacing w:val="-3"/>
          <w:sz w:val="20"/>
        </w:rPr>
        <w:t xml:space="preserve"> </w:t>
      </w:r>
      <w:r>
        <w:rPr>
          <w:rFonts w:ascii="Arial;Helvetica;sans-serif" w:hAnsi="Arial;Helvetica;sans-serif"/>
          <w:sz w:val="20"/>
        </w:rPr>
        <w:t>terms</w:t>
      </w:r>
      <w:r>
        <w:rPr>
          <w:rFonts w:ascii="Aptos" w:hAnsi="Aptos"/>
          <w:spacing w:val="-3"/>
          <w:sz w:val="20"/>
        </w:rPr>
        <w:t xml:space="preserve"> </w:t>
      </w:r>
      <w:r>
        <w:rPr>
          <w:rFonts w:ascii="Arial;Helvetica;sans-serif" w:hAnsi="Arial;Helvetica;sans-serif"/>
          <w:sz w:val="20"/>
        </w:rPr>
        <w:t>and</w:t>
      </w:r>
      <w:r>
        <w:rPr>
          <w:rFonts w:ascii="Aptos" w:hAnsi="Aptos"/>
          <w:spacing w:val="-3"/>
          <w:sz w:val="20"/>
        </w:rPr>
        <w:t xml:space="preserve"> </w:t>
      </w:r>
      <w:r>
        <w:rPr>
          <w:rFonts w:ascii="Arial;Helvetica;sans-serif" w:hAnsi="Arial;Helvetica;sans-serif"/>
          <w:sz w:val="20"/>
        </w:rPr>
        <w:t>conditions</w:t>
      </w:r>
      <w:r>
        <w:rPr>
          <w:rFonts w:ascii="Aptos" w:hAnsi="Aptos"/>
          <w:spacing w:val="-3"/>
          <w:sz w:val="20"/>
        </w:rPr>
        <w:t xml:space="preserve"> </w:t>
      </w:r>
      <w:r>
        <w:rPr>
          <w:rFonts w:ascii="Arial;Helvetica;sans-serif" w:hAnsi="Arial;Helvetica;sans-serif"/>
          <w:sz w:val="20"/>
        </w:rPr>
        <w:t>of</w:t>
      </w:r>
      <w:r>
        <w:rPr>
          <w:rFonts w:ascii="Aptos" w:hAnsi="Aptos"/>
          <w:spacing w:val="-3"/>
          <w:sz w:val="20"/>
        </w:rPr>
        <w:t xml:space="preserve"> </w:t>
      </w:r>
      <w:r>
        <w:rPr>
          <w:rFonts w:ascii="Arial;Helvetica;sans-serif" w:hAnsi="Arial;Helvetica;sans-serif"/>
          <w:sz w:val="20"/>
        </w:rPr>
        <w:t>Mr. Brown's employment with the Company.</w:t>
      </w:r>
    </w:p>
    <w:tbl>
      <w:tblPr>
        <w:tblW w:w="1668" w:type="dxa"/>
        <w:jc w:val="left"/>
        <w:tblInd w:w="0" w:type="dxa"/>
        <w:tblLayout w:type="fixed"/>
        <w:tblCellMar>
          <w:top w:w="0" w:type="dxa"/>
          <w:left w:w="0" w:type="dxa"/>
          <w:bottom w:w="0" w:type="dxa"/>
          <w:right w:w="0" w:type="dxa"/>
        </w:tblCellMar>
      </w:tblPr>
      <w:tblGrid>
        <w:gridCol w:w="185"/>
        <w:gridCol w:w="1483"/>
      </w:tblGrid>
      <w:tr>
        <w:trPr/>
        <w:tc>
          <w:tcPr>
            <w:tcW w:w="18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1.</w:t>
            </w:r>
          </w:p>
        </w:tc>
        <w:tc>
          <w:tcPr>
            <w:tcW w:w="1483" w:type="dxa"/>
            <w:tcBorders/>
            <w:vAlign w:val="center"/>
          </w:tcPr>
          <w:p>
            <w:pPr>
              <w:pStyle w:val="TableContents"/>
              <w:bidi w:val="0"/>
              <w:spacing w:before="0" w:after="283"/>
              <w:jc w:val="left"/>
              <w:rPr>
                <w:rFonts w:ascii="Arial;Helvetica;sans-serif" w:hAnsi="Arial;Helvetica;sans-serif"/>
                <w:b/>
                <w:i w:val="false"/>
                <w:caps w:val="false"/>
                <w:smallCaps w:val="false"/>
                <w:spacing w:val="-2"/>
                <w:sz w:val="20"/>
              </w:rPr>
            </w:pPr>
            <w:r>
              <w:rPr>
                <w:rFonts w:ascii="Arial;Helvetica;sans-serif" w:hAnsi="Arial;Helvetica;sans-serif"/>
                <w:b/>
                <w:i w:val="false"/>
                <w:caps w:val="false"/>
                <w:smallCaps w:val="false"/>
                <w:spacing w:val="-2"/>
                <w:sz w:val="20"/>
              </w:rPr>
              <w:t>APPOINTMENT.</w:t>
            </w:r>
          </w:p>
        </w:tc>
      </w:tr>
    </w:tbl>
    <w:p>
      <w:pPr>
        <w:pStyle w:val="TextBody"/>
        <w:bidi w:val="0"/>
        <w:spacing w:lineRule="auto" w:line="285" w:before="0" w:after="0"/>
        <w:ind w:left="360" w:right="515" w:hanging="0"/>
        <w:jc w:val="left"/>
        <w:rPr>
          <w:rFonts w:ascii="Aptos" w:hAnsi="Aptos"/>
          <w:sz w:val="24"/>
        </w:rPr>
      </w:pPr>
      <w:r>
        <w:rPr>
          <w:rFonts w:ascii="Arial;Helvetica;sans-serif" w:hAnsi="Arial;Helvetica;sans-serif"/>
          <w:sz w:val="20"/>
        </w:rPr>
        <w:t>a.Subject to the terms of this Agreement, the Company hereby appoints Mr. Brown as President, TTEC Digital business segment, and vests in him all the relevant responsibilities to lead the TTEC</w:t>
      </w:r>
      <w:r>
        <w:rPr>
          <w:rFonts w:ascii="Aptos" w:hAnsi="Aptos"/>
          <w:spacing w:val="-4"/>
          <w:sz w:val="24"/>
        </w:rPr>
        <w:t xml:space="preserve"> </w:t>
      </w:r>
      <w:r>
        <w:rPr>
          <w:rFonts w:ascii="Arial;Helvetica;sans-serif" w:hAnsi="Arial;Helvetica;sans-serif"/>
          <w:sz w:val="20"/>
        </w:rPr>
        <w:t>Digital</w:t>
      </w:r>
      <w:r>
        <w:rPr>
          <w:rFonts w:ascii="Aptos" w:hAnsi="Aptos"/>
          <w:spacing w:val="-3"/>
          <w:sz w:val="24"/>
        </w:rPr>
        <w:t xml:space="preserve"> </w:t>
      </w:r>
      <w:r>
        <w:rPr>
          <w:rFonts w:ascii="Arial;Helvetica;sans-serif" w:hAnsi="Arial;Helvetica;sans-serif"/>
          <w:sz w:val="20"/>
        </w:rPr>
        <w:t>business</w:t>
      </w:r>
      <w:r>
        <w:rPr>
          <w:rFonts w:ascii="Aptos" w:hAnsi="Aptos"/>
          <w:spacing w:val="-3"/>
          <w:sz w:val="24"/>
        </w:rPr>
        <w:t xml:space="preserve"> </w:t>
      </w:r>
      <w:r>
        <w:rPr>
          <w:rFonts w:ascii="Arial;Helvetica;sans-serif" w:hAnsi="Arial;Helvetica;sans-serif"/>
          <w:sz w:val="20"/>
        </w:rPr>
        <w:t>segment,</w:t>
      </w:r>
      <w:r>
        <w:rPr>
          <w:rFonts w:ascii="Aptos" w:hAnsi="Aptos"/>
          <w:spacing w:val="-3"/>
          <w:sz w:val="24"/>
        </w:rPr>
        <w:t xml:space="preserve"> </w:t>
      </w:r>
      <w:r>
        <w:rPr>
          <w:rFonts w:ascii="Arial;Helvetica;sans-serif" w:hAnsi="Arial;Helvetica;sans-serif"/>
          <w:sz w:val="20"/>
        </w:rPr>
        <w:t>including</w:t>
      </w:r>
      <w:r>
        <w:rPr>
          <w:rFonts w:ascii="Aptos" w:hAnsi="Aptos"/>
          <w:spacing w:val="-3"/>
          <w:sz w:val="24"/>
        </w:rPr>
        <w:t xml:space="preserve"> </w:t>
      </w:r>
      <w:r>
        <w:rPr>
          <w:rFonts w:ascii="Arial;Helvetica;sans-serif" w:hAnsi="Arial;Helvetica;sans-serif"/>
          <w:sz w:val="20"/>
        </w:rPr>
        <w:t>the</w:t>
      </w:r>
      <w:r>
        <w:rPr>
          <w:rFonts w:ascii="Aptos" w:hAnsi="Aptos"/>
          <w:spacing w:val="-3"/>
          <w:sz w:val="24"/>
        </w:rPr>
        <w:t xml:space="preserve"> </w:t>
      </w:r>
      <w:r>
        <w:rPr>
          <w:rFonts w:ascii="Arial;Helvetica;sans-serif" w:hAnsi="Arial;Helvetica;sans-serif"/>
          <w:sz w:val="20"/>
        </w:rPr>
        <w:t>P&amp;L</w:t>
      </w:r>
      <w:r>
        <w:rPr>
          <w:rFonts w:ascii="Aptos" w:hAnsi="Aptos"/>
          <w:spacing w:val="-3"/>
          <w:sz w:val="24"/>
        </w:rPr>
        <w:t xml:space="preserve"> </w:t>
      </w:r>
      <w:r>
        <w:rPr>
          <w:rFonts w:ascii="Arial;Helvetica;sans-serif" w:hAnsi="Arial;Helvetica;sans-serif"/>
          <w:sz w:val="20"/>
        </w:rPr>
        <w:t>for</w:t>
      </w:r>
      <w:r>
        <w:rPr>
          <w:rFonts w:ascii="Aptos" w:hAnsi="Aptos"/>
          <w:spacing w:val="-3"/>
          <w:sz w:val="24"/>
        </w:rPr>
        <w:t xml:space="preserve"> </w:t>
      </w:r>
      <w:r>
        <w:rPr>
          <w:rFonts w:ascii="Arial;Helvetica;sans-serif" w:hAnsi="Arial;Helvetica;sans-serif"/>
          <w:sz w:val="20"/>
        </w:rPr>
        <w:t>the</w:t>
      </w:r>
      <w:r>
        <w:rPr>
          <w:rFonts w:ascii="Aptos" w:hAnsi="Aptos"/>
          <w:spacing w:val="-3"/>
          <w:sz w:val="24"/>
        </w:rPr>
        <w:t xml:space="preserve"> </w:t>
      </w:r>
      <w:r>
        <w:rPr>
          <w:rFonts w:ascii="Arial;Helvetica;sans-serif" w:hAnsi="Arial;Helvetica;sans-serif"/>
          <w:sz w:val="20"/>
        </w:rPr>
        <w:t>business,</w:t>
      </w:r>
      <w:r>
        <w:rPr>
          <w:rFonts w:ascii="Aptos" w:hAnsi="Aptos"/>
          <w:spacing w:val="-4"/>
          <w:sz w:val="24"/>
        </w:rPr>
        <w:t xml:space="preserve"> </w:t>
      </w:r>
      <w:r>
        <w:rPr>
          <w:rFonts w:ascii="Arial;Helvetica;sans-serif" w:hAnsi="Arial;Helvetica;sans-serif"/>
          <w:sz w:val="20"/>
        </w:rPr>
        <w:t>in</w:t>
      </w:r>
      <w:r>
        <w:rPr>
          <w:rFonts w:ascii="Aptos" w:hAnsi="Aptos"/>
          <w:spacing w:val="-3"/>
          <w:sz w:val="24"/>
        </w:rPr>
        <w:t xml:space="preserve"> </w:t>
      </w:r>
      <w:r>
        <w:rPr>
          <w:rFonts w:ascii="Arial;Helvetica;sans-serif" w:hAnsi="Arial;Helvetica;sans-serif"/>
          <w:sz w:val="20"/>
        </w:rPr>
        <w:t>the</w:t>
      </w:r>
      <w:r>
        <w:rPr>
          <w:rFonts w:ascii="Aptos" w:hAnsi="Aptos"/>
          <w:spacing w:val="-3"/>
          <w:sz w:val="24"/>
        </w:rPr>
        <w:t xml:space="preserve"> </w:t>
      </w:r>
      <w:r>
        <w:rPr>
          <w:rFonts w:ascii="Arial;Helvetica;sans-serif" w:hAnsi="Arial;Helvetica;sans-serif"/>
          <w:sz w:val="20"/>
        </w:rPr>
        <w:t>best</w:t>
      </w:r>
      <w:r>
        <w:rPr>
          <w:rFonts w:ascii="Aptos" w:hAnsi="Aptos"/>
          <w:spacing w:val="-3"/>
          <w:sz w:val="24"/>
        </w:rPr>
        <w:t xml:space="preserve"> </w:t>
      </w:r>
      <w:r>
        <w:rPr>
          <w:rFonts w:ascii="Arial;Helvetica;sans-serif" w:hAnsi="Arial;Helvetica;sans-serif"/>
          <w:sz w:val="20"/>
        </w:rPr>
        <w:t>interest</w:t>
      </w:r>
      <w:r>
        <w:rPr>
          <w:rFonts w:ascii="Aptos" w:hAnsi="Aptos"/>
          <w:spacing w:val="-3"/>
          <w:sz w:val="24"/>
        </w:rPr>
        <w:t xml:space="preserve"> </w:t>
      </w:r>
      <w:r>
        <w:rPr>
          <w:rFonts w:ascii="Arial;Helvetica;sans-serif" w:hAnsi="Arial;Helvetica;sans-serif"/>
          <w:sz w:val="20"/>
        </w:rPr>
        <w:t>of</w:t>
      </w:r>
      <w:r>
        <w:rPr>
          <w:rFonts w:ascii="Aptos" w:hAnsi="Aptos"/>
          <w:spacing w:val="-3"/>
          <w:sz w:val="24"/>
        </w:rPr>
        <w:t xml:space="preserve"> </w:t>
      </w:r>
      <w:r>
        <w:rPr>
          <w:rFonts w:ascii="Arial;Helvetica;sans-serif" w:hAnsi="Arial;Helvetica;sans-serif"/>
          <w:sz w:val="20"/>
        </w:rPr>
        <w:t>TTEC Parent</w:t>
      </w:r>
      <w:r>
        <w:rPr>
          <w:rFonts w:ascii="Aptos" w:hAnsi="Aptos"/>
          <w:spacing w:val="-1"/>
          <w:sz w:val="24"/>
        </w:rPr>
        <w:t xml:space="preserve"> </w:t>
      </w:r>
      <w:r>
        <w:rPr>
          <w:rFonts w:ascii="Arial;Helvetica;sans-serif" w:hAnsi="Arial;Helvetica;sans-serif"/>
          <w:sz w:val="20"/>
        </w:rPr>
        <w:t>and</w:t>
      </w:r>
      <w:r>
        <w:rPr>
          <w:rFonts w:ascii="Aptos" w:hAnsi="Aptos"/>
          <w:spacing w:val="-1"/>
          <w:sz w:val="24"/>
        </w:rPr>
        <w:t xml:space="preserve"> </w:t>
      </w:r>
      <w:r>
        <w:rPr>
          <w:rFonts w:ascii="Arial;Helvetica;sans-serif" w:hAnsi="Arial;Helvetica;sans-serif"/>
          <w:sz w:val="20"/>
        </w:rPr>
        <w:t>its</w:t>
      </w:r>
      <w:r>
        <w:rPr>
          <w:rFonts w:ascii="Aptos" w:hAnsi="Aptos"/>
          <w:spacing w:val="-1"/>
          <w:sz w:val="24"/>
        </w:rPr>
        <w:t xml:space="preserve"> </w:t>
      </w:r>
      <w:r>
        <w:rPr>
          <w:rFonts w:ascii="Arial;Helvetica;sans-serif" w:hAnsi="Arial;Helvetica;sans-serif"/>
          <w:sz w:val="20"/>
        </w:rPr>
        <w:t>shareholders,</w:t>
      </w:r>
      <w:r>
        <w:rPr>
          <w:rFonts w:ascii="Aptos" w:hAnsi="Aptos"/>
          <w:spacing w:val="-1"/>
          <w:sz w:val="24"/>
        </w:rPr>
        <w:t xml:space="preserve"> </w:t>
      </w:r>
      <w:r>
        <w:rPr>
          <w:rFonts w:ascii="Arial;Helvetica;sans-serif" w:hAnsi="Arial;Helvetica;sans-serif"/>
          <w:sz w:val="20"/>
        </w:rPr>
        <w:t>as</w:t>
      </w:r>
      <w:r>
        <w:rPr>
          <w:rFonts w:ascii="Aptos" w:hAnsi="Aptos"/>
          <w:spacing w:val="-1"/>
          <w:sz w:val="24"/>
        </w:rPr>
        <w:t xml:space="preserve"> </w:t>
      </w:r>
      <w:r>
        <w:rPr>
          <w:rFonts w:ascii="Arial;Helvetica;sans-serif" w:hAnsi="Arial;Helvetica;sans-serif"/>
          <w:sz w:val="20"/>
        </w:rPr>
        <w:t>directed</w:t>
      </w:r>
      <w:r>
        <w:rPr>
          <w:rFonts w:ascii="Aptos" w:hAnsi="Aptos"/>
          <w:spacing w:val="-1"/>
          <w:sz w:val="24"/>
        </w:rPr>
        <w:t xml:space="preserve"> </w:t>
      </w:r>
      <w:r>
        <w:rPr>
          <w:rFonts w:ascii="Arial;Helvetica;sans-serif" w:hAnsi="Arial;Helvetica;sans-serif"/>
          <w:sz w:val="20"/>
        </w:rPr>
        <w:t>by</w:t>
      </w:r>
      <w:r>
        <w:rPr>
          <w:rFonts w:ascii="Aptos" w:hAnsi="Aptos"/>
          <w:spacing w:val="-1"/>
          <w:sz w:val="24"/>
        </w:rPr>
        <w:t xml:space="preserve"> </w:t>
      </w:r>
      <w:r>
        <w:rPr>
          <w:rFonts w:ascii="Arial;Helvetica;sans-serif" w:hAnsi="Arial;Helvetica;sans-serif"/>
          <w:sz w:val="20"/>
        </w:rPr>
        <w:t>TTEC</w:t>
      </w:r>
      <w:r>
        <w:rPr>
          <w:rFonts w:ascii="Aptos" w:hAnsi="Aptos"/>
          <w:spacing w:val="-2"/>
          <w:sz w:val="24"/>
        </w:rPr>
        <w:t xml:space="preserve"> </w:t>
      </w:r>
      <w:r>
        <w:rPr>
          <w:rFonts w:ascii="Arial;Helvetica;sans-serif" w:hAnsi="Arial;Helvetica;sans-serif"/>
          <w:sz w:val="20"/>
        </w:rPr>
        <w:t>Parent</w:t>
      </w:r>
      <w:r>
        <w:rPr>
          <w:rFonts w:ascii="Aptos" w:hAnsi="Aptos"/>
          <w:spacing w:val="-1"/>
          <w:sz w:val="24"/>
        </w:rPr>
        <w:t xml:space="preserve"> </w:t>
      </w:r>
      <w:r>
        <w:rPr>
          <w:rFonts w:ascii="Arial;Helvetica;sans-serif" w:hAnsi="Arial;Helvetica;sans-serif"/>
          <w:sz w:val="20"/>
        </w:rPr>
        <w:t>Chief</w:t>
      </w:r>
      <w:r>
        <w:rPr>
          <w:rFonts w:ascii="Aptos" w:hAnsi="Aptos"/>
          <w:spacing w:val="-1"/>
          <w:sz w:val="24"/>
        </w:rPr>
        <w:t xml:space="preserve"> </w:t>
      </w:r>
      <w:r>
        <w:rPr>
          <w:rFonts w:ascii="Arial;Helvetica;sans-serif" w:hAnsi="Arial;Helvetica;sans-serif"/>
          <w:sz w:val="20"/>
        </w:rPr>
        <w:t>Executive</w:t>
      </w:r>
      <w:r>
        <w:rPr>
          <w:rFonts w:ascii="Aptos" w:hAnsi="Aptos"/>
          <w:spacing w:val="-1"/>
          <w:sz w:val="24"/>
        </w:rPr>
        <w:t xml:space="preserve"> </w:t>
      </w:r>
      <w:r>
        <w:rPr>
          <w:rFonts w:ascii="Arial;Helvetica;sans-serif" w:hAnsi="Arial;Helvetica;sans-serif"/>
          <w:sz w:val="20"/>
        </w:rPr>
        <w:t>Officer</w:t>
      </w:r>
      <w:r>
        <w:rPr>
          <w:rFonts w:ascii="Aptos" w:hAnsi="Aptos"/>
          <w:spacing w:val="-1"/>
          <w:sz w:val="24"/>
        </w:rPr>
        <w:t xml:space="preserve"> </w:t>
      </w:r>
      <w:r>
        <w:rPr>
          <w:rFonts w:ascii="Arial;Helvetica;sans-serif" w:hAnsi="Arial;Helvetica;sans-serif"/>
          <w:sz w:val="20"/>
        </w:rPr>
        <w:t>(“TTEC</w:t>
      </w:r>
      <w:r>
        <w:rPr>
          <w:rFonts w:ascii="Aptos" w:hAnsi="Aptos"/>
          <w:spacing w:val="-2"/>
          <w:sz w:val="24"/>
        </w:rPr>
        <w:t xml:space="preserve"> </w:t>
      </w:r>
      <w:r>
        <w:rPr>
          <w:rFonts w:ascii="Arial;Helvetica;sans-serif" w:hAnsi="Arial;Helvetica;sans-serif"/>
          <w:sz w:val="20"/>
        </w:rPr>
        <w:t>CEO”) and its Board of Directors (the “Board”).</w:t>
      </w:r>
      <w:r>
        <w:rPr>
          <w:rFonts w:ascii="Aptos" w:hAnsi="Aptos"/>
          <w:spacing w:val="40"/>
          <w:sz w:val="24"/>
        </w:rPr>
        <w:t xml:space="preserve"> </w:t>
      </w:r>
      <w:r>
        <w:rPr>
          <w:rFonts w:ascii="Arial;Helvetica;sans-serif" w:hAnsi="Arial;Helvetica;sans-serif"/>
          <w:sz w:val="20"/>
        </w:rPr>
        <w:t>In this role, the Executive will report to the TTEC CEO and will be a member of TTEC Parent’s executive leadership team, known as the Executive Committee</w:t>
      </w:r>
      <w:r>
        <w:rPr>
          <w:rFonts w:ascii="Aptos" w:hAnsi="Aptos"/>
          <w:spacing w:val="-2"/>
          <w:sz w:val="24"/>
        </w:rPr>
        <w:t xml:space="preserve"> </w:t>
      </w:r>
      <w:r>
        <w:rPr>
          <w:rFonts w:ascii="Arial;Helvetica;sans-serif" w:hAnsi="Arial;Helvetica;sans-serif"/>
          <w:sz w:val="20"/>
        </w:rPr>
        <w:t>(the</w:t>
      </w:r>
      <w:r>
        <w:rPr>
          <w:rFonts w:ascii="Aptos" w:hAnsi="Aptos"/>
          <w:spacing w:val="-2"/>
          <w:sz w:val="24"/>
        </w:rPr>
        <w:t xml:space="preserve"> </w:t>
      </w:r>
      <w:r>
        <w:rPr>
          <w:rFonts w:ascii="Aptos" w:hAnsi="Aptos"/>
          <w:sz w:val="24"/>
        </w:rPr>
        <w:t>“</w:t>
      </w:r>
      <w:r>
        <w:rPr>
          <w:rFonts w:ascii="Arial;Helvetica;sans-serif" w:hAnsi="Arial;Helvetica;sans-serif"/>
          <w:sz w:val="20"/>
        </w:rPr>
        <w:t>EC”).</w:t>
      </w:r>
      <w:r>
        <w:rPr>
          <w:rFonts w:ascii="Aptos" w:hAnsi="Aptos"/>
          <w:spacing w:val="40"/>
          <w:sz w:val="24"/>
        </w:rPr>
        <w:t xml:space="preserve"> </w:t>
      </w:r>
      <w:r>
        <w:rPr>
          <w:rFonts w:ascii="Arial;Helvetica;sans-serif" w:hAnsi="Arial;Helvetica;sans-serif"/>
          <w:sz w:val="20"/>
        </w:rPr>
        <w:t>For</w:t>
      </w:r>
      <w:r>
        <w:rPr>
          <w:rFonts w:ascii="Aptos" w:hAnsi="Aptos"/>
          <w:spacing w:val="-2"/>
          <w:sz w:val="24"/>
        </w:rPr>
        <w:t xml:space="preserve"> </w:t>
      </w:r>
      <w:r>
        <w:rPr>
          <w:rFonts w:ascii="Arial;Helvetica;sans-serif" w:hAnsi="Arial;Helvetica;sans-serif"/>
          <w:sz w:val="20"/>
        </w:rPr>
        <w:t>purposes</w:t>
      </w:r>
      <w:r>
        <w:rPr>
          <w:rFonts w:ascii="Aptos" w:hAnsi="Aptos"/>
          <w:spacing w:val="-2"/>
          <w:sz w:val="24"/>
        </w:rPr>
        <w:t xml:space="preserve"> </w:t>
      </w:r>
      <w:r>
        <w:rPr>
          <w:rFonts w:ascii="Arial;Helvetica;sans-serif" w:hAnsi="Arial;Helvetica;sans-serif"/>
          <w:sz w:val="20"/>
        </w:rPr>
        <w:t>of</w:t>
      </w:r>
      <w:r>
        <w:rPr>
          <w:rFonts w:ascii="Aptos" w:hAnsi="Aptos"/>
          <w:spacing w:val="-2"/>
          <w:sz w:val="24"/>
        </w:rPr>
        <w:t xml:space="preserve"> </w:t>
      </w:r>
      <w:r>
        <w:rPr>
          <w:rFonts w:ascii="Arial;Helvetica;sans-serif" w:hAnsi="Arial;Helvetica;sans-serif"/>
          <w:sz w:val="20"/>
        </w:rPr>
        <w:t>relevant</w:t>
      </w:r>
      <w:r>
        <w:rPr>
          <w:rFonts w:ascii="Aptos" w:hAnsi="Aptos"/>
          <w:spacing w:val="-2"/>
          <w:sz w:val="24"/>
        </w:rPr>
        <w:t xml:space="preserve"> </w:t>
      </w:r>
      <w:r>
        <w:rPr>
          <w:rFonts w:ascii="Arial;Helvetica;sans-serif" w:hAnsi="Arial;Helvetica;sans-serif"/>
          <w:sz w:val="20"/>
        </w:rPr>
        <w:t>U.S.</w:t>
      </w:r>
      <w:r>
        <w:rPr>
          <w:rFonts w:ascii="Aptos" w:hAnsi="Aptos"/>
          <w:spacing w:val="-2"/>
          <w:sz w:val="24"/>
        </w:rPr>
        <w:t xml:space="preserve"> </w:t>
      </w:r>
      <w:r>
        <w:rPr>
          <w:rFonts w:ascii="Arial;Helvetica;sans-serif" w:hAnsi="Arial;Helvetica;sans-serif"/>
          <w:sz w:val="20"/>
        </w:rPr>
        <w:t>federal</w:t>
      </w:r>
      <w:r>
        <w:rPr>
          <w:rFonts w:ascii="Aptos" w:hAnsi="Aptos"/>
          <w:spacing w:val="-2"/>
          <w:sz w:val="24"/>
        </w:rPr>
        <w:t xml:space="preserve"> </w:t>
      </w:r>
      <w:r>
        <w:rPr>
          <w:rFonts w:ascii="Arial;Helvetica;sans-serif" w:hAnsi="Arial;Helvetica;sans-serif"/>
          <w:sz w:val="20"/>
        </w:rPr>
        <w:t>securities</w:t>
      </w:r>
      <w:r>
        <w:rPr>
          <w:rFonts w:ascii="Aptos" w:hAnsi="Aptos"/>
          <w:spacing w:val="-2"/>
          <w:sz w:val="24"/>
        </w:rPr>
        <w:t xml:space="preserve"> </w:t>
      </w:r>
      <w:r>
        <w:rPr>
          <w:rFonts w:ascii="Arial;Helvetica;sans-serif" w:hAnsi="Arial;Helvetica;sans-serif"/>
          <w:sz w:val="20"/>
        </w:rPr>
        <w:t>laws, President</w:t>
      </w:r>
      <w:r>
        <w:rPr>
          <w:rFonts w:ascii="Aptos" w:hAnsi="Aptos"/>
          <w:spacing w:val="-2"/>
          <w:sz w:val="24"/>
        </w:rPr>
        <w:t xml:space="preserve"> </w:t>
      </w:r>
      <w:r>
        <w:rPr>
          <w:rFonts w:ascii="Arial;Helvetica;sans-serif" w:hAnsi="Arial;Helvetica;sans-serif"/>
          <w:sz w:val="20"/>
        </w:rPr>
        <w:t>of</w:t>
      </w:r>
      <w:r>
        <w:rPr>
          <w:rFonts w:ascii="Aptos" w:hAnsi="Aptos"/>
          <w:spacing w:val="-2"/>
          <w:sz w:val="24"/>
        </w:rPr>
        <w:t xml:space="preserve"> </w:t>
      </w:r>
      <w:r>
        <w:rPr>
          <w:rFonts w:ascii="Arial;Helvetica;sans-serif" w:hAnsi="Arial;Helvetica;sans-serif"/>
          <w:sz w:val="20"/>
        </w:rPr>
        <w:t xml:space="preserve">TTEC Digital is a public company executive officer (known as a “Section 16 Officer”), subjecting the Executive to all of the various compliance requirements appropriate for Section 16 Officers. Please refer to </w:t>
      </w:r>
      <w:r>
        <w:rPr>
          <w:rFonts w:ascii="Arial;Helvetica;sans-serif" w:hAnsi="Arial;Helvetica;sans-serif"/>
          <w:i/>
          <w:sz w:val="20"/>
        </w:rPr>
        <w:t>Exhibit A</w:t>
      </w:r>
      <w:r>
        <w:rPr>
          <w:rFonts w:ascii="Aptos" w:hAnsi="Aptos"/>
          <w:sz w:val="24"/>
        </w:rPr>
        <w:t xml:space="preserve"> </w:t>
      </w:r>
      <w:r>
        <w:rPr>
          <w:rFonts w:ascii="Arial;Helvetica;sans-serif" w:hAnsi="Arial;Helvetica;sans-serif"/>
          <w:sz w:val="20"/>
        </w:rPr>
        <w:t xml:space="preserve">to this Agreement for </w:t>
      </w:r>
      <w:r>
        <w:rPr>
          <w:rFonts w:ascii="Arial;Helvetica;sans-serif" w:hAnsi="Arial;Helvetica;sans-serif"/>
          <w:b/>
          <w:i/>
          <w:sz w:val="20"/>
        </w:rPr>
        <w:t xml:space="preserve">Directors and Executive Officers U.S. Securities Law Handbook </w:t>
      </w:r>
      <w:r>
        <w:rPr>
          <w:rFonts w:ascii="Arial;Helvetica;sans-serif" w:hAnsi="Arial;Helvetica;sans-serif"/>
          <w:sz w:val="20"/>
        </w:rPr>
        <w:t>for reference.</w:t>
      </w:r>
    </w:p>
    <w:p>
      <w:pPr>
        <w:pStyle w:val="TextBody"/>
        <w:bidi w:val="0"/>
        <w:spacing w:lineRule="auto" w:line="285" w:before="197" w:after="283"/>
        <w:ind w:left="360" w:right="505" w:hanging="0"/>
        <w:jc w:val="left"/>
        <w:rPr>
          <w:rFonts w:ascii="Aptos" w:hAnsi="Aptos"/>
          <w:sz w:val="24"/>
        </w:rPr>
      </w:pPr>
      <w:r>
        <w:rPr>
          <w:rFonts w:ascii="Arial;Helvetica;sans-serif" w:hAnsi="Arial;Helvetica;sans-serif"/>
          <w:sz w:val="20"/>
        </w:rPr>
        <w:t>b.</w:t>
      </w:r>
      <w:r>
        <w:rPr>
          <w:rFonts w:ascii="Arial;Helvetica;sans-serif" w:hAnsi="Arial;Helvetica;sans-serif"/>
          <w:b/>
          <w:sz w:val="20"/>
        </w:rPr>
        <w:t xml:space="preserve">Duties. </w:t>
      </w:r>
      <w:r>
        <w:rPr>
          <w:rFonts w:ascii="Arial;Helvetica;sans-serif" w:hAnsi="Arial;Helvetica;sans-serif"/>
          <w:sz w:val="20"/>
        </w:rPr>
        <w:t>Except to the extent that is required for the Executive to complete his duties for his Current</w:t>
      </w:r>
      <w:r>
        <w:rPr>
          <w:rFonts w:ascii="Aptos" w:hAnsi="Aptos"/>
          <w:spacing w:val="-3"/>
          <w:sz w:val="24"/>
        </w:rPr>
        <w:t xml:space="preserve"> </w:t>
      </w:r>
      <w:r>
        <w:rPr>
          <w:rFonts w:ascii="Arial;Helvetica;sans-serif" w:hAnsi="Arial;Helvetica;sans-serif"/>
          <w:sz w:val="20"/>
        </w:rPr>
        <w:t>Responsibilities,</w:t>
      </w:r>
      <w:r>
        <w:rPr>
          <w:rFonts w:ascii="Aptos" w:hAnsi="Aptos"/>
          <w:spacing w:val="-3"/>
          <w:sz w:val="24"/>
        </w:rPr>
        <w:t xml:space="preserve"> </w:t>
      </w:r>
      <w:r>
        <w:rPr>
          <w:rFonts w:ascii="Arial;Helvetica;sans-serif" w:hAnsi="Arial;Helvetica;sans-serif"/>
          <w:sz w:val="20"/>
        </w:rPr>
        <w:t>Mr.</w:t>
      </w:r>
      <w:r>
        <w:rPr>
          <w:rFonts w:ascii="Aptos" w:hAnsi="Aptos"/>
          <w:spacing w:val="-3"/>
          <w:sz w:val="24"/>
        </w:rPr>
        <w:t xml:space="preserve"> </w:t>
      </w:r>
      <w:r>
        <w:rPr>
          <w:rFonts w:ascii="Arial;Helvetica;sans-serif" w:hAnsi="Arial;Helvetica;sans-serif"/>
          <w:sz w:val="20"/>
        </w:rPr>
        <w:t>Brown</w:t>
      </w:r>
      <w:r>
        <w:rPr>
          <w:rFonts w:ascii="Aptos" w:hAnsi="Aptos"/>
          <w:spacing w:val="-3"/>
          <w:sz w:val="24"/>
        </w:rPr>
        <w:t xml:space="preserve"> </w:t>
      </w:r>
      <w:r>
        <w:rPr>
          <w:rFonts w:ascii="Arial;Helvetica;sans-serif" w:hAnsi="Arial;Helvetica;sans-serif"/>
          <w:sz w:val="20"/>
        </w:rPr>
        <w:t>shall</w:t>
      </w:r>
      <w:r>
        <w:rPr>
          <w:rFonts w:ascii="Aptos" w:hAnsi="Aptos"/>
          <w:spacing w:val="-3"/>
          <w:sz w:val="24"/>
        </w:rPr>
        <w:t xml:space="preserve"> </w:t>
      </w:r>
      <w:r>
        <w:rPr>
          <w:rFonts w:ascii="Arial;Helvetica;sans-serif" w:hAnsi="Arial;Helvetica;sans-serif"/>
          <w:sz w:val="20"/>
        </w:rPr>
        <w:t>devote</w:t>
      </w:r>
      <w:r>
        <w:rPr>
          <w:rFonts w:ascii="Aptos" w:hAnsi="Aptos"/>
          <w:spacing w:val="-3"/>
          <w:sz w:val="24"/>
        </w:rPr>
        <w:t xml:space="preserve"> </w:t>
      </w:r>
      <w:r>
        <w:rPr>
          <w:rFonts w:ascii="Arial;Helvetica;sans-serif" w:hAnsi="Arial;Helvetica;sans-serif"/>
          <w:sz w:val="20"/>
        </w:rPr>
        <w:t>his</w:t>
      </w:r>
      <w:r>
        <w:rPr>
          <w:rFonts w:ascii="Aptos" w:hAnsi="Aptos"/>
          <w:spacing w:val="-3"/>
          <w:sz w:val="24"/>
        </w:rPr>
        <w:t xml:space="preserve"> </w:t>
      </w:r>
      <w:r>
        <w:rPr>
          <w:rFonts w:ascii="Arial;Helvetica;sans-serif" w:hAnsi="Arial;Helvetica;sans-serif"/>
          <w:sz w:val="20"/>
        </w:rPr>
        <w:t>full-time</w:t>
      </w:r>
      <w:r>
        <w:rPr>
          <w:rFonts w:ascii="Aptos" w:hAnsi="Aptos"/>
          <w:spacing w:val="-3"/>
          <w:sz w:val="24"/>
        </w:rPr>
        <w:t xml:space="preserve"> </w:t>
      </w:r>
      <w:r>
        <w:rPr>
          <w:rFonts w:ascii="Arial;Helvetica;sans-serif" w:hAnsi="Arial;Helvetica;sans-serif"/>
          <w:sz w:val="20"/>
        </w:rPr>
        <w:t>and</w:t>
      </w:r>
      <w:r>
        <w:rPr>
          <w:rFonts w:ascii="Aptos" w:hAnsi="Aptos"/>
          <w:spacing w:val="-3"/>
          <w:sz w:val="24"/>
        </w:rPr>
        <w:t xml:space="preserve"> </w:t>
      </w:r>
      <w:r>
        <w:rPr>
          <w:rFonts w:ascii="Arial;Helvetica;sans-serif" w:hAnsi="Arial;Helvetica;sans-serif"/>
          <w:sz w:val="20"/>
        </w:rPr>
        <w:t>best</w:t>
      </w:r>
      <w:r>
        <w:rPr>
          <w:rFonts w:ascii="Aptos" w:hAnsi="Aptos"/>
          <w:spacing w:val="-3"/>
          <w:sz w:val="24"/>
        </w:rPr>
        <w:t xml:space="preserve"> </w:t>
      </w:r>
      <w:r>
        <w:rPr>
          <w:rFonts w:ascii="Arial;Helvetica;sans-serif" w:hAnsi="Arial;Helvetica;sans-serif"/>
          <w:sz w:val="20"/>
        </w:rPr>
        <w:t>efforts</w:t>
      </w:r>
      <w:r>
        <w:rPr>
          <w:rFonts w:ascii="Aptos" w:hAnsi="Aptos"/>
          <w:spacing w:val="-3"/>
          <w:sz w:val="24"/>
        </w:rPr>
        <w:t xml:space="preserve"> </w:t>
      </w:r>
      <w:r>
        <w:rPr>
          <w:rFonts w:ascii="Arial;Helvetica;sans-serif" w:hAnsi="Arial;Helvetica;sans-serif"/>
          <w:sz w:val="20"/>
        </w:rPr>
        <w:t>to</w:t>
      </w:r>
      <w:r>
        <w:rPr>
          <w:rFonts w:ascii="Aptos" w:hAnsi="Aptos"/>
          <w:spacing w:val="-3"/>
          <w:sz w:val="24"/>
        </w:rPr>
        <w:t xml:space="preserve"> </w:t>
      </w:r>
      <w:r>
        <w:rPr>
          <w:rFonts w:ascii="Arial;Helvetica;sans-serif" w:hAnsi="Arial;Helvetica;sans-serif"/>
          <w:sz w:val="20"/>
        </w:rPr>
        <w:t>the</w:t>
      </w:r>
      <w:r>
        <w:rPr>
          <w:rFonts w:ascii="Aptos" w:hAnsi="Aptos"/>
          <w:spacing w:val="-3"/>
          <w:sz w:val="24"/>
        </w:rPr>
        <w:t xml:space="preserve"> </w:t>
      </w:r>
      <w:r>
        <w:rPr>
          <w:rFonts w:ascii="Arial;Helvetica;sans-serif" w:hAnsi="Arial;Helvetica;sans-serif"/>
          <w:sz w:val="20"/>
        </w:rPr>
        <w:t>performance of all duties contemplated by his roles and responsibilities as President TTEC Digital, and as assigned from time to time by TTEC CEO. Unless otherwise specifically authorized in writing by TTEC Parent, Executive shall not engage in any other business activity, or otherwise be employed by any other company other than TTEC and its subsidiaries. Notwithstanding the foregoing, Mr. Brown is not precluded by the terms of this Agreement from serving on boards of directors of non-competitor companies or not-for-profit organizations with TTEC Parent's prior written approval.</w:t>
      </w:r>
    </w:p>
    <w:p>
      <w:pPr>
        <w:pStyle w:val="TextBody"/>
        <w:pBdr/>
        <w:bidi w:val="0"/>
        <w:spacing w:lineRule="auto" w:line="331" w:before="0" w:after="160"/>
        <w:ind w:left="360" w:right="0" w:hanging="360"/>
        <w:jc w:val="left"/>
        <w:rPr/>
      </w:pPr>
      <w:r>
        <w:rPr/>
        <w:t>​</w:t>
      </w:r>
    </w:p>
    <w:p>
      <w:pPr>
        <w:pStyle w:val="TextBody"/>
        <w:bidi w:val="0"/>
        <w:spacing w:lineRule="auto" w:line="285" w:before="0" w:after="0"/>
        <w:ind w:left="0" w:right="0" w:hanging="0"/>
        <w:jc w:val="right"/>
        <w:rPr>
          <w:rFonts w:ascii="Arial;Helvetica;sans-serif" w:hAnsi="Arial;Helvetica;sans-serif"/>
          <w:sz w:val="22"/>
        </w:rPr>
      </w:pPr>
      <w:r>
        <w:rPr>
          <w:rFonts w:ascii="Arial;Helvetica;sans-serif" w:hAnsi="Arial;Helvetica;sans-serif"/>
          <w:sz w:val="22"/>
        </w:rPr>
        <w:t xml:space="preserve">Page </w:t>
      </w:r>
      <w:r>
        <w:rPr>
          <w:rFonts w:ascii="Arial;Helvetica;sans-serif" w:hAnsi="Arial;Helvetica;sans-serif"/>
          <w:b/>
          <w:sz w:val="22"/>
        </w:rPr>
        <w:t>1</w:t>
      </w:r>
      <w:r>
        <w:rPr>
          <w:rFonts w:ascii="Arial;Helvetica;sans-serif" w:hAnsi="Arial;Helvetica;sans-serif"/>
          <w:sz w:val="22"/>
        </w:rPr>
        <w:t xml:space="preserve"> of </w:t>
      </w:r>
      <w:r>
        <w:rPr>
          <w:rFonts w:ascii="Arial;Helvetica;sans-serif" w:hAnsi="Arial;Helvetica;sans-serif"/>
          <w:b/>
          <w:sz w:val="22"/>
        </w:rPr>
        <w:t>15</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720" w:right="426" w:hanging="0"/>
        <w:jc w:val="left"/>
        <w:rPr>
          <w:rFonts w:ascii="Aptos" w:hAnsi="Aptos"/>
          <w:sz w:val="20"/>
        </w:rPr>
      </w:pPr>
      <w:r>
        <w:rPr>
          <w:rFonts w:ascii="Arial;Helvetica;sans-serif" w:hAnsi="Arial;Helvetica;sans-serif"/>
          <w:sz w:val="20"/>
        </w:rPr>
        <w:t>For</w:t>
      </w:r>
      <w:r>
        <w:rPr>
          <w:rFonts w:ascii="Aptos" w:hAnsi="Aptos"/>
          <w:spacing w:val="-3"/>
          <w:sz w:val="20"/>
        </w:rPr>
        <w:t xml:space="preserve"> </w:t>
      </w:r>
      <w:r>
        <w:rPr>
          <w:rFonts w:ascii="Arial;Helvetica;sans-serif" w:hAnsi="Arial;Helvetica;sans-serif"/>
          <w:sz w:val="20"/>
        </w:rPr>
        <w:t>purposes</w:t>
      </w:r>
      <w:r>
        <w:rPr>
          <w:rFonts w:ascii="Aptos" w:hAnsi="Aptos"/>
          <w:spacing w:val="-3"/>
          <w:sz w:val="20"/>
        </w:rPr>
        <w:t xml:space="preserve"> </w:t>
      </w:r>
      <w:r>
        <w:rPr>
          <w:rFonts w:ascii="Arial;Helvetica;sans-serif" w:hAnsi="Arial;Helvetica;sans-serif"/>
          <w:sz w:val="20"/>
        </w:rPr>
        <w:t>of</w:t>
      </w:r>
      <w:r>
        <w:rPr>
          <w:rFonts w:ascii="Aptos" w:hAnsi="Aptos"/>
          <w:spacing w:val="-3"/>
          <w:sz w:val="20"/>
        </w:rPr>
        <w:t xml:space="preserve"> </w:t>
      </w:r>
      <w:r>
        <w:rPr>
          <w:rFonts w:ascii="Arial;Helvetica;sans-serif" w:hAnsi="Arial;Helvetica;sans-serif"/>
          <w:sz w:val="20"/>
        </w:rPr>
        <w:t>this</w:t>
      </w:r>
      <w:r>
        <w:rPr>
          <w:rFonts w:ascii="Aptos" w:hAnsi="Aptos"/>
          <w:spacing w:val="-4"/>
          <w:sz w:val="20"/>
        </w:rPr>
        <w:t xml:space="preserve"> </w:t>
      </w:r>
      <w:r>
        <w:rPr>
          <w:rFonts w:ascii="Arial;Helvetica;sans-serif" w:hAnsi="Arial;Helvetica;sans-serif"/>
          <w:sz w:val="20"/>
        </w:rPr>
        <w:t>Section</w:t>
      </w:r>
      <w:r>
        <w:rPr>
          <w:rFonts w:ascii="Aptos" w:hAnsi="Aptos"/>
          <w:spacing w:val="-3"/>
          <w:sz w:val="20"/>
        </w:rPr>
        <w:t xml:space="preserve"> </w:t>
      </w:r>
      <w:r>
        <w:rPr>
          <w:rFonts w:ascii="Arial;Helvetica;sans-serif" w:hAnsi="Arial;Helvetica;sans-serif"/>
          <w:sz w:val="20"/>
        </w:rPr>
        <w:t>1(b)</w:t>
      </w:r>
      <w:r>
        <w:rPr>
          <w:rFonts w:ascii="Aptos" w:hAnsi="Aptos"/>
          <w:spacing w:val="-3"/>
          <w:sz w:val="20"/>
        </w:rPr>
        <w:t xml:space="preserve"> </w:t>
      </w:r>
      <w:r>
        <w:rPr>
          <w:rFonts w:ascii="Arial;Helvetica;sans-serif" w:hAnsi="Arial;Helvetica;sans-serif"/>
          <w:sz w:val="20"/>
        </w:rPr>
        <w:t>of</w:t>
      </w:r>
      <w:r>
        <w:rPr>
          <w:rFonts w:ascii="Aptos" w:hAnsi="Aptos"/>
          <w:spacing w:val="-3"/>
          <w:sz w:val="20"/>
        </w:rPr>
        <w:t xml:space="preserve"> </w:t>
      </w:r>
      <w:r>
        <w:rPr>
          <w:rFonts w:ascii="Arial;Helvetica;sans-serif" w:hAnsi="Arial;Helvetica;sans-serif"/>
          <w:sz w:val="20"/>
        </w:rPr>
        <w:t>the</w:t>
      </w:r>
      <w:r>
        <w:rPr>
          <w:rFonts w:ascii="Aptos" w:hAnsi="Aptos"/>
          <w:spacing w:val="-3"/>
          <w:sz w:val="20"/>
        </w:rPr>
        <w:t xml:space="preserve"> </w:t>
      </w:r>
      <w:r>
        <w:rPr>
          <w:rFonts w:ascii="Arial;Helvetica;sans-serif" w:hAnsi="Arial;Helvetica;sans-serif"/>
          <w:sz w:val="20"/>
        </w:rPr>
        <w:t>Agreement,</w:t>
      </w:r>
      <w:r>
        <w:rPr>
          <w:rFonts w:ascii="Aptos" w:hAnsi="Aptos"/>
          <w:spacing w:val="-3"/>
          <w:sz w:val="20"/>
        </w:rPr>
        <w:t xml:space="preserve"> </w:t>
      </w:r>
      <w:r>
        <w:rPr>
          <w:rFonts w:ascii="Arial;Helvetica;sans-serif" w:hAnsi="Arial;Helvetica;sans-serif"/>
          <w:sz w:val="20"/>
        </w:rPr>
        <w:t>the</w:t>
      </w:r>
      <w:r>
        <w:rPr>
          <w:rFonts w:ascii="Aptos" w:hAnsi="Aptos"/>
          <w:spacing w:val="-3"/>
          <w:sz w:val="20"/>
        </w:rPr>
        <w:t xml:space="preserve"> </w:t>
      </w:r>
      <w:r>
        <w:rPr>
          <w:rFonts w:ascii="Arial;Helvetica;sans-serif" w:hAnsi="Arial;Helvetica;sans-serif"/>
          <w:sz w:val="20"/>
        </w:rPr>
        <w:t>Company</w:t>
      </w:r>
      <w:r>
        <w:rPr>
          <w:rFonts w:ascii="Aptos" w:hAnsi="Aptos"/>
          <w:spacing w:val="-3"/>
          <w:sz w:val="20"/>
        </w:rPr>
        <w:t xml:space="preserve"> </w:t>
      </w:r>
      <w:r>
        <w:rPr>
          <w:rFonts w:ascii="Arial;Helvetica;sans-serif" w:hAnsi="Arial;Helvetica;sans-serif"/>
          <w:sz w:val="20"/>
        </w:rPr>
        <w:t>hereby</w:t>
      </w:r>
      <w:r>
        <w:rPr>
          <w:rFonts w:ascii="Aptos" w:hAnsi="Aptos"/>
          <w:spacing w:val="-3"/>
          <w:sz w:val="20"/>
        </w:rPr>
        <w:t xml:space="preserve"> </w:t>
      </w:r>
      <w:r>
        <w:rPr>
          <w:rFonts w:ascii="Arial;Helvetica;sans-serif" w:hAnsi="Arial;Helvetica;sans-serif"/>
          <w:sz w:val="20"/>
        </w:rPr>
        <w:t>acknowledges</w:t>
      </w:r>
      <w:r>
        <w:rPr>
          <w:rFonts w:ascii="Aptos" w:hAnsi="Aptos"/>
          <w:spacing w:val="-3"/>
          <w:sz w:val="20"/>
        </w:rPr>
        <w:t xml:space="preserve"> </w:t>
      </w:r>
      <w:r>
        <w:rPr>
          <w:rFonts w:ascii="Arial;Helvetica;sans-serif" w:hAnsi="Arial;Helvetica;sans-serif"/>
          <w:sz w:val="20"/>
        </w:rPr>
        <w:t>that</w:t>
      </w:r>
      <w:r>
        <w:rPr>
          <w:rFonts w:ascii="Aptos" w:hAnsi="Aptos"/>
          <w:spacing w:val="-3"/>
          <w:sz w:val="20"/>
        </w:rPr>
        <w:t xml:space="preserve"> </w:t>
      </w:r>
      <w:r>
        <w:rPr>
          <w:rFonts w:ascii="Arial;Helvetica;sans-serif" w:hAnsi="Arial;Helvetica;sans-serif"/>
          <w:sz w:val="20"/>
        </w:rPr>
        <w:t>the Executive serves as a member of the board of directors for Percepta LLC, a joint venture between TTEC Parent and Ford Motor Company.</w:t>
      </w:r>
    </w:p>
    <w:tbl>
      <w:tblPr>
        <w:tblW w:w="10205" w:type="dxa"/>
        <w:jc w:val="left"/>
        <w:tblInd w:w="0" w:type="dxa"/>
        <w:tblLayout w:type="fixed"/>
        <w:tblCellMar>
          <w:top w:w="0" w:type="dxa"/>
          <w:left w:w="0" w:type="dxa"/>
          <w:bottom w:w="0" w:type="dxa"/>
          <w:right w:w="0" w:type="dxa"/>
        </w:tblCellMar>
      </w:tblPr>
      <w:tblGrid>
        <w:gridCol w:w="23"/>
        <w:gridCol w:w="185"/>
        <w:gridCol w:w="9974"/>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w:t>
            </w:r>
          </w:p>
        </w:tc>
        <w:tc>
          <w:tcPr>
            <w:tcW w:w="9974"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 xml:space="preserve">Conduct. </w:t>
            </w:r>
            <w:r>
              <w:rPr>
                <w:rFonts w:ascii="Arial;Helvetica;sans-serif" w:hAnsi="Arial;Helvetica;sans-serif"/>
                <w:b w:val="false"/>
                <w:i w:val="false"/>
                <w:caps w:val="false"/>
                <w:smallCaps w:val="false"/>
                <w:sz w:val="20"/>
              </w:rPr>
              <w:t>In his role as President TTEC Digital, Mr. Brown shall render services to the Company and to TTEC Parent as necessary and desirable to protect and advance the best interests of TTEC</w:t>
            </w:r>
            <w:r>
              <w:rPr>
                <w:caps w:val="false"/>
                <w:smallCaps w:val="false"/>
                <w:spacing w:val="-2"/>
              </w:rPr>
              <w:t xml:space="preserve"> </w:t>
            </w:r>
            <w:r>
              <w:rPr>
                <w:rFonts w:ascii="Arial;Helvetica;sans-serif" w:hAnsi="Arial;Helvetica;sans-serif"/>
                <w:b w:val="false"/>
                <w:i w:val="false"/>
                <w:caps w:val="false"/>
                <w:smallCaps w:val="false"/>
                <w:sz w:val="20"/>
              </w:rPr>
              <w:t>Parent</w:t>
            </w:r>
            <w:r>
              <w:rPr>
                <w:caps w:val="false"/>
                <w:smallCaps w:val="false"/>
                <w:spacing w:val="-1"/>
              </w:rPr>
              <w:t xml:space="preserve"> </w:t>
            </w:r>
            <w:r>
              <w:rPr>
                <w:rFonts w:ascii="Arial;Helvetica;sans-serif" w:hAnsi="Arial;Helvetica;sans-serif"/>
                <w:b w:val="false"/>
                <w:i w:val="false"/>
                <w:caps w:val="false"/>
                <w:smallCaps w:val="false"/>
                <w:sz w:val="20"/>
              </w:rPr>
              <w:t>and</w:t>
            </w:r>
            <w:r>
              <w:rPr>
                <w:caps w:val="false"/>
                <w:smallCaps w:val="false"/>
                <w:spacing w:val="-1"/>
              </w:rPr>
              <w:t xml:space="preserve"> </w:t>
            </w:r>
            <w:r>
              <w:rPr>
                <w:rFonts w:ascii="Arial;Helvetica;sans-serif" w:hAnsi="Arial;Helvetica;sans-serif"/>
                <w:b w:val="false"/>
                <w:i w:val="false"/>
                <w:caps w:val="false"/>
                <w:smallCaps w:val="false"/>
                <w:sz w:val="20"/>
              </w:rPr>
              <w:t>all</w:t>
            </w:r>
            <w:r>
              <w:rPr>
                <w:caps w:val="false"/>
                <w:smallCaps w:val="false"/>
                <w:spacing w:val="-1"/>
              </w:rPr>
              <w:t xml:space="preserve"> </w:t>
            </w:r>
            <w:r>
              <w:rPr>
                <w:rFonts w:ascii="Arial;Helvetica;sans-serif" w:hAnsi="Arial;Helvetica;sans-serif"/>
                <w:b w:val="false"/>
                <w:i w:val="false"/>
                <w:caps w:val="false"/>
                <w:smallCaps w:val="false"/>
                <w:sz w:val="20"/>
              </w:rPr>
              <w:t>its</w:t>
            </w:r>
            <w:r>
              <w:rPr>
                <w:caps w:val="false"/>
                <w:smallCaps w:val="false"/>
                <w:spacing w:val="-1"/>
              </w:rPr>
              <w:t xml:space="preserve"> </w:t>
            </w:r>
            <w:r>
              <w:rPr>
                <w:rFonts w:ascii="Arial;Helvetica;sans-serif" w:hAnsi="Arial;Helvetica;sans-serif"/>
                <w:b w:val="false"/>
                <w:i w:val="false"/>
                <w:caps w:val="false"/>
                <w:smallCaps w:val="false"/>
                <w:sz w:val="20"/>
              </w:rPr>
              <w:t>affiliated</w:t>
            </w:r>
            <w:r>
              <w:rPr>
                <w:caps w:val="false"/>
                <w:smallCaps w:val="false"/>
                <w:spacing w:val="-1"/>
              </w:rPr>
              <w:t xml:space="preserve"> </w:t>
            </w:r>
            <w:r>
              <w:rPr>
                <w:rFonts w:ascii="Arial;Helvetica;sans-serif" w:hAnsi="Arial;Helvetica;sans-serif"/>
                <w:b w:val="false"/>
                <w:i w:val="false"/>
                <w:caps w:val="false"/>
                <w:smallCaps w:val="false"/>
                <w:sz w:val="20"/>
              </w:rPr>
              <w:t>companies,</w:t>
            </w:r>
            <w:r>
              <w:rPr>
                <w:caps w:val="false"/>
                <w:smallCaps w:val="false"/>
                <w:spacing w:val="-1"/>
              </w:rPr>
              <w:t xml:space="preserve"> </w:t>
            </w:r>
            <w:r>
              <w:rPr>
                <w:rFonts w:ascii="Arial;Helvetica;sans-serif" w:hAnsi="Arial;Helvetica;sans-serif"/>
                <w:b w:val="false"/>
                <w:i w:val="false"/>
                <w:caps w:val="false"/>
                <w:smallCaps w:val="false"/>
                <w:sz w:val="20"/>
              </w:rPr>
              <w:t>acting</w:t>
            </w:r>
            <w:r>
              <w:rPr>
                <w:caps w:val="false"/>
                <w:smallCaps w:val="false"/>
                <w:spacing w:val="-1"/>
              </w:rPr>
              <w:t xml:space="preserve"> </w:t>
            </w:r>
            <w:r>
              <w:rPr>
                <w:rFonts w:ascii="Arial;Helvetica;sans-serif" w:hAnsi="Arial;Helvetica;sans-serif"/>
                <w:b w:val="false"/>
                <w:i w:val="false"/>
                <w:caps w:val="false"/>
                <w:smallCaps w:val="false"/>
                <w:sz w:val="20"/>
              </w:rPr>
              <w:t>at</w:t>
            </w:r>
            <w:r>
              <w:rPr>
                <w:caps w:val="false"/>
                <w:smallCaps w:val="false"/>
                <w:spacing w:val="-1"/>
              </w:rPr>
              <w:t xml:space="preserve"> </w:t>
            </w:r>
            <w:r>
              <w:rPr>
                <w:rFonts w:ascii="Arial;Helvetica;sans-serif" w:hAnsi="Arial;Helvetica;sans-serif"/>
                <w:b w:val="false"/>
                <w:i w:val="false"/>
                <w:caps w:val="false"/>
                <w:smallCaps w:val="false"/>
                <w:sz w:val="20"/>
              </w:rPr>
              <w:t>all</w:t>
            </w:r>
            <w:r>
              <w:rPr>
                <w:caps w:val="false"/>
                <w:smallCaps w:val="false"/>
                <w:spacing w:val="-1"/>
              </w:rPr>
              <w:t xml:space="preserve"> </w:t>
            </w:r>
            <w:r>
              <w:rPr>
                <w:rFonts w:ascii="Arial;Helvetica;sans-serif" w:hAnsi="Arial;Helvetica;sans-serif"/>
                <w:b w:val="false"/>
                <w:i w:val="false"/>
                <w:caps w:val="false"/>
                <w:smallCaps w:val="false"/>
                <w:sz w:val="20"/>
              </w:rPr>
              <w:t>times,</w:t>
            </w:r>
            <w:r>
              <w:rPr>
                <w:caps w:val="false"/>
                <w:smallCaps w:val="false"/>
                <w:spacing w:val="-1"/>
              </w:rPr>
              <w:t xml:space="preserve"> </w:t>
            </w:r>
            <w:r>
              <w:rPr>
                <w:rFonts w:ascii="Arial;Helvetica;sans-serif" w:hAnsi="Arial;Helvetica;sans-serif"/>
                <w:b w:val="false"/>
                <w:i w:val="false"/>
                <w:caps w:val="false"/>
                <w:smallCaps w:val="false"/>
                <w:sz w:val="20"/>
              </w:rPr>
              <w:t>in</w:t>
            </w:r>
            <w:r>
              <w:rPr>
                <w:caps w:val="false"/>
                <w:smallCaps w:val="false"/>
                <w:spacing w:val="-1"/>
              </w:rPr>
              <w:t xml:space="preserve"> </w:t>
            </w:r>
            <w:r>
              <w:rPr>
                <w:rFonts w:ascii="Arial;Helvetica;sans-serif" w:hAnsi="Arial;Helvetica;sans-serif"/>
                <w:b w:val="false"/>
                <w:i w:val="false"/>
                <w:caps w:val="false"/>
                <w:smallCaps w:val="false"/>
                <w:sz w:val="20"/>
              </w:rPr>
              <w:t>accordance</w:t>
            </w:r>
            <w:r>
              <w:rPr>
                <w:caps w:val="false"/>
                <w:smallCaps w:val="false"/>
                <w:spacing w:val="-1"/>
              </w:rPr>
              <w:t xml:space="preserve"> </w:t>
            </w:r>
            <w:r>
              <w:rPr>
                <w:rFonts w:ascii="Arial;Helvetica;sans-serif" w:hAnsi="Arial;Helvetica;sans-serif"/>
                <w:b w:val="false"/>
                <w:i w:val="false"/>
                <w:caps w:val="false"/>
                <w:smallCaps w:val="false"/>
                <w:sz w:val="20"/>
              </w:rPr>
              <w:t>with</w:t>
            </w:r>
            <w:r>
              <w:rPr>
                <w:caps w:val="false"/>
                <w:smallCaps w:val="false"/>
                <w:spacing w:val="-3"/>
              </w:rPr>
              <w:t xml:space="preserve"> </w:t>
            </w:r>
            <w:r>
              <w:rPr>
                <w:rFonts w:ascii="Arial;Helvetica;sans-serif" w:hAnsi="Arial;Helvetica;sans-serif"/>
                <w:b/>
                <w:i/>
                <w:sz w:val="20"/>
              </w:rPr>
              <w:t>TTEC</w:t>
            </w:r>
            <w:r>
              <w:rPr>
                <w:spacing w:val="-2"/>
              </w:rPr>
              <w:t xml:space="preserve"> </w:t>
            </w:r>
            <w:r>
              <w:rPr>
                <w:rFonts w:ascii="Arial;Helvetica;sans-serif" w:hAnsi="Arial;Helvetica;sans-serif"/>
                <w:b/>
                <w:i/>
                <w:sz w:val="20"/>
              </w:rPr>
              <w:t xml:space="preserve">Ethics Code: How TTEC Does Business </w:t>
            </w:r>
            <w:r>
              <w:rPr>
                <w:rFonts w:ascii="Arial;Helvetica;sans-serif" w:hAnsi="Arial;Helvetica;sans-serif"/>
                <w:b w:val="false"/>
                <w:i w:val="false"/>
                <w:caps w:val="false"/>
                <w:smallCaps w:val="false"/>
                <w:sz w:val="20"/>
              </w:rPr>
              <w:t>(or a successor code of conduct document, collectively "TTEC</w:t>
            </w:r>
            <w:r>
              <w:rPr>
                <w:caps w:val="false"/>
                <w:smallCaps w:val="false"/>
                <w:spacing w:val="-4"/>
              </w:rPr>
              <w:t xml:space="preserve"> </w:t>
            </w:r>
            <w:r>
              <w:rPr>
                <w:rFonts w:ascii="Arial;Helvetica;sans-serif" w:hAnsi="Arial;Helvetica;sans-serif"/>
                <w:b w:val="false"/>
                <w:i w:val="false"/>
                <w:caps w:val="false"/>
                <w:smallCaps w:val="false"/>
                <w:sz w:val="20"/>
              </w:rPr>
              <w:t>Ethics</w:t>
            </w:r>
            <w:r>
              <w:rPr>
                <w:caps w:val="false"/>
                <w:smallCaps w:val="false"/>
                <w:spacing w:val="-3"/>
              </w:rPr>
              <w:t xml:space="preserve"> </w:t>
            </w:r>
            <w:r>
              <w:rPr>
                <w:rFonts w:ascii="Arial;Helvetica;sans-serif" w:hAnsi="Arial;Helvetica;sans-serif"/>
                <w:b w:val="false"/>
                <w:i w:val="false"/>
                <w:caps w:val="false"/>
                <w:smallCaps w:val="false"/>
                <w:sz w:val="20"/>
              </w:rPr>
              <w:t>Code"),</w:t>
            </w:r>
            <w:r>
              <w:rPr>
                <w:caps w:val="false"/>
                <w:smallCaps w:val="false"/>
                <w:spacing w:val="-2"/>
              </w:rPr>
              <w:t xml:space="preserve"> </w:t>
            </w:r>
            <w:r>
              <w:rPr>
                <w:rFonts w:ascii="Arial;Helvetica;sans-serif" w:hAnsi="Arial;Helvetica;sans-serif"/>
                <w:b w:val="false"/>
                <w:i w:val="false"/>
                <w:caps w:val="false"/>
                <w:smallCaps w:val="false"/>
                <w:sz w:val="20"/>
              </w:rPr>
              <w:t>incorporated</w:t>
            </w:r>
            <w:r>
              <w:rPr>
                <w:caps w:val="false"/>
                <w:smallCaps w:val="false"/>
                <w:spacing w:val="-3"/>
              </w:rPr>
              <w:t xml:space="preserve"> </w:t>
            </w:r>
            <w:r>
              <w:rPr>
                <w:rFonts w:ascii="Arial;Helvetica;sans-serif" w:hAnsi="Arial;Helvetica;sans-serif"/>
                <w:b w:val="false"/>
                <w:i w:val="false"/>
                <w:caps w:val="false"/>
                <w:smallCaps w:val="false"/>
                <w:sz w:val="20"/>
              </w:rPr>
              <w:t>in</w:t>
            </w:r>
            <w:r>
              <w:rPr>
                <w:caps w:val="false"/>
                <w:smallCaps w:val="false"/>
                <w:spacing w:val="-3"/>
              </w:rPr>
              <w:t xml:space="preserve"> </w:t>
            </w:r>
            <w:r>
              <w:rPr>
                <w:rFonts w:ascii="Arial;Helvetica;sans-serif" w:hAnsi="Arial;Helvetica;sans-serif"/>
                <w:b w:val="false"/>
                <w:i w:val="false"/>
                <w:caps w:val="false"/>
                <w:smallCaps w:val="false"/>
                <w:sz w:val="20"/>
              </w:rPr>
              <w:t>this</w:t>
            </w:r>
            <w:r>
              <w:rPr>
                <w:caps w:val="false"/>
                <w:smallCaps w:val="false"/>
                <w:spacing w:val="-3"/>
              </w:rPr>
              <w:t xml:space="preserve"> </w:t>
            </w:r>
            <w:r>
              <w:rPr>
                <w:rFonts w:ascii="Arial;Helvetica;sans-serif" w:hAnsi="Arial;Helvetica;sans-serif"/>
                <w:b w:val="false"/>
                <w:i w:val="false"/>
                <w:caps w:val="false"/>
                <w:smallCaps w:val="false"/>
                <w:sz w:val="20"/>
              </w:rPr>
              <w:t>Agreement</w:t>
            </w:r>
            <w:r>
              <w:rPr>
                <w:caps w:val="false"/>
                <w:smallCaps w:val="false"/>
                <w:spacing w:val="-2"/>
              </w:rPr>
              <w:t xml:space="preserve"> </w:t>
            </w:r>
            <w:r>
              <w:rPr>
                <w:rFonts w:ascii="Arial;Helvetica;sans-serif" w:hAnsi="Arial;Helvetica;sans-serif"/>
                <w:b w:val="false"/>
                <w:i w:val="false"/>
                <w:caps w:val="false"/>
                <w:smallCaps w:val="false"/>
                <w:sz w:val="20"/>
              </w:rPr>
              <w:t>by</w:t>
            </w:r>
            <w:r>
              <w:rPr>
                <w:caps w:val="false"/>
                <w:smallCaps w:val="false"/>
                <w:spacing w:val="-3"/>
              </w:rPr>
              <w:t xml:space="preserve"> </w:t>
            </w:r>
            <w:r>
              <w:rPr>
                <w:rFonts w:ascii="Arial;Helvetica;sans-serif" w:hAnsi="Arial;Helvetica;sans-serif"/>
                <w:b w:val="false"/>
                <w:i w:val="false"/>
                <w:caps w:val="false"/>
                <w:smallCaps w:val="false"/>
                <w:sz w:val="20"/>
              </w:rPr>
              <w:t>reference</w:t>
            </w:r>
            <w:r>
              <w:rPr>
                <w:caps w:val="false"/>
                <w:smallCaps w:val="false"/>
                <w:spacing w:val="-3"/>
              </w:rPr>
              <w:t xml:space="preserve"> </w:t>
            </w:r>
            <w:r>
              <w:rPr>
                <w:rFonts w:ascii="Arial;Helvetica;sans-serif" w:hAnsi="Arial;Helvetica;sans-serif"/>
                <w:b w:val="false"/>
                <w:i w:val="false"/>
                <w:caps w:val="false"/>
                <w:smallCaps w:val="false"/>
                <w:sz w:val="20"/>
              </w:rPr>
              <w:t>as</w:t>
            </w:r>
            <w:r>
              <w:rPr>
                <w:caps w:val="false"/>
                <w:smallCaps w:val="false"/>
                <w:spacing w:val="-3"/>
              </w:rPr>
              <w:t xml:space="preserve"> </w:t>
            </w:r>
            <w:r>
              <w:rPr>
                <w:rFonts w:ascii="Arial;Helvetica;sans-serif" w:hAnsi="Arial;Helvetica;sans-serif"/>
                <w:b w:val="false"/>
                <w:i/>
                <w:sz w:val="20"/>
              </w:rPr>
              <w:t>Exhibit</w:t>
            </w:r>
            <w:r>
              <w:rPr>
                <w:spacing w:val="-3"/>
              </w:rPr>
              <w:t xml:space="preserve"> </w:t>
            </w:r>
            <w:r>
              <w:rPr>
                <w:rFonts w:ascii="Arial;Helvetica;sans-serif" w:hAnsi="Arial;Helvetica;sans-serif"/>
                <w:b w:val="false"/>
                <w:i/>
                <w:sz w:val="20"/>
              </w:rPr>
              <w:t>B,</w:t>
            </w:r>
            <w:r>
              <w:rPr>
                <w:spacing w:val="-3"/>
              </w:rPr>
              <w:t xml:space="preserve"> </w:t>
            </w:r>
            <w:r>
              <w:rPr>
                <w:rFonts w:ascii="Arial;Helvetica;sans-serif" w:hAnsi="Arial;Helvetica;sans-serif"/>
                <w:b w:val="false"/>
                <w:i w:val="false"/>
                <w:caps w:val="false"/>
                <w:smallCaps w:val="false"/>
                <w:sz w:val="20"/>
              </w:rPr>
              <w:t>the</w:t>
            </w:r>
            <w:r>
              <w:rPr>
                <w:caps w:val="false"/>
                <w:smallCaps w:val="false"/>
                <w:spacing w:val="-3"/>
              </w:rPr>
              <w:t xml:space="preserve"> </w:t>
            </w:r>
            <w:r>
              <w:rPr>
                <w:rFonts w:ascii="Arial;Helvetica;sans-serif" w:hAnsi="Arial;Helvetica;sans-serif"/>
                <w:b/>
                <w:i/>
                <w:sz w:val="20"/>
              </w:rPr>
              <w:t>Ethics</w:t>
            </w:r>
            <w:r>
              <w:rPr>
                <w:spacing w:val="-3"/>
              </w:rPr>
              <w:t xml:space="preserve"> </w:t>
            </w:r>
            <w:r>
              <w:rPr>
                <w:rFonts w:ascii="Arial;Helvetica;sans-serif" w:hAnsi="Arial;Helvetica;sans-serif"/>
                <w:b/>
                <w:i/>
                <w:sz w:val="20"/>
              </w:rPr>
              <w:t>Code for Executive and Senior Financial Officers</w:t>
            </w:r>
            <w:r>
              <w:rPr>
                <w:rFonts w:ascii="Arial;Helvetica;sans-serif" w:hAnsi="Arial;Helvetica;sans-serif"/>
                <w:b w:val="false"/>
                <w:i w:val="false"/>
                <w:caps w:val="false"/>
                <w:smallCaps w:val="false"/>
                <w:sz w:val="20"/>
              </w:rPr>
              <w:t xml:space="preserve">, incorporated into this Agreement by reference as </w:t>
            </w:r>
            <w:r>
              <w:rPr>
                <w:rFonts w:ascii="Arial;Helvetica;sans-serif" w:hAnsi="Arial;Helvetica;sans-serif"/>
                <w:b w:val="false"/>
                <w:i/>
                <w:sz w:val="20"/>
              </w:rPr>
              <w:t>Exhibit C</w:t>
            </w:r>
            <w:r>
              <w:rPr>
                <w:rFonts w:ascii="Arial;Helvetica;sans-serif" w:hAnsi="Arial;Helvetica;sans-serif"/>
                <w:b w:val="false"/>
                <w:i w:val="false"/>
                <w:caps w:val="false"/>
                <w:smallCaps w:val="false"/>
                <w:sz w:val="20"/>
              </w:rPr>
              <w:t>, and in accordance with all other material policies and procedures.</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199" w:after="0"/>
        <w:ind w:left="360" w:right="359" w:hanging="0"/>
        <w:jc w:val="left"/>
        <w:rPr>
          <w:rFonts w:ascii="Aptos" w:hAnsi="Aptos"/>
          <w:sz w:val="24"/>
        </w:rPr>
      </w:pPr>
      <w:r>
        <w:rPr>
          <w:rFonts w:ascii="Arial;Helvetica;sans-serif" w:hAnsi="Arial;Helvetica;sans-serif"/>
          <w:sz w:val="20"/>
        </w:rPr>
        <w:t>d.</w:t>
      </w:r>
      <w:r>
        <w:rPr>
          <w:rFonts w:ascii="Arial;Helvetica;sans-serif" w:hAnsi="Arial;Helvetica;sans-serif"/>
          <w:b/>
          <w:sz w:val="20"/>
        </w:rPr>
        <w:t xml:space="preserve">Travel. </w:t>
      </w:r>
      <w:r>
        <w:rPr>
          <w:rFonts w:ascii="Arial;Helvetica;sans-serif" w:hAnsi="Arial;Helvetica;sans-serif"/>
          <w:sz w:val="20"/>
        </w:rPr>
        <w:t>Mr. Brown's role may require travel, and Mr. Brown understands and agrees that such travel is a material part of his responsibilities, subject to current health and safety recommendations</w:t>
      </w:r>
      <w:r>
        <w:rPr>
          <w:rFonts w:ascii="Aptos" w:hAnsi="Aptos"/>
          <w:spacing w:val="-4"/>
          <w:sz w:val="24"/>
        </w:rPr>
        <w:t xml:space="preserve"> </w:t>
      </w:r>
      <w:r>
        <w:rPr>
          <w:rFonts w:ascii="Arial;Helvetica;sans-serif" w:hAnsi="Arial;Helvetica;sans-serif"/>
          <w:sz w:val="20"/>
        </w:rPr>
        <w:t>of</w:t>
      </w:r>
      <w:r>
        <w:rPr>
          <w:rFonts w:ascii="Aptos" w:hAnsi="Aptos"/>
          <w:spacing w:val="-4"/>
          <w:sz w:val="24"/>
        </w:rPr>
        <w:t xml:space="preserve"> </w:t>
      </w:r>
      <w:r>
        <w:rPr>
          <w:rFonts w:ascii="Arial;Helvetica;sans-serif" w:hAnsi="Arial;Helvetica;sans-serif"/>
          <w:sz w:val="20"/>
        </w:rPr>
        <w:t>local</w:t>
      </w:r>
      <w:r>
        <w:rPr>
          <w:rFonts w:ascii="Aptos" w:hAnsi="Aptos"/>
          <w:spacing w:val="-4"/>
          <w:sz w:val="24"/>
        </w:rPr>
        <w:t xml:space="preserve"> </w:t>
      </w:r>
      <w:r>
        <w:rPr>
          <w:rFonts w:ascii="Arial;Helvetica;sans-serif" w:hAnsi="Arial;Helvetica;sans-serif"/>
          <w:sz w:val="20"/>
        </w:rPr>
        <w:t>government</w:t>
      </w:r>
      <w:r>
        <w:rPr>
          <w:rFonts w:ascii="Aptos" w:hAnsi="Aptos"/>
          <w:spacing w:val="-4"/>
          <w:sz w:val="24"/>
        </w:rPr>
        <w:t xml:space="preserve"> </w:t>
      </w:r>
      <w:r>
        <w:rPr>
          <w:rFonts w:ascii="Arial;Helvetica;sans-serif" w:hAnsi="Arial;Helvetica;sans-serif"/>
          <w:sz w:val="20"/>
        </w:rPr>
        <w:t>authorities</w:t>
      </w:r>
      <w:r>
        <w:rPr>
          <w:rFonts w:ascii="Aptos" w:hAnsi="Aptos"/>
          <w:spacing w:val="-4"/>
          <w:sz w:val="24"/>
        </w:rPr>
        <w:t xml:space="preserve"> </w:t>
      </w:r>
      <w:r>
        <w:rPr>
          <w:rFonts w:ascii="Arial;Helvetica;sans-serif" w:hAnsi="Arial;Helvetica;sans-serif"/>
          <w:sz w:val="20"/>
        </w:rPr>
        <w:t>and</w:t>
      </w:r>
      <w:r>
        <w:rPr>
          <w:rFonts w:ascii="Aptos" w:hAnsi="Aptos"/>
          <w:spacing w:val="-4"/>
          <w:sz w:val="24"/>
        </w:rPr>
        <w:t xml:space="preserve"> </w:t>
      </w:r>
      <w:r>
        <w:rPr>
          <w:rFonts w:ascii="Arial;Helvetica;sans-serif" w:hAnsi="Arial;Helvetica;sans-serif"/>
          <w:sz w:val="20"/>
        </w:rPr>
        <w:t>travel</w:t>
      </w:r>
      <w:r>
        <w:rPr>
          <w:rFonts w:ascii="Aptos" w:hAnsi="Aptos"/>
          <w:spacing w:val="-4"/>
          <w:sz w:val="24"/>
        </w:rPr>
        <w:t xml:space="preserve"> </w:t>
      </w:r>
      <w:r>
        <w:rPr>
          <w:rFonts w:ascii="Arial;Helvetica;sans-serif" w:hAnsi="Arial;Helvetica;sans-serif"/>
          <w:sz w:val="20"/>
        </w:rPr>
        <w:t>restrictions</w:t>
      </w:r>
      <w:r>
        <w:rPr>
          <w:rFonts w:ascii="Aptos" w:hAnsi="Aptos"/>
          <w:spacing w:val="-4"/>
          <w:sz w:val="24"/>
        </w:rPr>
        <w:t xml:space="preserve"> </w:t>
      </w:r>
      <w:r>
        <w:rPr>
          <w:rFonts w:ascii="Arial;Helvetica;sans-serif" w:hAnsi="Arial;Helvetica;sans-serif"/>
          <w:sz w:val="20"/>
        </w:rPr>
        <w:t>that</w:t>
      </w:r>
      <w:r>
        <w:rPr>
          <w:rFonts w:ascii="Aptos" w:hAnsi="Aptos"/>
          <w:spacing w:val="-4"/>
          <w:sz w:val="24"/>
        </w:rPr>
        <w:t xml:space="preserve"> </w:t>
      </w:r>
      <w:r>
        <w:rPr>
          <w:rFonts w:ascii="Arial;Helvetica;sans-serif" w:hAnsi="Arial;Helvetica;sans-serif"/>
          <w:sz w:val="20"/>
        </w:rPr>
        <w:t>may</w:t>
      </w:r>
      <w:r>
        <w:rPr>
          <w:rFonts w:ascii="Aptos" w:hAnsi="Aptos"/>
          <w:spacing w:val="-4"/>
          <w:sz w:val="24"/>
        </w:rPr>
        <w:t xml:space="preserve"> </w:t>
      </w:r>
      <w:r>
        <w:rPr>
          <w:rFonts w:ascii="Arial;Helvetica;sans-serif" w:hAnsi="Arial;Helvetica;sans-serif"/>
          <w:sz w:val="20"/>
        </w:rPr>
        <w:t>be</w:t>
      </w:r>
      <w:r>
        <w:rPr>
          <w:rFonts w:ascii="Aptos" w:hAnsi="Aptos"/>
          <w:spacing w:val="-1"/>
          <w:sz w:val="24"/>
        </w:rPr>
        <w:t xml:space="preserve"> </w:t>
      </w:r>
      <w:r>
        <w:rPr>
          <w:rFonts w:ascii="Arial;Helvetica;sans-serif" w:hAnsi="Arial;Helvetica;sans-serif"/>
          <w:sz w:val="20"/>
        </w:rPr>
        <w:t>in</w:t>
      </w:r>
      <w:r>
        <w:rPr>
          <w:rFonts w:ascii="Aptos" w:hAnsi="Aptos"/>
          <w:spacing w:val="-4"/>
          <w:sz w:val="24"/>
        </w:rPr>
        <w:t xml:space="preserve"> </w:t>
      </w:r>
      <w:r>
        <w:rPr>
          <w:rFonts w:ascii="Arial;Helvetica;sans-serif" w:hAnsi="Arial;Helvetica;sans-serif"/>
          <w:sz w:val="20"/>
        </w:rPr>
        <w:t>effect</w:t>
      </w:r>
      <w:r>
        <w:rPr>
          <w:rFonts w:ascii="Aptos" w:hAnsi="Aptos"/>
          <w:spacing w:val="-4"/>
          <w:sz w:val="24"/>
        </w:rPr>
        <w:t xml:space="preserve"> </w:t>
      </w:r>
      <w:r>
        <w:rPr>
          <w:rFonts w:ascii="Arial;Helvetica;sans-serif" w:hAnsi="Arial;Helvetica;sans-serif"/>
          <w:sz w:val="20"/>
        </w:rPr>
        <w:t>from time to time. Mr. Brown shall travel in accordance with TTEC Parent travel policy.</w:t>
      </w:r>
    </w:p>
    <w:p>
      <w:pPr>
        <w:pStyle w:val="TextBody"/>
        <w:bidi w:val="0"/>
        <w:spacing w:lineRule="auto" w:line="285" w:before="204" w:after="0"/>
        <w:ind w:left="360" w:right="472" w:hanging="0"/>
        <w:jc w:val="left"/>
        <w:rPr>
          <w:rFonts w:ascii="Aptos" w:hAnsi="Aptos"/>
          <w:sz w:val="24"/>
        </w:rPr>
      </w:pPr>
      <w:r>
        <w:rPr>
          <w:rFonts w:ascii="Arial;Helvetica;sans-serif" w:hAnsi="Arial;Helvetica;sans-serif"/>
          <w:sz w:val="20"/>
        </w:rPr>
        <w:t>e.</w:t>
      </w:r>
      <w:r>
        <w:rPr>
          <w:rFonts w:ascii="Arial;Helvetica;sans-serif" w:hAnsi="Arial;Helvetica;sans-serif"/>
          <w:b/>
          <w:sz w:val="20"/>
        </w:rPr>
        <w:t xml:space="preserve">Changes in Role. </w:t>
      </w:r>
      <w:r>
        <w:rPr>
          <w:rFonts w:ascii="Arial;Helvetica;sans-serif" w:hAnsi="Arial;Helvetica;sans-serif"/>
          <w:sz w:val="20"/>
        </w:rPr>
        <w:t>Notwithstanding other provisions in this Agreement, but subject to the reasonable</w:t>
      </w:r>
      <w:r>
        <w:rPr>
          <w:rFonts w:ascii="Aptos" w:hAnsi="Aptos"/>
          <w:spacing w:val="-4"/>
          <w:sz w:val="24"/>
        </w:rPr>
        <w:t xml:space="preserve"> </w:t>
      </w:r>
      <w:r>
        <w:rPr>
          <w:rFonts w:ascii="Arial;Helvetica;sans-serif" w:hAnsi="Arial;Helvetica;sans-serif"/>
          <w:sz w:val="20"/>
        </w:rPr>
        <w:t>interpretation</w:t>
      </w:r>
      <w:r>
        <w:rPr>
          <w:rFonts w:ascii="Aptos" w:hAnsi="Aptos"/>
          <w:spacing w:val="-4"/>
          <w:sz w:val="24"/>
        </w:rPr>
        <w:t xml:space="preserve"> </w:t>
      </w:r>
      <w:r>
        <w:rPr>
          <w:rFonts w:ascii="Arial;Helvetica;sans-serif" w:hAnsi="Arial;Helvetica;sans-serif"/>
          <w:sz w:val="20"/>
        </w:rPr>
        <w:t>of</w:t>
      </w:r>
      <w:r>
        <w:rPr>
          <w:rFonts w:ascii="Aptos" w:hAnsi="Aptos"/>
          <w:spacing w:val="-4"/>
          <w:sz w:val="24"/>
        </w:rPr>
        <w:t xml:space="preserve"> </w:t>
      </w:r>
      <w:r>
        <w:rPr>
          <w:rFonts w:ascii="Arial;Helvetica;sans-serif" w:hAnsi="Arial;Helvetica;sans-serif"/>
          <w:sz w:val="20"/>
        </w:rPr>
        <w:t>provisions</w:t>
      </w:r>
      <w:r>
        <w:rPr>
          <w:rFonts w:ascii="Aptos" w:hAnsi="Aptos"/>
          <w:spacing w:val="-4"/>
          <w:sz w:val="24"/>
        </w:rPr>
        <w:t xml:space="preserve"> </w:t>
      </w:r>
      <w:r>
        <w:rPr>
          <w:rFonts w:ascii="Arial;Helvetica;sans-serif" w:hAnsi="Arial;Helvetica;sans-serif"/>
          <w:sz w:val="20"/>
        </w:rPr>
        <w:t>of</w:t>
      </w:r>
      <w:r>
        <w:rPr>
          <w:rFonts w:ascii="Aptos" w:hAnsi="Aptos"/>
          <w:spacing w:val="-2"/>
          <w:sz w:val="24"/>
        </w:rPr>
        <w:t xml:space="preserve"> </w:t>
      </w:r>
      <w:r>
        <w:rPr>
          <w:rFonts w:ascii="Arial;Helvetica;sans-serif" w:hAnsi="Arial;Helvetica;sans-serif"/>
          <w:sz w:val="20"/>
        </w:rPr>
        <w:t>Section</w:t>
      </w:r>
      <w:r>
        <w:rPr>
          <w:rFonts w:ascii="Aptos" w:hAnsi="Aptos"/>
          <w:spacing w:val="-4"/>
          <w:sz w:val="24"/>
        </w:rPr>
        <w:t xml:space="preserve"> </w:t>
      </w:r>
      <w:r>
        <w:rPr>
          <w:rFonts w:ascii="Arial;Helvetica;sans-serif" w:hAnsi="Arial;Helvetica;sans-serif"/>
          <w:sz w:val="20"/>
        </w:rPr>
        <w:t>4(i)</w:t>
      </w:r>
      <w:r>
        <w:rPr>
          <w:rFonts w:ascii="Aptos" w:hAnsi="Aptos"/>
          <w:spacing w:val="-4"/>
          <w:sz w:val="24"/>
        </w:rPr>
        <w:t xml:space="preserve"> </w:t>
      </w:r>
      <w:r>
        <w:rPr>
          <w:rFonts w:ascii="Arial;Helvetica;sans-serif" w:hAnsi="Arial;Helvetica;sans-serif"/>
          <w:sz w:val="20"/>
        </w:rPr>
        <w:t>(on</w:t>
      </w:r>
      <w:r>
        <w:rPr>
          <w:rFonts w:ascii="Aptos" w:hAnsi="Aptos"/>
          <w:spacing w:val="-4"/>
          <w:sz w:val="24"/>
        </w:rPr>
        <w:t xml:space="preserve"> </w:t>
      </w:r>
      <w:r>
        <w:rPr>
          <w:rFonts w:ascii="Aptos" w:hAnsi="Aptos"/>
          <w:sz w:val="24"/>
        </w:rPr>
        <w:t>“</w:t>
      </w:r>
      <w:r>
        <w:rPr>
          <w:rFonts w:ascii="Arial;Helvetica;sans-serif" w:hAnsi="Arial;Helvetica;sans-serif"/>
          <w:sz w:val="20"/>
        </w:rPr>
        <w:t>Constructive</w:t>
      </w:r>
      <w:r>
        <w:rPr>
          <w:rFonts w:ascii="Aptos" w:hAnsi="Aptos"/>
          <w:spacing w:val="-4"/>
          <w:sz w:val="24"/>
        </w:rPr>
        <w:t xml:space="preserve"> </w:t>
      </w:r>
      <w:r>
        <w:rPr>
          <w:rFonts w:ascii="Arial;Helvetica;sans-serif" w:hAnsi="Arial;Helvetica;sans-serif"/>
          <w:sz w:val="20"/>
        </w:rPr>
        <w:t>Termination”),</w:t>
      </w:r>
      <w:r>
        <w:rPr>
          <w:rFonts w:ascii="Aptos" w:hAnsi="Aptos"/>
          <w:spacing w:val="-4"/>
          <w:sz w:val="24"/>
        </w:rPr>
        <w:t xml:space="preserve"> </w:t>
      </w:r>
      <w:r>
        <w:rPr>
          <w:rFonts w:ascii="Arial;Helvetica;sans-serif" w:hAnsi="Arial;Helvetica;sans-serif"/>
          <w:sz w:val="20"/>
        </w:rPr>
        <w:t>Mr.</w:t>
      </w:r>
      <w:r>
        <w:rPr>
          <w:rFonts w:ascii="Aptos" w:hAnsi="Aptos"/>
          <w:spacing w:val="-3"/>
          <w:sz w:val="24"/>
        </w:rPr>
        <w:t xml:space="preserve"> </w:t>
      </w:r>
      <w:r>
        <w:rPr>
          <w:rFonts w:ascii="Arial;Helvetica;sans-serif" w:hAnsi="Arial;Helvetica;sans-serif"/>
          <w:sz w:val="20"/>
        </w:rPr>
        <w:t>Brown understands and agrees that his role and responsibilities may change over time in the best interest of the business, and TTEC Parent reserves the right to assign to Mr. Brown different and/or additional roles and assignments that best serve the business.</w:t>
      </w:r>
    </w:p>
    <w:tbl>
      <w:tblPr>
        <w:tblW w:w="10205" w:type="dxa"/>
        <w:jc w:val="left"/>
        <w:tblInd w:w="0" w:type="dxa"/>
        <w:tblLayout w:type="fixed"/>
        <w:tblCellMar>
          <w:top w:w="0" w:type="dxa"/>
          <w:left w:w="0" w:type="dxa"/>
          <w:bottom w:w="0" w:type="dxa"/>
          <w:right w:w="0" w:type="dxa"/>
        </w:tblCellMar>
      </w:tblPr>
      <w:tblGrid>
        <w:gridCol w:w="23"/>
        <w:gridCol w:w="140"/>
        <w:gridCol w:w="1001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w:t>
            </w:r>
          </w:p>
        </w:tc>
        <w:tc>
          <w:tcPr>
            <w:tcW w:w="10019"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Change in Employment Entity.</w:t>
            </w:r>
            <w:r>
              <w:rPr>
                <w:caps w:val="false"/>
                <w:smallCaps w:val="false"/>
                <w:spacing w:val="40"/>
              </w:rPr>
              <w:t xml:space="preserve"> </w:t>
            </w:r>
            <w:r>
              <w:rPr>
                <w:rFonts w:ascii="Arial;Helvetica;sans-serif" w:hAnsi="Arial;Helvetica;sans-serif"/>
                <w:b w:val="false"/>
                <w:i w:val="false"/>
                <w:caps w:val="false"/>
                <w:smallCaps w:val="false"/>
                <w:sz w:val="20"/>
              </w:rPr>
              <w:t>Prior to the Effective Date, Mr. Brown was employed by TTEC Services</w:t>
            </w:r>
            <w:r>
              <w:rPr>
                <w:caps w:val="false"/>
                <w:smallCaps w:val="false"/>
                <w:spacing w:val="-3"/>
              </w:rPr>
              <w:t xml:space="preserve"> </w:t>
            </w:r>
            <w:r>
              <w:rPr>
                <w:rFonts w:ascii="Arial;Helvetica;sans-serif" w:hAnsi="Arial;Helvetica;sans-serif"/>
                <w:b w:val="false"/>
                <w:i w:val="false"/>
                <w:caps w:val="false"/>
                <w:smallCaps w:val="false"/>
                <w:sz w:val="20"/>
              </w:rPr>
              <w:t>Corporation,</w:t>
            </w:r>
            <w:r>
              <w:rPr>
                <w:caps w:val="false"/>
                <w:smallCaps w:val="false"/>
                <w:spacing w:val="-3"/>
              </w:rPr>
              <w:t xml:space="preserve"> </w:t>
            </w:r>
            <w:r>
              <w:rPr>
                <w:rFonts w:ascii="Arial;Helvetica;sans-serif" w:hAnsi="Arial;Helvetica;sans-serif"/>
                <w:b w:val="false"/>
                <w:i w:val="false"/>
                <w:caps w:val="false"/>
                <w:smallCaps w:val="false"/>
                <w:sz w:val="20"/>
              </w:rPr>
              <w:t>a</w:t>
            </w:r>
            <w:r>
              <w:rPr>
                <w:caps w:val="false"/>
                <w:smallCaps w:val="false"/>
                <w:spacing w:val="-3"/>
              </w:rPr>
              <w:t xml:space="preserve"> </w:t>
            </w:r>
            <w:r>
              <w:rPr>
                <w:rFonts w:ascii="Arial;Helvetica;sans-serif" w:hAnsi="Arial;Helvetica;sans-serif"/>
                <w:b w:val="false"/>
                <w:i w:val="false"/>
                <w:caps w:val="false"/>
                <w:smallCaps w:val="false"/>
                <w:sz w:val="20"/>
              </w:rPr>
              <w:t>sibling</w:t>
            </w:r>
            <w:r>
              <w:rPr>
                <w:caps w:val="false"/>
                <w:smallCaps w:val="false"/>
                <w:spacing w:val="-3"/>
              </w:rPr>
              <w:t xml:space="preserve"> </w:t>
            </w:r>
            <w:r>
              <w:rPr>
                <w:rFonts w:ascii="Arial;Helvetica;sans-serif" w:hAnsi="Arial;Helvetica;sans-serif"/>
                <w:b w:val="false"/>
                <w:i w:val="false"/>
                <w:caps w:val="false"/>
                <w:smallCaps w:val="false"/>
                <w:sz w:val="20"/>
              </w:rPr>
              <w:t>organization</w:t>
            </w:r>
            <w:r>
              <w:rPr>
                <w:caps w:val="false"/>
                <w:smallCaps w:val="false"/>
                <w:spacing w:val="-3"/>
              </w:rPr>
              <w:t xml:space="preserve"> </w:t>
            </w:r>
            <w:r>
              <w:rPr>
                <w:rFonts w:ascii="Arial;Helvetica;sans-serif" w:hAnsi="Arial;Helvetica;sans-serif"/>
                <w:b w:val="false"/>
                <w:i w:val="false"/>
                <w:caps w:val="false"/>
                <w:smallCaps w:val="false"/>
                <w:sz w:val="20"/>
              </w:rPr>
              <w:t>to</w:t>
            </w:r>
            <w:r>
              <w:rPr>
                <w:caps w:val="false"/>
                <w:smallCaps w:val="false"/>
                <w:spacing w:val="-3"/>
              </w:rPr>
              <w:t xml:space="preserve"> </w:t>
            </w:r>
            <w:r>
              <w:rPr>
                <w:rFonts w:ascii="Arial;Helvetica;sans-serif" w:hAnsi="Arial;Helvetica;sans-serif"/>
                <w:b w:val="false"/>
                <w:i w:val="false"/>
                <w:caps w:val="false"/>
                <w:smallCaps w:val="false"/>
                <w:sz w:val="20"/>
              </w:rPr>
              <w:t>TTEC</w:t>
            </w:r>
            <w:r>
              <w:rPr>
                <w:caps w:val="false"/>
                <w:smallCaps w:val="false"/>
                <w:spacing w:val="-4"/>
              </w:rPr>
              <w:t xml:space="preserve"> </w:t>
            </w:r>
            <w:r>
              <w:rPr>
                <w:rFonts w:ascii="Arial;Helvetica;sans-serif" w:hAnsi="Arial;Helvetica;sans-serif"/>
                <w:b w:val="false"/>
                <w:i w:val="false"/>
                <w:caps w:val="false"/>
                <w:smallCaps w:val="false"/>
                <w:sz w:val="20"/>
              </w:rPr>
              <w:t>Digital,</w:t>
            </w:r>
            <w:r>
              <w:rPr>
                <w:caps w:val="false"/>
                <w:smallCaps w:val="false"/>
                <w:spacing w:val="-3"/>
              </w:rPr>
              <w:t xml:space="preserve"> </w:t>
            </w:r>
            <w:r>
              <w:rPr>
                <w:rFonts w:ascii="Arial;Helvetica;sans-serif" w:hAnsi="Arial;Helvetica;sans-serif"/>
                <w:b w:val="false"/>
                <w:i w:val="false"/>
                <w:caps w:val="false"/>
                <w:smallCaps w:val="false"/>
                <w:sz w:val="20"/>
              </w:rPr>
              <w:t>also</w:t>
            </w:r>
            <w:r>
              <w:rPr>
                <w:caps w:val="false"/>
                <w:smallCaps w:val="false"/>
                <w:spacing w:val="-3"/>
              </w:rPr>
              <w:t xml:space="preserve"> </w:t>
            </w:r>
            <w:r>
              <w:rPr>
                <w:rFonts w:ascii="Arial;Helvetica;sans-serif" w:hAnsi="Arial;Helvetica;sans-serif"/>
                <w:b w:val="false"/>
                <w:i w:val="false"/>
                <w:caps w:val="false"/>
                <w:smallCaps w:val="false"/>
                <w:sz w:val="20"/>
              </w:rPr>
              <w:t>a</w:t>
            </w:r>
            <w:r>
              <w:rPr>
                <w:caps w:val="false"/>
                <w:smallCaps w:val="false"/>
                <w:spacing w:val="-3"/>
              </w:rPr>
              <w:t xml:space="preserve"> </w:t>
            </w:r>
            <w:r>
              <w:rPr>
                <w:rFonts w:ascii="Arial;Helvetica;sans-serif" w:hAnsi="Arial;Helvetica;sans-serif"/>
                <w:b w:val="false"/>
                <w:i w:val="false"/>
                <w:caps w:val="false"/>
                <w:smallCaps w:val="false"/>
                <w:sz w:val="20"/>
              </w:rPr>
              <w:t>wholly</w:t>
            </w:r>
            <w:r>
              <w:rPr>
                <w:caps w:val="false"/>
                <w:smallCaps w:val="false"/>
                <w:spacing w:val="-3"/>
              </w:rPr>
              <w:t xml:space="preserve"> </w:t>
            </w:r>
            <w:r>
              <w:rPr>
                <w:rFonts w:ascii="Arial;Helvetica;sans-serif" w:hAnsi="Arial;Helvetica;sans-serif"/>
                <w:b w:val="false"/>
                <w:i w:val="false"/>
                <w:caps w:val="false"/>
                <w:smallCaps w:val="false"/>
                <w:sz w:val="20"/>
              </w:rPr>
              <w:t>owned</w:t>
            </w:r>
            <w:r>
              <w:rPr>
                <w:caps w:val="false"/>
                <w:smallCaps w:val="false"/>
                <w:spacing w:val="-3"/>
              </w:rPr>
              <w:t xml:space="preserve"> </w:t>
            </w:r>
            <w:r>
              <w:rPr>
                <w:rFonts w:ascii="Arial;Helvetica;sans-serif" w:hAnsi="Arial;Helvetica;sans-serif"/>
                <w:b w:val="false"/>
                <w:i w:val="false"/>
                <w:caps w:val="false"/>
                <w:smallCaps w:val="false"/>
                <w:sz w:val="20"/>
              </w:rPr>
              <w:t>subsidiary</w:t>
            </w:r>
            <w:r>
              <w:rPr>
                <w:caps w:val="false"/>
                <w:smallCaps w:val="false"/>
                <w:spacing w:val="-3"/>
              </w:rPr>
              <w:t xml:space="preserve"> </w:t>
            </w:r>
            <w:r>
              <w:rPr>
                <w:rFonts w:ascii="Arial;Helvetica;sans-serif" w:hAnsi="Arial;Helvetica;sans-serif"/>
                <w:b w:val="false"/>
                <w:i w:val="false"/>
                <w:caps w:val="false"/>
                <w:smallCaps w:val="false"/>
                <w:sz w:val="20"/>
              </w:rPr>
              <w:t>of TTEC</w:t>
            </w:r>
            <w:r>
              <w:rPr>
                <w:caps w:val="false"/>
                <w:smallCaps w:val="false"/>
                <w:spacing w:val="-2"/>
              </w:rPr>
              <w:t xml:space="preserve"> </w:t>
            </w:r>
            <w:r>
              <w:rPr>
                <w:rFonts w:ascii="Arial;Helvetica;sans-serif" w:hAnsi="Arial;Helvetica;sans-serif"/>
                <w:b w:val="false"/>
                <w:i w:val="false"/>
                <w:caps w:val="false"/>
                <w:smallCaps w:val="false"/>
                <w:sz w:val="20"/>
              </w:rPr>
              <w:t>Parent.</w:t>
            </w:r>
            <w:r>
              <w:rPr>
                <w:caps w:val="false"/>
                <w:smallCaps w:val="false"/>
                <w:spacing w:val="-1"/>
              </w:rPr>
              <w:t xml:space="preserve"> </w:t>
            </w:r>
            <w:r>
              <w:rPr>
                <w:rFonts w:ascii="Arial;Helvetica;sans-serif" w:hAnsi="Arial;Helvetica;sans-serif"/>
                <w:b w:val="false"/>
                <w:i w:val="false"/>
                <w:caps w:val="false"/>
                <w:smallCaps w:val="false"/>
                <w:sz w:val="20"/>
              </w:rPr>
              <w:t>For</w:t>
            </w:r>
            <w:r>
              <w:rPr>
                <w:caps w:val="false"/>
                <w:smallCaps w:val="false"/>
                <w:spacing w:val="-1"/>
              </w:rPr>
              <w:t xml:space="preserve"> </w:t>
            </w:r>
            <w:r>
              <w:rPr>
                <w:rFonts w:ascii="Arial;Helvetica;sans-serif" w:hAnsi="Arial;Helvetica;sans-serif"/>
                <w:b w:val="false"/>
                <w:i w:val="false"/>
                <w:caps w:val="false"/>
                <w:smallCaps w:val="false"/>
                <w:sz w:val="20"/>
              </w:rPr>
              <w:t>tax</w:t>
            </w:r>
            <w:r>
              <w:rPr>
                <w:caps w:val="false"/>
                <w:smallCaps w:val="false"/>
                <w:spacing w:val="-1"/>
              </w:rPr>
              <w:t xml:space="preserve"> </w:t>
            </w:r>
            <w:r>
              <w:rPr>
                <w:rFonts w:ascii="Arial;Helvetica;sans-serif" w:hAnsi="Arial;Helvetica;sans-serif"/>
                <w:b w:val="false"/>
                <w:i w:val="false"/>
                <w:caps w:val="false"/>
                <w:smallCaps w:val="false"/>
                <w:sz w:val="20"/>
              </w:rPr>
              <w:t>purposes</w:t>
            </w:r>
            <w:r>
              <w:rPr>
                <w:caps w:val="false"/>
                <w:smallCaps w:val="false"/>
                <w:spacing w:val="-1"/>
              </w:rPr>
              <w:t xml:space="preserve"> </w:t>
            </w:r>
            <w:r>
              <w:rPr>
                <w:rFonts w:ascii="Arial;Helvetica;sans-serif" w:hAnsi="Arial;Helvetica;sans-serif"/>
                <w:b w:val="false"/>
                <w:i w:val="false"/>
                <w:caps w:val="false"/>
                <w:smallCaps w:val="false"/>
                <w:sz w:val="20"/>
              </w:rPr>
              <w:t>only,</w:t>
            </w:r>
            <w:r>
              <w:rPr>
                <w:caps w:val="false"/>
                <w:smallCaps w:val="false"/>
                <w:spacing w:val="-1"/>
              </w:rPr>
              <w:t xml:space="preserve"> </w:t>
            </w:r>
            <w:r>
              <w:rPr>
                <w:rFonts w:ascii="Arial;Helvetica;sans-serif" w:hAnsi="Arial;Helvetica;sans-serif"/>
                <w:b w:val="false"/>
                <w:i w:val="false"/>
                <w:caps w:val="false"/>
                <w:smallCaps w:val="false"/>
                <w:sz w:val="20"/>
              </w:rPr>
              <w:t>during</w:t>
            </w:r>
            <w:r>
              <w:rPr>
                <w:caps w:val="false"/>
                <w:smallCaps w:val="false"/>
                <w:spacing w:val="-1"/>
              </w:rPr>
              <w:t xml:space="preserve"> </w:t>
            </w:r>
            <w:r>
              <w:rPr>
                <w:rFonts w:ascii="Arial;Helvetica;sans-serif" w:hAnsi="Arial;Helvetica;sans-serif"/>
                <w:b w:val="false"/>
                <w:i w:val="false"/>
                <w:caps w:val="false"/>
                <w:smallCaps w:val="false"/>
                <w:sz w:val="20"/>
              </w:rPr>
              <w:t>the</w:t>
            </w:r>
            <w:r>
              <w:rPr>
                <w:caps w:val="false"/>
                <w:smallCaps w:val="false"/>
                <w:spacing w:val="-1"/>
              </w:rPr>
              <w:t xml:space="preserve"> </w:t>
            </w:r>
            <w:r>
              <w:rPr>
                <w:rFonts w:ascii="Arial;Helvetica;sans-serif" w:hAnsi="Arial;Helvetica;sans-serif"/>
                <w:b w:val="false"/>
                <w:i w:val="false"/>
                <w:caps w:val="false"/>
                <w:smallCaps w:val="false"/>
                <w:sz w:val="20"/>
              </w:rPr>
              <w:t>fiscal</w:t>
            </w:r>
            <w:r>
              <w:rPr>
                <w:caps w:val="false"/>
                <w:smallCaps w:val="false"/>
                <w:spacing w:val="-1"/>
              </w:rPr>
              <w:t xml:space="preserve"> </w:t>
            </w:r>
            <w:r>
              <w:rPr>
                <w:rFonts w:ascii="Arial;Helvetica;sans-serif" w:hAnsi="Arial;Helvetica;sans-serif"/>
                <w:b w:val="false"/>
                <w:i w:val="false"/>
                <w:caps w:val="false"/>
                <w:smallCaps w:val="false"/>
                <w:sz w:val="20"/>
              </w:rPr>
              <w:t>year</w:t>
            </w:r>
            <w:r>
              <w:rPr>
                <w:caps w:val="false"/>
                <w:smallCaps w:val="false"/>
                <w:spacing w:val="-1"/>
              </w:rPr>
              <w:t xml:space="preserve"> </w:t>
            </w:r>
            <w:r>
              <w:rPr>
                <w:rFonts w:ascii="Arial;Helvetica;sans-serif" w:hAnsi="Arial;Helvetica;sans-serif"/>
                <w:b w:val="false"/>
                <w:i w:val="false"/>
                <w:caps w:val="false"/>
                <w:smallCaps w:val="false"/>
                <w:sz w:val="20"/>
              </w:rPr>
              <w:t>2026,</w:t>
            </w:r>
            <w:r>
              <w:rPr>
                <w:caps w:val="false"/>
                <w:smallCaps w:val="false"/>
                <w:spacing w:val="-1"/>
              </w:rPr>
              <w:t xml:space="preserve"> </w:t>
            </w:r>
            <w:r>
              <w:rPr>
                <w:rFonts w:ascii="Arial;Helvetica;sans-serif" w:hAnsi="Arial;Helvetica;sans-serif"/>
                <w:b w:val="false"/>
                <w:i w:val="false"/>
                <w:caps w:val="false"/>
                <w:smallCaps w:val="false"/>
                <w:sz w:val="20"/>
              </w:rPr>
              <w:t>Mr.</w:t>
            </w:r>
            <w:r>
              <w:rPr>
                <w:caps w:val="false"/>
                <w:smallCaps w:val="false"/>
                <w:spacing w:val="-1"/>
              </w:rPr>
              <w:t xml:space="preserve"> </w:t>
            </w:r>
            <w:r>
              <w:rPr>
                <w:rFonts w:ascii="Arial;Helvetica;sans-serif" w:hAnsi="Arial;Helvetica;sans-serif"/>
                <w:b w:val="false"/>
                <w:i w:val="false"/>
                <w:caps w:val="false"/>
                <w:smallCaps w:val="false"/>
                <w:sz w:val="20"/>
              </w:rPr>
              <w:t>Brown</w:t>
            </w:r>
            <w:r>
              <w:rPr>
                <w:caps w:val="false"/>
                <w:smallCaps w:val="false"/>
                <w:spacing w:val="-1"/>
              </w:rPr>
              <w:t xml:space="preserve"> </w:t>
            </w:r>
            <w:r>
              <w:rPr>
                <w:rFonts w:ascii="Arial;Helvetica;sans-serif" w:hAnsi="Arial;Helvetica;sans-serif"/>
                <w:b w:val="false"/>
                <w:i w:val="false"/>
                <w:caps w:val="false"/>
                <w:smallCaps w:val="false"/>
                <w:sz w:val="20"/>
              </w:rPr>
              <w:t>will</w:t>
            </w:r>
            <w:r>
              <w:rPr>
                <w:caps w:val="false"/>
                <w:smallCaps w:val="false"/>
                <w:spacing w:val="-1"/>
              </w:rPr>
              <w:t xml:space="preserve"> </w:t>
            </w:r>
            <w:r>
              <w:rPr>
                <w:rFonts w:ascii="Arial;Helvetica;sans-serif" w:hAnsi="Arial;Helvetica;sans-serif"/>
                <w:b w:val="false"/>
                <w:i w:val="false"/>
                <w:caps w:val="false"/>
                <w:smallCaps w:val="false"/>
                <w:sz w:val="20"/>
              </w:rPr>
              <w:t>continue</w:t>
            </w:r>
            <w:r>
              <w:rPr>
                <w:caps w:val="false"/>
                <w:smallCaps w:val="false"/>
                <w:spacing w:val="-1"/>
              </w:rPr>
              <w:t xml:space="preserve"> </w:t>
            </w:r>
            <w:r>
              <w:rPr>
                <w:rFonts w:ascii="Arial;Helvetica;sans-serif" w:hAnsi="Arial;Helvetica;sans-serif"/>
                <w:b w:val="false"/>
                <w:i w:val="false"/>
                <w:caps w:val="false"/>
                <w:smallCaps w:val="false"/>
                <w:sz w:val="20"/>
              </w:rPr>
              <w:t>to</w:t>
            </w:r>
            <w:r>
              <w:rPr>
                <w:caps w:val="false"/>
                <w:smallCaps w:val="false"/>
                <w:spacing w:val="-1"/>
              </w:rPr>
              <w:t xml:space="preserve"> </w:t>
            </w:r>
            <w:r>
              <w:rPr>
                <w:rFonts w:ascii="Arial;Helvetica;sans-serif" w:hAnsi="Arial;Helvetica;sans-serif"/>
                <w:b w:val="false"/>
                <w:i w:val="false"/>
                <w:caps w:val="false"/>
                <w:smallCaps w:val="false"/>
                <w:sz w:val="20"/>
              </w:rPr>
              <w:t>be employed by TTEC Services Corporation, and his services will be seconded to TTEC Digital. Effective</w:t>
            </w:r>
            <w:r>
              <w:rPr>
                <w:caps w:val="false"/>
                <w:smallCaps w:val="false"/>
                <w:spacing w:val="-2"/>
              </w:rPr>
              <w:t xml:space="preserve"> </w:t>
            </w:r>
            <w:r>
              <w:rPr>
                <w:rFonts w:ascii="Arial;Helvetica;sans-serif" w:hAnsi="Arial;Helvetica;sans-serif"/>
                <w:b w:val="false"/>
                <w:i w:val="false"/>
                <w:caps w:val="false"/>
                <w:smallCaps w:val="false"/>
                <w:sz w:val="20"/>
              </w:rPr>
              <w:t>January</w:t>
            </w:r>
            <w:r>
              <w:rPr>
                <w:caps w:val="false"/>
                <w:smallCaps w:val="false"/>
                <w:spacing w:val="-2"/>
              </w:rPr>
              <w:t xml:space="preserve"> </w:t>
            </w:r>
            <w:r>
              <w:rPr>
                <w:rFonts w:ascii="Arial;Helvetica;sans-serif" w:hAnsi="Arial;Helvetica;sans-serif"/>
                <w:b w:val="false"/>
                <w:i w:val="false"/>
                <w:caps w:val="false"/>
                <w:smallCaps w:val="false"/>
                <w:sz w:val="20"/>
              </w:rPr>
              <w:t>1,</w:t>
            </w:r>
            <w:r>
              <w:rPr>
                <w:caps w:val="false"/>
                <w:smallCaps w:val="false"/>
                <w:spacing w:val="-2"/>
              </w:rPr>
              <w:t xml:space="preserve"> </w:t>
            </w:r>
            <w:r>
              <w:rPr>
                <w:rFonts w:ascii="Arial;Helvetica;sans-serif" w:hAnsi="Arial;Helvetica;sans-serif"/>
                <w:b w:val="false"/>
                <w:i w:val="false"/>
                <w:caps w:val="false"/>
                <w:smallCaps w:val="false"/>
                <w:sz w:val="20"/>
              </w:rPr>
              <w:t>2027,</w:t>
            </w:r>
            <w:r>
              <w:rPr>
                <w:caps w:val="false"/>
                <w:smallCaps w:val="false"/>
                <w:spacing w:val="-2"/>
              </w:rPr>
              <w:t xml:space="preserve"> </w:t>
            </w:r>
            <w:r>
              <w:rPr>
                <w:rFonts w:ascii="Arial;Helvetica;sans-serif" w:hAnsi="Arial;Helvetica;sans-serif"/>
                <w:b w:val="false"/>
                <w:i w:val="false"/>
                <w:caps w:val="false"/>
                <w:smallCaps w:val="false"/>
                <w:sz w:val="20"/>
              </w:rPr>
              <w:t>Mr.</w:t>
            </w:r>
            <w:r>
              <w:rPr>
                <w:caps w:val="false"/>
                <w:smallCaps w:val="false"/>
                <w:spacing w:val="-2"/>
              </w:rPr>
              <w:t xml:space="preserve"> </w:t>
            </w:r>
            <w:r>
              <w:rPr>
                <w:rFonts w:ascii="Arial;Helvetica;sans-serif" w:hAnsi="Arial;Helvetica;sans-serif"/>
                <w:b w:val="false"/>
                <w:i w:val="false"/>
                <w:caps w:val="false"/>
                <w:smallCaps w:val="false"/>
                <w:sz w:val="20"/>
              </w:rPr>
              <w:t>Brown’s</w:t>
            </w:r>
            <w:r>
              <w:rPr>
                <w:caps w:val="false"/>
                <w:smallCaps w:val="false"/>
                <w:spacing w:val="-2"/>
              </w:rPr>
              <w:t xml:space="preserve"> </w:t>
            </w:r>
            <w:r>
              <w:rPr>
                <w:rFonts w:ascii="Arial;Helvetica;sans-serif" w:hAnsi="Arial;Helvetica;sans-serif"/>
                <w:b w:val="false"/>
                <w:i w:val="false"/>
                <w:caps w:val="false"/>
                <w:smallCaps w:val="false"/>
                <w:sz w:val="20"/>
              </w:rPr>
              <w:t>employment</w:t>
            </w:r>
            <w:r>
              <w:rPr>
                <w:caps w:val="false"/>
                <w:smallCaps w:val="false"/>
                <w:spacing w:val="-2"/>
              </w:rPr>
              <w:t xml:space="preserve"> </w:t>
            </w:r>
            <w:r>
              <w:rPr>
                <w:rFonts w:ascii="Arial;Helvetica;sans-serif" w:hAnsi="Arial;Helvetica;sans-serif"/>
                <w:b w:val="false"/>
                <w:i w:val="false"/>
                <w:caps w:val="false"/>
                <w:smallCaps w:val="false"/>
                <w:sz w:val="20"/>
              </w:rPr>
              <w:t>will</w:t>
            </w:r>
            <w:r>
              <w:rPr>
                <w:caps w:val="false"/>
                <w:smallCaps w:val="false"/>
                <w:spacing w:val="-2"/>
              </w:rPr>
              <w:t xml:space="preserve"> </w:t>
            </w:r>
            <w:r>
              <w:rPr>
                <w:rFonts w:ascii="Arial;Helvetica;sans-serif" w:hAnsi="Arial;Helvetica;sans-serif"/>
                <w:b w:val="false"/>
                <w:i w:val="false"/>
                <w:caps w:val="false"/>
                <w:smallCaps w:val="false"/>
                <w:sz w:val="20"/>
              </w:rPr>
              <w:t>be</w:t>
            </w:r>
            <w:r>
              <w:rPr>
                <w:caps w:val="false"/>
                <w:smallCaps w:val="false"/>
                <w:spacing w:val="-2"/>
              </w:rPr>
              <w:t xml:space="preserve"> </w:t>
            </w:r>
            <w:r>
              <w:rPr>
                <w:rFonts w:ascii="Arial;Helvetica;sans-serif" w:hAnsi="Arial;Helvetica;sans-serif"/>
                <w:b w:val="false"/>
                <w:i w:val="false"/>
                <w:caps w:val="false"/>
                <w:smallCaps w:val="false"/>
                <w:sz w:val="20"/>
              </w:rPr>
              <w:t>transferred</w:t>
            </w:r>
            <w:r>
              <w:rPr>
                <w:caps w:val="false"/>
                <w:smallCaps w:val="false"/>
                <w:spacing w:val="-3"/>
              </w:rPr>
              <w:t xml:space="preserve"> </w:t>
            </w:r>
            <w:r>
              <w:rPr>
                <w:rFonts w:ascii="Arial;Helvetica;sans-serif" w:hAnsi="Arial;Helvetica;sans-serif"/>
                <w:b w:val="false"/>
                <w:i w:val="false"/>
                <w:caps w:val="false"/>
                <w:smallCaps w:val="false"/>
                <w:sz w:val="20"/>
              </w:rPr>
              <w:t>to</w:t>
            </w:r>
            <w:r>
              <w:rPr>
                <w:caps w:val="false"/>
                <w:smallCaps w:val="false"/>
                <w:spacing w:val="-2"/>
              </w:rPr>
              <w:t xml:space="preserve"> </w:t>
            </w:r>
            <w:r>
              <w:rPr>
                <w:rFonts w:ascii="Arial;Helvetica;sans-serif" w:hAnsi="Arial;Helvetica;sans-serif"/>
                <w:b w:val="false"/>
                <w:i w:val="false"/>
                <w:caps w:val="false"/>
                <w:smallCaps w:val="false"/>
                <w:sz w:val="20"/>
              </w:rPr>
              <w:t>TTEC</w:t>
            </w:r>
            <w:r>
              <w:rPr>
                <w:caps w:val="false"/>
                <w:smallCaps w:val="false"/>
                <w:spacing w:val="-2"/>
              </w:rPr>
              <w:t xml:space="preserve"> </w:t>
            </w:r>
            <w:r>
              <w:rPr>
                <w:rFonts w:ascii="Arial;Helvetica;sans-serif" w:hAnsi="Arial;Helvetica;sans-serif"/>
                <w:b w:val="false"/>
                <w:i w:val="false"/>
                <w:caps w:val="false"/>
                <w:smallCaps w:val="false"/>
                <w:sz w:val="20"/>
              </w:rPr>
              <w:t>Digital,</w:t>
            </w:r>
            <w:r>
              <w:rPr>
                <w:caps w:val="false"/>
                <w:smallCaps w:val="false"/>
                <w:spacing w:val="-2"/>
              </w:rPr>
              <w:t xml:space="preserve"> </w:t>
            </w:r>
            <w:r>
              <w:rPr>
                <w:rFonts w:ascii="Arial;Helvetica;sans-serif" w:hAnsi="Arial;Helvetica;sans-serif"/>
                <w:b w:val="false"/>
                <w:i w:val="false"/>
                <w:caps w:val="false"/>
                <w:smallCaps w:val="false"/>
                <w:sz w:val="20"/>
              </w:rPr>
              <w:t>and</w:t>
            </w:r>
            <w:r>
              <w:rPr>
                <w:caps w:val="false"/>
                <w:smallCaps w:val="false"/>
                <w:spacing w:val="-2"/>
              </w:rPr>
              <w:t xml:space="preserve"> </w:t>
            </w:r>
            <w:r>
              <w:rPr>
                <w:rFonts w:ascii="Arial;Helvetica;sans-serif" w:hAnsi="Arial;Helvetica;sans-serif"/>
                <w:b w:val="false"/>
                <w:i w:val="false"/>
                <w:caps w:val="false"/>
                <w:smallCaps w:val="false"/>
                <w:sz w:val="20"/>
              </w:rPr>
              <w:t>he will start the tax year 2027 as a TTEC Digital employee.</w:t>
            </w:r>
          </w:p>
        </w:tc>
        <w:tc>
          <w:tcPr>
            <w:tcW w:w="23" w:type="dxa"/>
            <w:tcBorders/>
            <w:vAlign w:val="center"/>
          </w:tcPr>
          <w:p>
            <w:pPr>
              <w:pStyle w:val="TableContents"/>
              <w:bidi w:val="0"/>
              <w:spacing w:before="0" w:after="283"/>
              <w:jc w:val="left"/>
              <w:rPr>
                <w:sz w:val="4"/>
                <w:szCs w:val="4"/>
              </w:rPr>
            </w:pPr>
            <w:r>
              <w:rPr>
                <w:sz w:val="4"/>
                <w:szCs w:val="4"/>
              </w:rPr>
            </w:r>
          </w:p>
        </w:tc>
      </w:tr>
    </w:tbl>
    <w:tbl>
      <w:tblPr>
        <w:tblW w:w="1831" w:type="dxa"/>
        <w:jc w:val="left"/>
        <w:tblInd w:w="0" w:type="dxa"/>
        <w:tblLayout w:type="fixed"/>
        <w:tblCellMar>
          <w:top w:w="0" w:type="dxa"/>
          <w:left w:w="0" w:type="dxa"/>
          <w:bottom w:w="0" w:type="dxa"/>
          <w:right w:w="0" w:type="dxa"/>
        </w:tblCellMar>
      </w:tblPr>
      <w:tblGrid>
        <w:gridCol w:w="185"/>
        <w:gridCol w:w="1646"/>
      </w:tblGrid>
      <w:tr>
        <w:trPr/>
        <w:tc>
          <w:tcPr>
            <w:tcW w:w="18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2.</w:t>
            </w:r>
          </w:p>
        </w:tc>
        <w:tc>
          <w:tcPr>
            <w:tcW w:w="1646" w:type="dxa"/>
            <w:tcBorders/>
            <w:vAlign w:val="center"/>
          </w:tcPr>
          <w:p>
            <w:pPr>
              <w:pStyle w:val="TableContents"/>
              <w:bidi w:val="0"/>
              <w:spacing w:before="0" w:after="283"/>
              <w:jc w:val="left"/>
              <w:rPr>
                <w:rFonts w:ascii="Arial;Helvetica;sans-serif" w:hAnsi="Arial;Helvetica;sans-serif"/>
                <w:b/>
                <w:i w:val="false"/>
                <w:caps w:val="false"/>
                <w:smallCaps w:val="false"/>
                <w:spacing w:val="-2"/>
                <w:sz w:val="20"/>
              </w:rPr>
            </w:pPr>
            <w:r>
              <w:rPr>
                <w:rFonts w:ascii="Arial;Helvetica;sans-serif" w:hAnsi="Arial;Helvetica;sans-serif"/>
                <w:b/>
                <w:i w:val="false"/>
                <w:caps w:val="false"/>
                <w:smallCaps w:val="false"/>
                <w:spacing w:val="-2"/>
                <w:sz w:val="20"/>
              </w:rPr>
              <w:t>COMPENSATION.</w:t>
            </w:r>
          </w:p>
        </w:tc>
      </w:tr>
    </w:tbl>
    <w:tbl>
      <w:tblPr>
        <w:tblW w:w="8863" w:type="dxa"/>
        <w:jc w:val="left"/>
        <w:tblInd w:w="0" w:type="dxa"/>
        <w:tblLayout w:type="fixed"/>
        <w:tblCellMar>
          <w:top w:w="0" w:type="dxa"/>
          <w:left w:w="0" w:type="dxa"/>
          <w:bottom w:w="0" w:type="dxa"/>
          <w:right w:w="0" w:type="dxa"/>
        </w:tblCellMar>
      </w:tblPr>
      <w:tblGrid>
        <w:gridCol w:w="23"/>
        <w:gridCol w:w="185"/>
        <w:gridCol w:w="865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w:t>
            </w:r>
          </w:p>
        </w:tc>
        <w:tc>
          <w:tcPr>
            <w:tcW w:w="8655"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Salary</w:t>
            </w:r>
            <w:r>
              <w:rPr>
                <w:caps w:val="false"/>
                <w:smallCaps w:val="false"/>
                <w:spacing w:val="-8"/>
              </w:rPr>
              <w:t xml:space="preserve"> </w:t>
            </w:r>
            <w:r>
              <w:rPr>
                <w:rFonts w:ascii="Arial;Helvetica;sans-serif" w:hAnsi="Arial;Helvetica;sans-serif"/>
                <w:b/>
                <w:i w:val="false"/>
                <w:caps w:val="false"/>
                <w:smallCaps w:val="false"/>
                <w:sz w:val="20"/>
              </w:rPr>
              <w:t>and</w:t>
            </w:r>
            <w:r>
              <w:rPr>
                <w:caps w:val="false"/>
                <w:smallCaps w:val="false"/>
                <w:spacing w:val="-7"/>
              </w:rPr>
              <w:t xml:space="preserve"> </w:t>
            </w:r>
            <w:r>
              <w:rPr>
                <w:rFonts w:ascii="Arial;Helvetica;sans-serif" w:hAnsi="Arial;Helvetica;sans-serif"/>
                <w:b/>
                <w:i w:val="false"/>
                <w:caps w:val="false"/>
                <w:smallCaps w:val="false"/>
                <w:sz w:val="20"/>
              </w:rPr>
              <w:t>Periodic</w:t>
            </w:r>
            <w:r>
              <w:rPr>
                <w:caps w:val="false"/>
                <w:smallCaps w:val="false"/>
                <w:spacing w:val="-6"/>
              </w:rPr>
              <w:t xml:space="preserve"> </w:t>
            </w:r>
            <w:r>
              <w:rPr>
                <w:rFonts w:ascii="Arial;Helvetica;sans-serif" w:hAnsi="Arial;Helvetica;sans-serif"/>
                <w:b/>
                <w:i w:val="false"/>
                <w:caps w:val="false"/>
                <w:smallCaps w:val="false"/>
                <w:sz w:val="20"/>
              </w:rPr>
              <w:t>Salary</w:t>
            </w:r>
            <w:r>
              <w:rPr>
                <w:caps w:val="false"/>
                <w:smallCaps w:val="false"/>
                <w:spacing w:val="-6"/>
              </w:rPr>
              <w:t xml:space="preserve"> </w:t>
            </w:r>
            <w:r>
              <w:rPr>
                <w:rFonts w:ascii="Arial;Helvetica;sans-serif" w:hAnsi="Arial;Helvetica;sans-serif"/>
                <w:b/>
                <w:i w:val="false"/>
                <w:caps w:val="false"/>
                <w:smallCaps w:val="false"/>
                <w:sz w:val="20"/>
              </w:rPr>
              <w:t>Review.</w:t>
            </w:r>
            <w:r>
              <w:rPr>
                <w:caps w:val="false"/>
                <w:smallCaps w:val="false"/>
                <w:spacing w:val="-6"/>
              </w:rPr>
              <w:t xml:space="preserve"> </w:t>
            </w:r>
            <w:r>
              <w:rPr>
                <w:rFonts w:ascii="Arial;Helvetica;sans-serif" w:hAnsi="Arial;Helvetica;sans-serif"/>
                <w:b w:val="false"/>
                <w:i w:val="false"/>
                <w:caps w:val="false"/>
                <w:smallCaps w:val="false"/>
                <w:sz w:val="20"/>
              </w:rPr>
              <w:t>The</w:t>
            </w:r>
            <w:r>
              <w:rPr>
                <w:caps w:val="false"/>
                <w:smallCaps w:val="false"/>
                <w:spacing w:val="-6"/>
              </w:rPr>
              <w:t xml:space="preserve"> </w:t>
            </w:r>
            <w:r>
              <w:rPr>
                <w:rFonts w:ascii="Arial;Helvetica;sans-serif" w:hAnsi="Arial;Helvetica;sans-serif"/>
                <w:b w:val="false"/>
                <w:i w:val="false"/>
                <w:caps w:val="false"/>
                <w:smallCaps w:val="false"/>
                <w:sz w:val="20"/>
              </w:rPr>
              <w:t>Executive's</w:t>
            </w:r>
            <w:r>
              <w:rPr>
                <w:caps w:val="false"/>
                <w:smallCaps w:val="false"/>
                <w:spacing w:val="-6"/>
              </w:rPr>
              <w:t xml:space="preserve"> </w:t>
            </w:r>
            <w:r>
              <w:rPr>
                <w:rFonts w:ascii="Arial;Helvetica;sans-serif" w:hAnsi="Arial;Helvetica;sans-serif"/>
                <w:b w:val="false"/>
                <w:i w:val="false"/>
                <w:caps w:val="false"/>
                <w:smallCaps w:val="false"/>
                <w:sz w:val="20"/>
              </w:rPr>
              <w:t>base</w:t>
            </w:r>
            <w:r>
              <w:rPr>
                <w:caps w:val="false"/>
                <w:smallCaps w:val="false"/>
                <w:spacing w:val="-6"/>
              </w:rPr>
              <w:t xml:space="preserve"> </w:t>
            </w:r>
            <w:r>
              <w:rPr>
                <w:rFonts w:ascii="Arial;Helvetica;sans-serif" w:hAnsi="Arial;Helvetica;sans-serif"/>
                <w:b w:val="false"/>
                <w:i w:val="false"/>
                <w:caps w:val="false"/>
                <w:smallCaps w:val="false"/>
                <w:sz w:val="20"/>
              </w:rPr>
              <w:t>salary</w:t>
            </w:r>
            <w:r>
              <w:rPr>
                <w:caps w:val="false"/>
                <w:smallCaps w:val="false"/>
                <w:spacing w:val="-6"/>
              </w:rPr>
              <w:t xml:space="preserve"> </w:t>
            </w:r>
            <w:r>
              <w:rPr>
                <w:rFonts w:ascii="Arial;Helvetica;sans-serif" w:hAnsi="Arial;Helvetica;sans-serif"/>
                <w:b w:val="false"/>
                <w:i w:val="false"/>
                <w:caps w:val="false"/>
                <w:smallCaps w:val="false"/>
                <w:sz w:val="20"/>
              </w:rPr>
              <w:t>as</w:t>
            </w:r>
            <w:r>
              <w:rPr>
                <w:caps w:val="false"/>
                <w:smallCaps w:val="false"/>
                <w:spacing w:val="-6"/>
              </w:rPr>
              <w:t xml:space="preserve"> </w:t>
            </w:r>
            <w:r>
              <w:rPr>
                <w:rFonts w:ascii="Arial;Helvetica;sans-serif" w:hAnsi="Arial;Helvetica;sans-serif"/>
                <w:b w:val="false"/>
                <w:i w:val="false"/>
                <w:caps w:val="false"/>
                <w:smallCaps w:val="false"/>
                <w:sz w:val="20"/>
              </w:rPr>
              <w:t>of</w:t>
            </w:r>
            <w:r>
              <w:rPr>
                <w:caps w:val="false"/>
                <w:smallCaps w:val="false"/>
                <w:spacing w:val="-6"/>
              </w:rPr>
              <w:t xml:space="preserve"> </w:t>
            </w:r>
            <w:r>
              <w:rPr>
                <w:rFonts w:ascii="Arial;Helvetica;sans-serif" w:hAnsi="Arial;Helvetica;sans-serif"/>
                <w:b w:val="false"/>
                <w:i w:val="false"/>
                <w:caps w:val="false"/>
                <w:smallCaps w:val="false"/>
                <w:sz w:val="20"/>
              </w:rPr>
              <w:t>the</w:t>
            </w:r>
            <w:r>
              <w:rPr>
                <w:caps w:val="false"/>
                <w:smallCaps w:val="false"/>
                <w:spacing w:val="-6"/>
              </w:rPr>
              <w:t xml:space="preserve"> </w:t>
            </w:r>
            <w:r>
              <w:rPr>
                <w:rFonts w:ascii="Arial;Helvetica;sans-serif" w:hAnsi="Arial;Helvetica;sans-serif"/>
                <w:b w:val="false"/>
                <w:i w:val="false"/>
                <w:caps w:val="false"/>
                <w:smallCaps w:val="false"/>
                <w:sz w:val="20"/>
              </w:rPr>
              <w:t>Effective</w:t>
            </w:r>
            <w:r>
              <w:rPr>
                <w:caps w:val="false"/>
                <w:smallCaps w:val="false"/>
                <w:spacing w:val="-6"/>
              </w:rPr>
              <w:t xml:space="preserve"> </w:t>
            </w:r>
            <w:r>
              <w:rPr>
                <w:rFonts w:ascii="Arial;Helvetica;sans-serif" w:hAnsi="Arial;Helvetica;sans-serif"/>
                <w:b w:val="false"/>
                <w:i w:val="false"/>
                <w:caps w:val="false"/>
                <w:smallCaps w:val="false"/>
                <w:sz w:val="20"/>
              </w:rPr>
              <w:t>Date</w:t>
            </w:r>
            <w:r>
              <w:rPr>
                <w:caps w:val="false"/>
                <w:smallCaps w:val="false"/>
                <w:spacing w:val="-6"/>
              </w:rPr>
              <w:t xml:space="preserve"> </w:t>
            </w:r>
            <w:r>
              <w:rPr>
                <w:rFonts w:ascii="Arial;Helvetica;sans-serif" w:hAnsi="Arial;Helvetica;sans-serif"/>
                <w:b w:val="false"/>
                <w:i w:val="false"/>
                <w:caps w:val="false"/>
                <w:smallCaps w:val="false"/>
                <w:sz w:val="20"/>
              </w:rPr>
              <w:t>shall</w:t>
            </w:r>
            <w:r>
              <w:rPr>
                <w:caps w:val="false"/>
                <w:smallCaps w:val="false"/>
                <w:spacing w:val="-6"/>
              </w:rPr>
              <w:t xml:space="preserve"> </w:t>
            </w:r>
            <w:r>
              <w:rPr>
                <w:rFonts w:ascii="Arial;Helvetica;sans-serif" w:hAnsi="Arial;Helvetica;sans-serif"/>
                <w:b w:val="false"/>
                <w:i w:val="false"/>
                <w:caps w:val="false"/>
                <w:smallCaps w:val="false"/>
                <w:spacing w:val="-5"/>
                <w:sz w:val="20"/>
              </w:rPr>
              <w:t>be</w:t>
            </w:r>
          </w:p>
        </w:tc>
      </w:tr>
    </w:tbl>
    <w:p>
      <w:pPr>
        <w:pStyle w:val="TextBody"/>
        <w:bidi w:val="0"/>
        <w:spacing w:lineRule="auto" w:line="285" w:before="0" w:after="0"/>
        <w:ind w:left="720" w:right="426" w:hanging="0"/>
        <w:jc w:val="left"/>
        <w:rPr>
          <w:rFonts w:ascii="Aptos" w:hAnsi="Aptos"/>
          <w:sz w:val="20"/>
        </w:rPr>
      </w:pPr>
      <w:r>
        <w:rPr>
          <w:rFonts w:ascii="Arial;Helvetica;sans-serif" w:hAnsi="Arial;Helvetica;sans-serif"/>
          <w:sz w:val="20"/>
        </w:rPr>
        <w:t>$500,000 ("Base Salary"), payable in equal installments in accordance with the Company's standard payroll practice, less legally required deductions and withholdings. The Base Salary may be periodically reviewed and may be adjusted at the Company's discretion, to appropriately reflect the Executive's role in the business and the market pay for such role in accordance with TTEC</w:t>
      </w:r>
      <w:r>
        <w:rPr>
          <w:rFonts w:ascii="Aptos" w:hAnsi="Aptos"/>
          <w:spacing w:val="-5"/>
          <w:sz w:val="20"/>
        </w:rPr>
        <w:t xml:space="preserve"> </w:t>
      </w:r>
      <w:r>
        <w:rPr>
          <w:rFonts w:ascii="Arial;Helvetica;sans-serif" w:hAnsi="Arial;Helvetica;sans-serif"/>
          <w:sz w:val="20"/>
        </w:rPr>
        <w:t>Parent</w:t>
      </w:r>
      <w:r>
        <w:rPr>
          <w:rFonts w:ascii="Aptos" w:hAnsi="Aptos"/>
          <w:spacing w:val="-4"/>
          <w:sz w:val="20"/>
        </w:rPr>
        <w:t xml:space="preserve"> </w:t>
      </w:r>
      <w:r>
        <w:rPr>
          <w:rFonts w:ascii="Arial;Helvetica;sans-serif" w:hAnsi="Arial;Helvetica;sans-serif"/>
          <w:sz w:val="20"/>
        </w:rPr>
        <w:t>standard</w:t>
      </w:r>
      <w:r>
        <w:rPr>
          <w:rFonts w:ascii="Aptos" w:hAnsi="Aptos"/>
          <w:spacing w:val="-4"/>
          <w:sz w:val="20"/>
        </w:rPr>
        <w:t xml:space="preserve"> </w:t>
      </w:r>
      <w:r>
        <w:rPr>
          <w:rFonts w:ascii="Arial;Helvetica;sans-serif" w:hAnsi="Arial;Helvetica;sans-serif"/>
          <w:sz w:val="20"/>
        </w:rPr>
        <w:t>compensation</w:t>
      </w:r>
      <w:r>
        <w:rPr>
          <w:rFonts w:ascii="Aptos" w:hAnsi="Aptos"/>
          <w:spacing w:val="-4"/>
          <w:sz w:val="20"/>
        </w:rPr>
        <w:t xml:space="preserve"> </w:t>
      </w:r>
      <w:r>
        <w:rPr>
          <w:rFonts w:ascii="Arial;Helvetica;sans-serif" w:hAnsi="Arial;Helvetica;sans-serif"/>
          <w:sz w:val="20"/>
        </w:rPr>
        <w:t>review</w:t>
      </w:r>
      <w:r>
        <w:rPr>
          <w:rFonts w:ascii="Aptos" w:hAnsi="Aptos"/>
          <w:spacing w:val="-5"/>
          <w:sz w:val="20"/>
        </w:rPr>
        <w:t xml:space="preserve"> </w:t>
      </w:r>
      <w:r>
        <w:rPr>
          <w:rFonts w:ascii="Arial;Helvetica;sans-serif" w:hAnsi="Arial;Helvetica;sans-serif"/>
          <w:sz w:val="20"/>
        </w:rPr>
        <w:t>practices.</w:t>
      </w:r>
      <w:r>
        <w:rPr>
          <w:rFonts w:ascii="Aptos" w:hAnsi="Aptos"/>
          <w:spacing w:val="-4"/>
          <w:sz w:val="20"/>
        </w:rPr>
        <w:t xml:space="preserve"> </w:t>
      </w:r>
      <w:r>
        <w:rPr>
          <w:rFonts w:ascii="Arial;Helvetica;sans-serif" w:hAnsi="Arial;Helvetica;sans-serif"/>
          <w:sz w:val="20"/>
        </w:rPr>
        <w:t>Notwithstanding</w:t>
      </w:r>
      <w:r>
        <w:rPr>
          <w:rFonts w:ascii="Aptos" w:hAnsi="Aptos"/>
          <w:spacing w:val="-4"/>
          <w:sz w:val="20"/>
        </w:rPr>
        <w:t xml:space="preserve"> </w:t>
      </w:r>
      <w:r>
        <w:rPr>
          <w:rFonts w:ascii="Arial;Helvetica;sans-serif" w:hAnsi="Arial;Helvetica;sans-serif"/>
          <w:sz w:val="20"/>
        </w:rPr>
        <w:t>the</w:t>
      </w:r>
      <w:r>
        <w:rPr>
          <w:rFonts w:ascii="Aptos" w:hAnsi="Aptos"/>
          <w:spacing w:val="-4"/>
          <w:sz w:val="20"/>
        </w:rPr>
        <w:t xml:space="preserve"> </w:t>
      </w:r>
      <w:r>
        <w:rPr>
          <w:rFonts w:ascii="Arial;Helvetica;sans-serif" w:hAnsi="Arial;Helvetica;sans-serif"/>
          <w:sz w:val="20"/>
        </w:rPr>
        <w:t>foregoing,</w:t>
      </w:r>
      <w:r>
        <w:rPr>
          <w:rFonts w:ascii="Aptos" w:hAnsi="Aptos"/>
          <w:spacing w:val="-4"/>
          <w:sz w:val="20"/>
        </w:rPr>
        <w:t xml:space="preserve"> </w:t>
      </w:r>
      <w:r>
        <w:rPr>
          <w:rFonts w:ascii="Arial;Helvetica;sans-serif" w:hAnsi="Arial;Helvetica;sans-serif"/>
          <w:sz w:val="20"/>
        </w:rPr>
        <w:t>nothing</w:t>
      </w:r>
      <w:r>
        <w:rPr>
          <w:rFonts w:ascii="Aptos" w:hAnsi="Aptos"/>
          <w:spacing w:val="-4"/>
          <w:sz w:val="20"/>
        </w:rPr>
        <w:t xml:space="preserve"> </w:t>
      </w:r>
      <w:r>
        <w:rPr>
          <w:rFonts w:ascii="Arial;Helvetica;sans-serif" w:hAnsi="Arial;Helvetica;sans-serif"/>
          <w:sz w:val="20"/>
        </w:rPr>
        <w:t xml:space="preserve">in this Agreement provides assurances that the Executive's salary will be increased from time to </w:t>
      </w:r>
      <w:r>
        <w:rPr>
          <w:rFonts w:ascii="Arial;Helvetica;sans-serif" w:hAnsi="Arial;Helvetica;sans-serif"/>
          <w:spacing w:val="-2"/>
          <w:sz w:val="20"/>
        </w:rPr>
        <w:t>time.</w:t>
      </w:r>
    </w:p>
    <w:p>
      <w:pPr>
        <w:pStyle w:val="TextBody"/>
        <w:bidi w:val="0"/>
        <w:spacing w:lineRule="auto" w:line="285" w:before="0" w:after="0"/>
        <w:ind w:left="360" w:right="416" w:hanging="0"/>
        <w:jc w:val="left"/>
        <w:rPr>
          <w:rFonts w:ascii="Aptos" w:hAnsi="Aptos"/>
          <w:sz w:val="24"/>
        </w:rPr>
      </w:pPr>
      <w:r>
        <w:rPr>
          <w:rFonts w:ascii="Arial;Helvetica;sans-serif" w:hAnsi="Arial;Helvetica;sans-serif"/>
          <w:sz w:val="20"/>
        </w:rPr>
        <w:t>b.</w:t>
      </w:r>
      <w:r>
        <w:rPr>
          <w:rFonts w:ascii="Arial;Helvetica;sans-serif" w:hAnsi="Arial;Helvetica;sans-serif"/>
          <w:b/>
          <w:sz w:val="20"/>
        </w:rPr>
        <w:t>Variable Incentive Compensation</w:t>
      </w:r>
      <w:r>
        <w:rPr>
          <w:rFonts w:ascii="Aptos" w:hAnsi="Aptos"/>
          <w:spacing w:val="-1"/>
          <w:sz w:val="24"/>
        </w:rPr>
        <w:t xml:space="preserve"> </w:t>
      </w:r>
      <w:r>
        <w:rPr>
          <w:rFonts w:ascii="Arial;Helvetica;sans-serif" w:hAnsi="Arial;Helvetica;sans-serif"/>
          <w:b/>
          <w:sz w:val="20"/>
        </w:rPr>
        <w:t>(annual cash</w:t>
      </w:r>
      <w:r>
        <w:rPr>
          <w:rFonts w:ascii="Aptos" w:hAnsi="Aptos"/>
          <w:spacing w:val="-1"/>
          <w:sz w:val="24"/>
        </w:rPr>
        <w:t xml:space="preserve"> </w:t>
      </w:r>
      <w:r>
        <w:rPr>
          <w:rFonts w:ascii="Arial;Helvetica;sans-serif" w:hAnsi="Arial;Helvetica;sans-serif"/>
          <w:b/>
          <w:sz w:val="20"/>
        </w:rPr>
        <w:t xml:space="preserve">bonus). </w:t>
      </w:r>
      <w:r>
        <w:rPr>
          <w:rFonts w:ascii="Arial;Helvetica;sans-serif" w:hAnsi="Arial;Helvetica;sans-serif"/>
          <w:sz w:val="20"/>
        </w:rPr>
        <w:t>Beginning in 2026, Mr. Brown shall be eligible to participate in TTEC annual performance-based cash incentive program, currently referred</w:t>
      </w:r>
      <w:r>
        <w:rPr>
          <w:rFonts w:ascii="Aptos" w:hAnsi="Aptos"/>
          <w:spacing w:val="-3"/>
          <w:sz w:val="24"/>
        </w:rPr>
        <w:t xml:space="preserve"> </w:t>
      </w:r>
      <w:r>
        <w:rPr>
          <w:rFonts w:ascii="Arial;Helvetica;sans-serif" w:hAnsi="Arial;Helvetica;sans-serif"/>
          <w:sz w:val="20"/>
        </w:rPr>
        <w:t>to</w:t>
      </w:r>
      <w:r>
        <w:rPr>
          <w:rFonts w:ascii="Aptos" w:hAnsi="Aptos"/>
          <w:spacing w:val="-3"/>
          <w:sz w:val="24"/>
        </w:rPr>
        <w:t xml:space="preserve"> </w:t>
      </w:r>
      <w:r>
        <w:rPr>
          <w:rFonts w:ascii="Arial;Helvetica;sans-serif" w:hAnsi="Arial;Helvetica;sans-serif"/>
          <w:sz w:val="20"/>
        </w:rPr>
        <w:t>as</w:t>
      </w:r>
      <w:r>
        <w:rPr>
          <w:rFonts w:ascii="Aptos" w:hAnsi="Aptos"/>
          <w:spacing w:val="-3"/>
          <w:sz w:val="24"/>
        </w:rPr>
        <w:t xml:space="preserve"> </w:t>
      </w:r>
      <w:r>
        <w:rPr>
          <w:rFonts w:ascii="Arial;Helvetica;sans-serif" w:hAnsi="Arial;Helvetica;sans-serif"/>
          <w:sz w:val="20"/>
        </w:rPr>
        <w:t>TTEC</w:t>
      </w:r>
      <w:r>
        <w:rPr>
          <w:rFonts w:ascii="Aptos" w:hAnsi="Aptos"/>
          <w:spacing w:val="-4"/>
          <w:sz w:val="24"/>
        </w:rPr>
        <w:t xml:space="preserve"> </w:t>
      </w:r>
      <w:r>
        <w:rPr>
          <w:rFonts w:ascii="Arial;Helvetica;sans-serif" w:hAnsi="Arial;Helvetica;sans-serif"/>
          <w:sz w:val="20"/>
        </w:rPr>
        <w:t>Variable</w:t>
      </w:r>
      <w:r>
        <w:rPr>
          <w:rFonts w:ascii="Aptos" w:hAnsi="Aptos"/>
          <w:spacing w:val="-3"/>
          <w:sz w:val="24"/>
        </w:rPr>
        <w:t xml:space="preserve"> </w:t>
      </w:r>
      <w:r>
        <w:rPr>
          <w:rFonts w:ascii="Arial;Helvetica;sans-serif" w:hAnsi="Arial;Helvetica;sans-serif"/>
          <w:sz w:val="20"/>
        </w:rPr>
        <w:t>Incentive</w:t>
      </w:r>
      <w:r>
        <w:rPr>
          <w:rFonts w:ascii="Aptos" w:hAnsi="Aptos"/>
          <w:spacing w:val="-3"/>
          <w:sz w:val="24"/>
        </w:rPr>
        <w:t xml:space="preserve"> </w:t>
      </w:r>
      <w:r>
        <w:rPr>
          <w:rFonts w:ascii="Arial;Helvetica;sans-serif" w:hAnsi="Arial;Helvetica;sans-serif"/>
          <w:sz w:val="20"/>
        </w:rPr>
        <w:t>Plan</w:t>
      </w:r>
      <w:r>
        <w:rPr>
          <w:rFonts w:ascii="Aptos" w:hAnsi="Aptos"/>
          <w:spacing w:val="-3"/>
          <w:sz w:val="24"/>
        </w:rPr>
        <w:t xml:space="preserve"> </w:t>
      </w:r>
      <w:r>
        <w:rPr>
          <w:rFonts w:ascii="Arial;Helvetica;sans-serif" w:hAnsi="Arial;Helvetica;sans-serif"/>
          <w:sz w:val="20"/>
        </w:rPr>
        <w:t>("VIP").</w:t>
      </w:r>
      <w:r>
        <w:rPr>
          <w:rFonts w:ascii="Aptos" w:hAnsi="Aptos"/>
          <w:spacing w:val="-3"/>
          <w:sz w:val="24"/>
        </w:rPr>
        <w:t xml:space="preserve"> </w:t>
      </w:r>
      <w:r>
        <w:rPr>
          <w:rFonts w:ascii="Arial;Helvetica;sans-serif" w:hAnsi="Arial;Helvetica;sans-serif"/>
          <w:sz w:val="20"/>
        </w:rPr>
        <w:t>The</w:t>
      </w:r>
      <w:r>
        <w:rPr>
          <w:rFonts w:ascii="Aptos" w:hAnsi="Aptos"/>
          <w:spacing w:val="-3"/>
          <w:sz w:val="24"/>
        </w:rPr>
        <w:t xml:space="preserve"> </w:t>
      </w:r>
      <w:r>
        <w:rPr>
          <w:rFonts w:ascii="Arial;Helvetica;sans-serif" w:hAnsi="Arial;Helvetica;sans-serif"/>
          <w:sz w:val="20"/>
        </w:rPr>
        <w:t>Executive's</w:t>
      </w:r>
      <w:r>
        <w:rPr>
          <w:rFonts w:ascii="Aptos" w:hAnsi="Aptos"/>
          <w:spacing w:val="-3"/>
          <w:sz w:val="24"/>
        </w:rPr>
        <w:t xml:space="preserve"> </w:t>
      </w:r>
      <w:r>
        <w:rPr>
          <w:rFonts w:ascii="Arial;Helvetica;sans-serif" w:hAnsi="Arial;Helvetica;sans-serif"/>
          <w:sz w:val="20"/>
        </w:rPr>
        <w:t>annual</w:t>
      </w:r>
      <w:r>
        <w:rPr>
          <w:rFonts w:ascii="Aptos" w:hAnsi="Aptos"/>
          <w:spacing w:val="-3"/>
          <w:sz w:val="24"/>
        </w:rPr>
        <w:t xml:space="preserve"> </w:t>
      </w:r>
      <w:r>
        <w:rPr>
          <w:rFonts w:ascii="Arial;Helvetica;sans-serif" w:hAnsi="Arial;Helvetica;sans-serif"/>
          <w:sz w:val="20"/>
        </w:rPr>
        <w:t>VIP</w:t>
      </w:r>
      <w:r>
        <w:rPr>
          <w:rFonts w:ascii="Aptos" w:hAnsi="Aptos"/>
          <w:spacing w:val="-4"/>
          <w:sz w:val="24"/>
        </w:rPr>
        <w:t xml:space="preserve"> </w:t>
      </w:r>
      <w:r>
        <w:rPr>
          <w:rFonts w:ascii="Arial;Helvetica;sans-serif" w:hAnsi="Arial;Helvetica;sans-serif"/>
          <w:sz w:val="20"/>
        </w:rPr>
        <w:t>opportunity</w:t>
      </w:r>
      <w:r>
        <w:rPr>
          <w:rFonts w:ascii="Aptos" w:hAnsi="Aptos"/>
          <w:spacing w:val="-3"/>
          <w:sz w:val="24"/>
        </w:rPr>
        <w:t xml:space="preserve"> </w:t>
      </w:r>
      <w:r>
        <w:rPr>
          <w:rFonts w:ascii="Arial;Helvetica;sans-serif" w:hAnsi="Arial;Helvetica;sans-serif"/>
          <w:sz w:val="20"/>
        </w:rPr>
        <w:t>shall be up to 100% of Base Salary tied to the annual TTEC Digital and TTEC Parent’s performance targets and goals of the business, as set by TTEC CEO and the Board from time to time with Executive’s full knowledge.</w:t>
      </w:r>
    </w:p>
    <w:p>
      <w:pPr>
        <w:pStyle w:val="TextBody"/>
        <w:bidi w:val="0"/>
        <w:spacing w:lineRule="auto" w:line="285" w:before="199" w:after="283"/>
        <w:ind w:left="360" w:right="815" w:hanging="0"/>
        <w:jc w:val="left"/>
        <w:rPr>
          <w:rFonts w:ascii="Aptos" w:hAnsi="Aptos"/>
          <w:sz w:val="24"/>
        </w:rPr>
      </w:pPr>
      <w:r>
        <w:rPr>
          <w:rFonts w:ascii="Arial;Helvetica;sans-serif" w:hAnsi="Arial;Helvetica;sans-serif"/>
          <w:sz w:val="20"/>
        </w:rPr>
        <w:t>c.</w:t>
      </w:r>
      <w:r>
        <w:rPr>
          <w:rFonts w:ascii="Arial;Helvetica;sans-serif" w:hAnsi="Arial;Helvetica;sans-serif"/>
          <w:b/>
          <w:sz w:val="20"/>
        </w:rPr>
        <w:t>Long-Term</w:t>
      </w:r>
      <w:r>
        <w:rPr>
          <w:rFonts w:ascii="Aptos" w:hAnsi="Aptos"/>
          <w:spacing w:val="-5"/>
          <w:sz w:val="24"/>
        </w:rPr>
        <w:t xml:space="preserve"> </w:t>
      </w:r>
      <w:r>
        <w:rPr>
          <w:rFonts w:ascii="Arial;Helvetica;sans-serif" w:hAnsi="Arial;Helvetica;sans-serif"/>
          <w:b/>
          <w:sz w:val="20"/>
        </w:rPr>
        <w:t>Incentive</w:t>
      </w:r>
      <w:r>
        <w:rPr>
          <w:rFonts w:ascii="Aptos" w:hAnsi="Aptos"/>
          <w:spacing w:val="-4"/>
          <w:sz w:val="24"/>
        </w:rPr>
        <w:t xml:space="preserve"> </w:t>
      </w:r>
      <w:r>
        <w:rPr>
          <w:rFonts w:ascii="Arial;Helvetica;sans-serif" w:hAnsi="Arial;Helvetica;sans-serif"/>
          <w:b/>
          <w:sz w:val="20"/>
        </w:rPr>
        <w:t>Compensation.</w:t>
      </w:r>
      <w:r>
        <w:rPr>
          <w:rFonts w:ascii="Aptos" w:hAnsi="Aptos"/>
          <w:spacing w:val="-4"/>
          <w:sz w:val="24"/>
        </w:rPr>
        <w:t xml:space="preserve"> </w:t>
      </w:r>
      <w:r>
        <w:rPr>
          <w:rFonts w:ascii="Arial;Helvetica;sans-serif" w:hAnsi="Arial;Helvetica;sans-serif"/>
          <w:sz w:val="20"/>
        </w:rPr>
        <w:t>The</w:t>
      </w:r>
      <w:r>
        <w:rPr>
          <w:rFonts w:ascii="Aptos" w:hAnsi="Aptos"/>
          <w:spacing w:val="-4"/>
          <w:sz w:val="24"/>
        </w:rPr>
        <w:t xml:space="preserve"> </w:t>
      </w:r>
      <w:r>
        <w:rPr>
          <w:rFonts w:ascii="Arial;Helvetica;sans-serif" w:hAnsi="Arial;Helvetica;sans-serif"/>
          <w:sz w:val="20"/>
        </w:rPr>
        <w:t>Executive</w:t>
      </w:r>
      <w:r>
        <w:rPr>
          <w:rFonts w:ascii="Aptos" w:hAnsi="Aptos"/>
          <w:spacing w:val="-4"/>
          <w:sz w:val="24"/>
        </w:rPr>
        <w:t xml:space="preserve"> </w:t>
      </w:r>
      <w:r>
        <w:rPr>
          <w:rFonts w:ascii="Arial;Helvetica;sans-serif" w:hAnsi="Arial;Helvetica;sans-serif"/>
          <w:sz w:val="20"/>
        </w:rPr>
        <w:t>is</w:t>
      </w:r>
      <w:r>
        <w:rPr>
          <w:rFonts w:ascii="Aptos" w:hAnsi="Aptos"/>
          <w:spacing w:val="-4"/>
          <w:sz w:val="24"/>
        </w:rPr>
        <w:t xml:space="preserve"> </w:t>
      </w:r>
      <w:r>
        <w:rPr>
          <w:rFonts w:ascii="Arial;Helvetica;sans-serif" w:hAnsi="Arial;Helvetica;sans-serif"/>
          <w:sz w:val="20"/>
        </w:rPr>
        <w:t>also</w:t>
      </w:r>
      <w:r>
        <w:rPr>
          <w:rFonts w:ascii="Aptos" w:hAnsi="Aptos"/>
          <w:spacing w:val="-4"/>
          <w:sz w:val="24"/>
        </w:rPr>
        <w:t xml:space="preserve"> </w:t>
      </w:r>
      <w:r>
        <w:rPr>
          <w:rFonts w:ascii="Arial;Helvetica;sans-serif" w:hAnsi="Arial;Helvetica;sans-serif"/>
          <w:sz w:val="20"/>
        </w:rPr>
        <w:t>eligible</w:t>
      </w:r>
      <w:r>
        <w:rPr>
          <w:rFonts w:ascii="Aptos" w:hAnsi="Aptos"/>
          <w:spacing w:val="-4"/>
          <w:sz w:val="24"/>
        </w:rPr>
        <w:t xml:space="preserve"> </w:t>
      </w:r>
      <w:r>
        <w:rPr>
          <w:rFonts w:ascii="Arial;Helvetica;sans-serif" w:hAnsi="Arial;Helvetica;sans-serif"/>
          <w:sz w:val="20"/>
        </w:rPr>
        <w:t>to</w:t>
      </w:r>
      <w:r>
        <w:rPr>
          <w:rFonts w:ascii="Aptos" w:hAnsi="Aptos"/>
          <w:spacing w:val="-4"/>
          <w:sz w:val="24"/>
        </w:rPr>
        <w:t xml:space="preserve"> </w:t>
      </w:r>
      <w:r>
        <w:rPr>
          <w:rFonts w:ascii="Arial;Helvetica;sans-serif" w:hAnsi="Arial;Helvetica;sans-serif"/>
          <w:sz w:val="20"/>
        </w:rPr>
        <w:t>participate</w:t>
      </w:r>
      <w:r>
        <w:rPr>
          <w:rFonts w:ascii="Aptos" w:hAnsi="Aptos"/>
          <w:spacing w:val="-4"/>
          <w:sz w:val="24"/>
        </w:rPr>
        <w:t xml:space="preserve"> </w:t>
      </w:r>
      <w:r>
        <w:rPr>
          <w:rFonts w:ascii="Arial;Helvetica;sans-serif" w:hAnsi="Arial;Helvetica;sans-serif"/>
          <w:sz w:val="20"/>
        </w:rPr>
        <w:t>in</w:t>
      </w:r>
      <w:r>
        <w:rPr>
          <w:rFonts w:ascii="Aptos" w:hAnsi="Aptos"/>
          <w:spacing w:val="-4"/>
          <w:sz w:val="24"/>
        </w:rPr>
        <w:t xml:space="preserve"> </w:t>
      </w:r>
      <w:r>
        <w:rPr>
          <w:rFonts w:ascii="Arial;Helvetica;sans-serif" w:hAnsi="Arial;Helvetica;sans-serif"/>
          <w:sz w:val="20"/>
        </w:rPr>
        <w:t xml:space="preserve">TTEC's long-term incentive program (“LTIP”), designed to provide long-term incentives for senior executives of TTEC Parent and align their interests with the interests of TTEC company </w:t>
      </w:r>
      <w:r>
        <w:rPr>
          <w:rFonts w:ascii="Arial;Helvetica;sans-serif" w:hAnsi="Arial;Helvetica;sans-serif"/>
          <w:spacing w:val="-2"/>
          <w:sz w:val="20"/>
        </w:rPr>
        <w:t>stockholders.</w:t>
      </w:r>
    </w:p>
    <w:p>
      <w:pPr>
        <w:pStyle w:val="TextBody"/>
        <w:bidi w:val="0"/>
        <w:spacing w:lineRule="auto" w:line="285" w:before="199" w:after="0"/>
        <w:ind w:left="720" w:right="386" w:hanging="0"/>
        <w:jc w:val="left"/>
        <w:rPr>
          <w:rFonts w:ascii="Aptos" w:hAnsi="Aptos"/>
          <w:sz w:val="20"/>
        </w:rPr>
      </w:pPr>
      <w:r>
        <w:rPr>
          <w:rFonts w:ascii="Arial;Helvetica;sans-serif" w:hAnsi="Arial;Helvetica;sans-serif"/>
          <w:sz w:val="20"/>
        </w:rPr>
        <w:t>The Executive shall be eligible for an annual long-term incentive opportunity of up to 100% of Base</w:t>
      </w:r>
      <w:r>
        <w:rPr>
          <w:rFonts w:ascii="Aptos" w:hAnsi="Aptos"/>
          <w:spacing w:val="-3"/>
          <w:sz w:val="20"/>
        </w:rPr>
        <w:t xml:space="preserve"> </w:t>
      </w:r>
      <w:r>
        <w:rPr>
          <w:rFonts w:ascii="Arial;Helvetica;sans-serif" w:hAnsi="Arial;Helvetica;sans-serif"/>
          <w:sz w:val="20"/>
        </w:rPr>
        <w:t>Salary,</w:t>
      </w:r>
      <w:r>
        <w:rPr>
          <w:rFonts w:ascii="Aptos" w:hAnsi="Aptos"/>
          <w:spacing w:val="-3"/>
          <w:sz w:val="20"/>
        </w:rPr>
        <w:t xml:space="preserve"> </w:t>
      </w:r>
      <w:r>
        <w:rPr>
          <w:rFonts w:ascii="Arial;Helvetica;sans-serif" w:hAnsi="Arial;Helvetica;sans-serif"/>
          <w:sz w:val="20"/>
        </w:rPr>
        <w:t>vesting</w:t>
      </w:r>
      <w:r>
        <w:rPr>
          <w:rFonts w:ascii="Aptos" w:hAnsi="Aptos"/>
          <w:spacing w:val="-3"/>
          <w:sz w:val="20"/>
        </w:rPr>
        <w:t xml:space="preserve"> </w:t>
      </w:r>
      <w:r>
        <w:rPr>
          <w:rFonts w:ascii="Arial;Helvetica;sans-serif" w:hAnsi="Arial;Helvetica;sans-serif"/>
          <w:sz w:val="20"/>
        </w:rPr>
        <w:t>over</w:t>
      </w:r>
      <w:r>
        <w:rPr>
          <w:rFonts w:ascii="Aptos" w:hAnsi="Aptos"/>
          <w:spacing w:val="-3"/>
          <w:sz w:val="20"/>
        </w:rPr>
        <w:t xml:space="preserve"> </w:t>
      </w:r>
      <w:r>
        <w:rPr>
          <w:rFonts w:ascii="Arial;Helvetica;sans-serif" w:hAnsi="Arial;Helvetica;sans-serif"/>
          <w:sz w:val="20"/>
        </w:rPr>
        <w:t>time</w:t>
      </w:r>
      <w:r>
        <w:rPr>
          <w:rFonts w:ascii="Aptos" w:hAnsi="Aptos"/>
          <w:spacing w:val="-3"/>
          <w:sz w:val="20"/>
        </w:rPr>
        <w:t xml:space="preserve"> </w:t>
      </w:r>
      <w:r>
        <w:rPr>
          <w:rFonts w:ascii="Arial;Helvetica;sans-serif" w:hAnsi="Arial;Helvetica;sans-serif"/>
          <w:sz w:val="20"/>
        </w:rPr>
        <w:t>as</w:t>
      </w:r>
      <w:r>
        <w:rPr>
          <w:rFonts w:ascii="Aptos" w:hAnsi="Aptos"/>
          <w:spacing w:val="-3"/>
          <w:sz w:val="20"/>
        </w:rPr>
        <w:t xml:space="preserve"> </w:t>
      </w:r>
      <w:r>
        <w:rPr>
          <w:rFonts w:ascii="Arial;Helvetica;sans-serif" w:hAnsi="Arial;Helvetica;sans-serif"/>
          <w:sz w:val="20"/>
        </w:rPr>
        <w:t>determined</w:t>
      </w:r>
      <w:r>
        <w:rPr>
          <w:rFonts w:ascii="Aptos" w:hAnsi="Aptos"/>
          <w:spacing w:val="-3"/>
          <w:sz w:val="20"/>
        </w:rPr>
        <w:t xml:space="preserve"> </w:t>
      </w:r>
      <w:r>
        <w:rPr>
          <w:rFonts w:ascii="Arial;Helvetica;sans-serif" w:hAnsi="Arial;Helvetica;sans-serif"/>
          <w:sz w:val="20"/>
        </w:rPr>
        <w:t>by</w:t>
      </w:r>
      <w:r>
        <w:rPr>
          <w:rFonts w:ascii="Aptos" w:hAnsi="Aptos"/>
          <w:spacing w:val="-3"/>
          <w:sz w:val="20"/>
        </w:rPr>
        <w:t xml:space="preserve"> </w:t>
      </w:r>
      <w:r>
        <w:rPr>
          <w:rFonts w:ascii="Arial;Helvetica;sans-serif" w:hAnsi="Arial;Helvetica;sans-serif"/>
          <w:sz w:val="20"/>
        </w:rPr>
        <w:t>the</w:t>
      </w:r>
      <w:r>
        <w:rPr>
          <w:rFonts w:ascii="Aptos" w:hAnsi="Aptos"/>
          <w:spacing w:val="-3"/>
          <w:sz w:val="20"/>
        </w:rPr>
        <w:t xml:space="preserve"> </w:t>
      </w:r>
      <w:r>
        <w:rPr>
          <w:rFonts w:ascii="Arial;Helvetica;sans-serif" w:hAnsi="Arial;Helvetica;sans-serif"/>
          <w:sz w:val="20"/>
        </w:rPr>
        <w:t>Compensation</w:t>
      </w:r>
      <w:r>
        <w:rPr>
          <w:rFonts w:ascii="Aptos" w:hAnsi="Aptos"/>
          <w:spacing w:val="-3"/>
          <w:sz w:val="20"/>
        </w:rPr>
        <w:t xml:space="preserve"> </w:t>
      </w:r>
      <w:r>
        <w:rPr>
          <w:rFonts w:ascii="Arial;Helvetica;sans-serif" w:hAnsi="Arial;Helvetica;sans-serif"/>
          <w:sz w:val="20"/>
        </w:rPr>
        <w:t>Committee</w:t>
      </w:r>
      <w:r>
        <w:rPr>
          <w:rFonts w:ascii="Aptos" w:hAnsi="Aptos"/>
          <w:spacing w:val="-3"/>
          <w:sz w:val="20"/>
        </w:rPr>
        <w:t xml:space="preserve"> </w:t>
      </w:r>
      <w:r>
        <w:rPr>
          <w:rFonts w:ascii="Arial;Helvetica;sans-serif" w:hAnsi="Arial;Helvetica;sans-serif"/>
          <w:sz w:val="20"/>
        </w:rPr>
        <w:t>of</w:t>
      </w:r>
      <w:r>
        <w:rPr>
          <w:rFonts w:ascii="Aptos" w:hAnsi="Aptos"/>
          <w:spacing w:val="-3"/>
          <w:sz w:val="20"/>
        </w:rPr>
        <w:t xml:space="preserve"> </w:t>
      </w:r>
      <w:r>
        <w:rPr>
          <w:rFonts w:ascii="Arial;Helvetica;sans-serif" w:hAnsi="Arial;Helvetica;sans-serif"/>
          <w:sz w:val="20"/>
        </w:rPr>
        <w:t>the</w:t>
      </w:r>
      <w:r>
        <w:rPr>
          <w:rFonts w:ascii="Aptos" w:hAnsi="Aptos"/>
          <w:spacing w:val="-3"/>
          <w:sz w:val="20"/>
        </w:rPr>
        <w:t xml:space="preserve"> </w:t>
      </w:r>
      <w:r>
        <w:rPr>
          <w:rFonts w:ascii="Arial;Helvetica;sans-serif" w:hAnsi="Arial;Helvetica;sans-serif"/>
          <w:sz w:val="20"/>
        </w:rPr>
        <w:t>Board</w:t>
      </w:r>
      <w:r>
        <w:rPr>
          <w:rFonts w:ascii="Aptos" w:hAnsi="Aptos"/>
          <w:spacing w:val="-3"/>
          <w:sz w:val="20"/>
        </w:rPr>
        <w:t xml:space="preserve"> </w:t>
      </w:r>
      <w:r>
        <w:rPr>
          <w:rFonts w:ascii="Arial;Helvetica;sans-serif" w:hAnsi="Arial;Helvetica;sans-serif"/>
          <w:sz w:val="20"/>
        </w:rPr>
        <w:t>from time</w:t>
      </w:r>
      <w:r>
        <w:rPr>
          <w:rFonts w:ascii="Aptos" w:hAnsi="Aptos"/>
          <w:spacing w:val="-1"/>
          <w:sz w:val="20"/>
        </w:rPr>
        <w:t xml:space="preserve"> </w:t>
      </w:r>
      <w:r>
        <w:rPr>
          <w:rFonts w:ascii="Arial;Helvetica;sans-serif" w:hAnsi="Arial;Helvetica;sans-serif"/>
          <w:sz w:val="20"/>
        </w:rPr>
        <w:t>to</w:t>
      </w:r>
      <w:r>
        <w:rPr>
          <w:rFonts w:ascii="Aptos" w:hAnsi="Aptos"/>
          <w:spacing w:val="-1"/>
          <w:sz w:val="20"/>
        </w:rPr>
        <w:t xml:space="preserve"> </w:t>
      </w:r>
      <w:r>
        <w:rPr>
          <w:rFonts w:ascii="Arial;Helvetica;sans-serif" w:hAnsi="Arial;Helvetica;sans-serif"/>
          <w:sz w:val="20"/>
        </w:rPr>
        <w:t>time.</w:t>
      </w:r>
      <w:r>
        <w:rPr>
          <w:rFonts w:ascii="Aptos" w:hAnsi="Aptos"/>
          <w:spacing w:val="-1"/>
          <w:sz w:val="20"/>
        </w:rPr>
        <w:t xml:space="preserve"> </w:t>
      </w:r>
      <w:r>
        <w:rPr>
          <w:rFonts w:ascii="Arial;Helvetica;sans-serif" w:hAnsi="Arial;Helvetica;sans-serif"/>
          <w:sz w:val="20"/>
        </w:rPr>
        <w:t>The</w:t>
      </w:r>
      <w:r>
        <w:rPr>
          <w:rFonts w:ascii="Aptos" w:hAnsi="Aptos"/>
          <w:spacing w:val="-1"/>
          <w:sz w:val="20"/>
        </w:rPr>
        <w:t xml:space="preserve"> </w:t>
      </w:r>
      <w:r>
        <w:rPr>
          <w:rFonts w:ascii="Arial;Helvetica;sans-serif" w:hAnsi="Arial;Helvetica;sans-serif"/>
          <w:sz w:val="20"/>
        </w:rPr>
        <w:t>LTIP</w:t>
      </w:r>
      <w:r>
        <w:rPr>
          <w:rFonts w:ascii="Aptos" w:hAnsi="Aptos"/>
          <w:spacing w:val="-2"/>
          <w:sz w:val="20"/>
        </w:rPr>
        <w:t xml:space="preserve"> </w:t>
      </w:r>
      <w:r>
        <w:rPr>
          <w:rFonts w:ascii="Arial;Helvetica;sans-serif" w:hAnsi="Arial;Helvetica;sans-serif"/>
          <w:sz w:val="20"/>
        </w:rPr>
        <w:t>awards</w:t>
      </w:r>
      <w:r>
        <w:rPr>
          <w:rFonts w:ascii="Aptos" w:hAnsi="Aptos"/>
          <w:spacing w:val="-1"/>
          <w:sz w:val="20"/>
        </w:rPr>
        <w:t xml:space="preserve"> </w:t>
      </w:r>
      <w:r>
        <w:rPr>
          <w:rFonts w:ascii="Arial;Helvetica;sans-serif" w:hAnsi="Arial;Helvetica;sans-serif"/>
          <w:sz w:val="20"/>
        </w:rPr>
        <w:t>shall</w:t>
      </w:r>
      <w:r>
        <w:rPr>
          <w:rFonts w:ascii="Aptos" w:hAnsi="Aptos"/>
          <w:spacing w:val="-1"/>
          <w:sz w:val="20"/>
        </w:rPr>
        <w:t xml:space="preserve"> </w:t>
      </w:r>
      <w:r>
        <w:rPr>
          <w:rFonts w:ascii="Arial;Helvetica;sans-serif" w:hAnsi="Arial;Helvetica;sans-serif"/>
          <w:sz w:val="20"/>
        </w:rPr>
        <w:t>be</w:t>
      </w:r>
      <w:r>
        <w:rPr>
          <w:rFonts w:ascii="Aptos" w:hAnsi="Aptos"/>
          <w:spacing w:val="-1"/>
          <w:sz w:val="20"/>
        </w:rPr>
        <w:t xml:space="preserve"> </w:t>
      </w:r>
      <w:r>
        <w:rPr>
          <w:rFonts w:ascii="Arial;Helvetica;sans-serif" w:hAnsi="Arial;Helvetica;sans-serif"/>
          <w:sz w:val="20"/>
        </w:rPr>
        <w:t>granted</w:t>
      </w:r>
      <w:r>
        <w:rPr>
          <w:rFonts w:ascii="Aptos" w:hAnsi="Aptos"/>
          <w:spacing w:val="-2"/>
          <w:sz w:val="20"/>
        </w:rPr>
        <w:t xml:space="preserve"> </w:t>
      </w:r>
      <w:r>
        <w:rPr>
          <w:rFonts w:ascii="Arial;Helvetica;sans-serif" w:hAnsi="Arial;Helvetica;sans-serif"/>
          <w:sz w:val="20"/>
        </w:rPr>
        <w:t>under</w:t>
      </w:r>
      <w:r>
        <w:rPr>
          <w:rFonts w:ascii="Aptos" w:hAnsi="Aptos"/>
          <w:spacing w:val="-1"/>
          <w:sz w:val="20"/>
        </w:rPr>
        <w:t xml:space="preserve"> </w:t>
      </w:r>
      <w:r>
        <w:rPr>
          <w:rFonts w:ascii="Arial;Helvetica;sans-serif" w:hAnsi="Arial;Helvetica;sans-serif"/>
          <w:sz w:val="20"/>
        </w:rPr>
        <w:t>the</w:t>
      </w:r>
      <w:r>
        <w:rPr>
          <w:rFonts w:ascii="Aptos" w:hAnsi="Aptos"/>
          <w:spacing w:val="-1"/>
          <w:sz w:val="20"/>
        </w:rPr>
        <w:t xml:space="preserve"> </w:t>
      </w:r>
      <w:r>
        <w:rPr>
          <w:rFonts w:ascii="Arial;Helvetica;sans-serif" w:hAnsi="Arial;Helvetica;sans-serif"/>
          <w:sz w:val="20"/>
        </w:rPr>
        <w:t>terms</w:t>
      </w:r>
      <w:r>
        <w:rPr>
          <w:rFonts w:ascii="Aptos" w:hAnsi="Aptos"/>
          <w:spacing w:val="-1"/>
          <w:sz w:val="20"/>
        </w:rPr>
        <w:t xml:space="preserve"> </w:t>
      </w:r>
      <w:r>
        <w:rPr>
          <w:rFonts w:ascii="Arial;Helvetica;sans-serif" w:hAnsi="Arial;Helvetica;sans-serif"/>
          <w:sz w:val="20"/>
        </w:rPr>
        <w:t>of</w:t>
      </w:r>
      <w:r>
        <w:rPr>
          <w:rFonts w:ascii="Aptos" w:hAnsi="Aptos"/>
          <w:spacing w:val="-1"/>
          <w:sz w:val="20"/>
        </w:rPr>
        <w:t xml:space="preserve"> </w:t>
      </w:r>
      <w:r>
        <w:rPr>
          <w:rFonts w:ascii="Arial;Helvetica;sans-serif" w:hAnsi="Arial;Helvetica;sans-serif"/>
          <w:sz w:val="20"/>
        </w:rPr>
        <w:t>grant-specific</w:t>
      </w:r>
      <w:r>
        <w:rPr>
          <w:rFonts w:ascii="Aptos" w:hAnsi="Aptos"/>
          <w:spacing w:val="-1"/>
          <w:sz w:val="20"/>
        </w:rPr>
        <w:t xml:space="preserve"> </w:t>
      </w:r>
      <w:r>
        <w:rPr>
          <w:rFonts w:ascii="Arial;Helvetica;sans-serif" w:hAnsi="Arial;Helvetica;sans-serif"/>
          <w:sz w:val="20"/>
        </w:rPr>
        <w:t>agreements</w:t>
      </w:r>
      <w:r>
        <w:rPr>
          <w:rFonts w:ascii="Aptos" w:hAnsi="Aptos"/>
          <w:spacing w:val="-1"/>
          <w:sz w:val="20"/>
        </w:rPr>
        <w:t xml:space="preserve"> </w:t>
      </w:r>
      <w:r>
        <w:rPr>
          <w:rFonts w:ascii="Arial;Helvetica;sans-serif" w:hAnsi="Arial;Helvetica;sans-serif"/>
          <w:sz w:val="20"/>
        </w:rPr>
        <w:t>that are approved by the Compensation Committee of the Board from time to time ("Incentive</w:t>
      </w:r>
    </w:p>
    <w:p>
      <w:pPr>
        <w:pStyle w:val="TextBody"/>
        <w:bidi w:val="0"/>
        <w:spacing w:lineRule="auto" w:line="285" w:before="0" w:after="0"/>
        <w:ind w:left="0" w:right="0" w:hanging="0"/>
        <w:jc w:val="right"/>
        <w:rPr>
          <w:rFonts w:ascii="Arial;Helvetica;sans-serif" w:hAnsi="Arial;Helvetica;sans-serif"/>
          <w:sz w:val="22"/>
        </w:rPr>
      </w:pPr>
      <w:r>
        <w:rPr>
          <w:rFonts w:ascii="Arial;Helvetica;sans-serif" w:hAnsi="Arial;Helvetica;sans-serif"/>
          <w:sz w:val="22"/>
        </w:rPr>
        <w:t xml:space="preserve">Page </w:t>
      </w:r>
      <w:r>
        <w:rPr>
          <w:rFonts w:ascii="Arial;Helvetica;sans-serif" w:hAnsi="Arial;Helvetica;sans-serif"/>
          <w:b/>
          <w:sz w:val="22"/>
        </w:rPr>
        <w:t>2</w:t>
      </w:r>
      <w:r>
        <w:rPr>
          <w:rFonts w:ascii="Arial;Helvetica;sans-serif" w:hAnsi="Arial;Helvetica;sans-serif"/>
          <w:sz w:val="22"/>
        </w:rPr>
        <w:t xml:space="preserve"> of </w:t>
      </w:r>
      <w:r>
        <w:rPr>
          <w:rFonts w:ascii="Arial;Helvetica;sans-serif" w:hAnsi="Arial;Helvetica;sans-serif"/>
          <w:b/>
          <w:sz w:val="22"/>
        </w:rPr>
        <w:t>15</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720" w:right="622" w:hanging="0"/>
        <w:jc w:val="left"/>
        <w:rPr>
          <w:rFonts w:ascii="Aptos" w:hAnsi="Aptos"/>
          <w:sz w:val="20"/>
        </w:rPr>
      </w:pPr>
      <w:r>
        <w:rPr>
          <w:rFonts w:ascii="Arial;Helvetica;sans-serif" w:hAnsi="Arial;Helvetica;sans-serif"/>
          <w:sz w:val="20"/>
        </w:rPr>
        <w:t>Agreements").</w:t>
      </w:r>
      <w:r>
        <w:rPr>
          <w:rFonts w:ascii="Aptos" w:hAnsi="Aptos"/>
          <w:spacing w:val="-5"/>
          <w:sz w:val="20"/>
        </w:rPr>
        <w:t xml:space="preserve"> </w:t>
      </w:r>
      <w:r>
        <w:rPr>
          <w:rFonts w:ascii="Arial;Helvetica;sans-serif" w:hAnsi="Arial;Helvetica;sans-serif"/>
          <w:sz w:val="20"/>
        </w:rPr>
        <w:t>These</w:t>
      </w:r>
      <w:r>
        <w:rPr>
          <w:rFonts w:ascii="Aptos" w:hAnsi="Aptos"/>
          <w:spacing w:val="-5"/>
          <w:sz w:val="20"/>
        </w:rPr>
        <w:t xml:space="preserve"> </w:t>
      </w:r>
      <w:r>
        <w:rPr>
          <w:rFonts w:ascii="Arial;Helvetica;sans-serif" w:hAnsi="Arial;Helvetica;sans-serif"/>
          <w:sz w:val="20"/>
        </w:rPr>
        <w:t>Incentive</w:t>
      </w:r>
      <w:r>
        <w:rPr>
          <w:rFonts w:ascii="Aptos" w:hAnsi="Aptos"/>
          <w:spacing w:val="-5"/>
          <w:sz w:val="20"/>
        </w:rPr>
        <w:t xml:space="preserve"> </w:t>
      </w:r>
      <w:r>
        <w:rPr>
          <w:rFonts w:ascii="Arial;Helvetica;sans-serif" w:hAnsi="Arial;Helvetica;sans-serif"/>
          <w:sz w:val="20"/>
        </w:rPr>
        <w:t>Agreements</w:t>
      </w:r>
      <w:r>
        <w:rPr>
          <w:rFonts w:ascii="Aptos" w:hAnsi="Aptos"/>
          <w:spacing w:val="-5"/>
          <w:sz w:val="20"/>
        </w:rPr>
        <w:t xml:space="preserve"> </w:t>
      </w:r>
      <w:r>
        <w:rPr>
          <w:rFonts w:ascii="Arial;Helvetica;sans-serif" w:hAnsi="Arial;Helvetica;sans-serif"/>
          <w:sz w:val="20"/>
        </w:rPr>
        <w:t>provide</w:t>
      </w:r>
      <w:r>
        <w:rPr>
          <w:rFonts w:ascii="Aptos" w:hAnsi="Aptos"/>
          <w:spacing w:val="-5"/>
          <w:sz w:val="20"/>
        </w:rPr>
        <w:t xml:space="preserve"> </w:t>
      </w:r>
      <w:r>
        <w:rPr>
          <w:rFonts w:ascii="Arial;Helvetica;sans-serif" w:hAnsi="Arial;Helvetica;sans-serif"/>
          <w:sz w:val="20"/>
        </w:rPr>
        <w:t>vesting</w:t>
      </w:r>
      <w:r>
        <w:rPr>
          <w:rFonts w:ascii="Aptos" w:hAnsi="Aptos"/>
          <w:spacing w:val="-5"/>
          <w:sz w:val="20"/>
        </w:rPr>
        <w:t xml:space="preserve"> </w:t>
      </w:r>
      <w:r>
        <w:rPr>
          <w:rFonts w:ascii="Arial;Helvetica;sans-serif" w:hAnsi="Arial;Helvetica;sans-serif"/>
          <w:sz w:val="20"/>
        </w:rPr>
        <w:t>schedules,</w:t>
      </w:r>
      <w:r>
        <w:rPr>
          <w:rFonts w:ascii="Aptos" w:hAnsi="Aptos"/>
          <w:spacing w:val="-5"/>
          <w:sz w:val="20"/>
        </w:rPr>
        <w:t xml:space="preserve"> </w:t>
      </w:r>
      <w:r>
        <w:rPr>
          <w:rFonts w:ascii="Arial;Helvetica;sans-serif" w:hAnsi="Arial;Helvetica;sans-serif"/>
          <w:sz w:val="20"/>
        </w:rPr>
        <w:t>performance</w:t>
      </w:r>
      <w:r>
        <w:rPr>
          <w:rFonts w:ascii="Aptos" w:hAnsi="Aptos"/>
          <w:spacing w:val="-5"/>
          <w:sz w:val="20"/>
        </w:rPr>
        <w:t xml:space="preserve"> </w:t>
      </w:r>
      <w:r>
        <w:rPr>
          <w:rFonts w:ascii="Arial;Helvetica;sans-serif" w:hAnsi="Arial;Helvetica;sans-serif"/>
          <w:sz w:val="20"/>
        </w:rPr>
        <w:t>metrics,</w:t>
      </w:r>
      <w:r>
        <w:rPr>
          <w:rFonts w:ascii="Aptos" w:hAnsi="Aptos"/>
          <w:spacing w:val="-5"/>
          <w:sz w:val="20"/>
        </w:rPr>
        <w:t xml:space="preserve"> </w:t>
      </w:r>
      <w:r>
        <w:rPr>
          <w:rFonts w:ascii="Arial;Helvetica;sans-serif" w:hAnsi="Arial;Helvetica;sans-serif"/>
          <w:sz w:val="20"/>
        </w:rPr>
        <w:t>if any, and other material terms of each grant. TTEC and the Compensation Committee of the Board reserve the right, at their discretion, to change the terms of future</w:t>
      </w:r>
      <w:r>
        <w:rPr>
          <w:rFonts w:ascii="Aptos" w:hAnsi="Aptos"/>
          <w:spacing w:val="-1"/>
          <w:sz w:val="20"/>
        </w:rPr>
        <w:t xml:space="preserve"> </w:t>
      </w:r>
      <w:r>
        <w:rPr>
          <w:rFonts w:ascii="Arial;Helvetica;sans-serif" w:hAnsi="Arial;Helvetica;sans-serif"/>
          <w:sz w:val="20"/>
        </w:rPr>
        <w:t>Incentive Agreements and</w:t>
      </w:r>
      <w:r>
        <w:rPr>
          <w:rFonts w:ascii="Aptos" w:hAnsi="Aptos"/>
          <w:spacing w:val="-1"/>
          <w:sz w:val="20"/>
        </w:rPr>
        <w:t xml:space="preserve"> </w:t>
      </w:r>
      <w:r>
        <w:rPr>
          <w:rFonts w:ascii="Arial;Helvetica;sans-serif" w:hAnsi="Arial;Helvetica;sans-serif"/>
          <w:sz w:val="20"/>
        </w:rPr>
        <w:t>the</w:t>
      </w:r>
      <w:r>
        <w:rPr>
          <w:rFonts w:ascii="Aptos" w:hAnsi="Aptos"/>
          <w:spacing w:val="-1"/>
          <w:sz w:val="20"/>
        </w:rPr>
        <w:t xml:space="preserve"> </w:t>
      </w:r>
      <w:r>
        <w:rPr>
          <w:rFonts w:ascii="Arial;Helvetica;sans-serif" w:hAnsi="Arial;Helvetica;sans-serif"/>
          <w:sz w:val="20"/>
        </w:rPr>
        <w:t>incentives</w:t>
      </w:r>
      <w:r>
        <w:rPr>
          <w:rFonts w:ascii="Aptos" w:hAnsi="Aptos"/>
          <w:spacing w:val="-1"/>
          <w:sz w:val="20"/>
        </w:rPr>
        <w:t xml:space="preserve"> </w:t>
      </w:r>
      <w:r>
        <w:rPr>
          <w:rFonts w:ascii="Arial;Helvetica;sans-serif" w:hAnsi="Arial;Helvetica;sans-serif"/>
          <w:sz w:val="20"/>
        </w:rPr>
        <w:t>granted</w:t>
      </w:r>
      <w:r>
        <w:rPr>
          <w:rFonts w:ascii="Aptos" w:hAnsi="Aptos"/>
          <w:spacing w:val="-1"/>
          <w:sz w:val="20"/>
        </w:rPr>
        <w:t xml:space="preserve"> </w:t>
      </w:r>
      <w:r>
        <w:rPr>
          <w:rFonts w:ascii="Arial;Helvetica;sans-serif" w:hAnsi="Arial;Helvetica;sans-serif"/>
          <w:sz w:val="20"/>
        </w:rPr>
        <w:t>thereunder.</w:t>
      </w:r>
      <w:r>
        <w:rPr>
          <w:rFonts w:ascii="Aptos" w:hAnsi="Aptos"/>
          <w:spacing w:val="-1"/>
          <w:sz w:val="20"/>
        </w:rPr>
        <w:t xml:space="preserve"> </w:t>
      </w:r>
      <w:r>
        <w:rPr>
          <w:rFonts w:ascii="Arial;Helvetica;sans-serif" w:hAnsi="Arial;Helvetica;sans-serif"/>
          <w:sz w:val="20"/>
        </w:rPr>
        <w:t>The</w:t>
      </w:r>
      <w:r>
        <w:rPr>
          <w:rFonts w:ascii="Aptos" w:hAnsi="Aptos"/>
          <w:spacing w:val="-1"/>
          <w:sz w:val="20"/>
        </w:rPr>
        <w:t xml:space="preserve"> </w:t>
      </w:r>
      <w:r>
        <w:rPr>
          <w:rFonts w:ascii="Arial;Helvetica;sans-serif" w:hAnsi="Arial;Helvetica;sans-serif"/>
          <w:sz w:val="20"/>
        </w:rPr>
        <w:t>Company</w:t>
      </w:r>
      <w:r>
        <w:rPr>
          <w:rFonts w:ascii="Aptos" w:hAnsi="Aptos"/>
          <w:spacing w:val="-1"/>
          <w:sz w:val="20"/>
        </w:rPr>
        <w:t xml:space="preserve"> </w:t>
      </w:r>
      <w:r>
        <w:rPr>
          <w:rFonts w:ascii="Arial;Helvetica;sans-serif" w:hAnsi="Arial;Helvetica;sans-serif"/>
          <w:sz w:val="20"/>
        </w:rPr>
        <w:t>and</w:t>
      </w:r>
      <w:r>
        <w:rPr>
          <w:rFonts w:ascii="Aptos" w:hAnsi="Aptos"/>
          <w:spacing w:val="-1"/>
          <w:sz w:val="20"/>
        </w:rPr>
        <w:t xml:space="preserve"> </w:t>
      </w:r>
      <w:r>
        <w:rPr>
          <w:rFonts w:ascii="Arial;Helvetica;sans-serif" w:hAnsi="Arial;Helvetica;sans-serif"/>
          <w:sz w:val="20"/>
        </w:rPr>
        <w:t>TTEC</w:t>
      </w:r>
      <w:r>
        <w:rPr>
          <w:rFonts w:ascii="Aptos" w:hAnsi="Aptos"/>
          <w:spacing w:val="-2"/>
          <w:sz w:val="20"/>
        </w:rPr>
        <w:t xml:space="preserve"> </w:t>
      </w:r>
      <w:r>
        <w:rPr>
          <w:rFonts w:ascii="Arial;Helvetica;sans-serif" w:hAnsi="Arial;Helvetica;sans-serif"/>
          <w:sz w:val="20"/>
        </w:rPr>
        <w:t>Parent</w:t>
      </w:r>
      <w:r>
        <w:rPr>
          <w:rFonts w:ascii="Aptos" w:hAnsi="Aptos"/>
          <w:spacing w:val="-1"/>
          <w:sz w:val="20"/>
        </w:rPr>
        <w:t xml:space="preserve"> </w:t>
      </w:r>
      <w:r>
        <w:rPr>
          <w:rFonts w:ascii="Arial;Helvetica;sans-serif" w:hAnsi="Arial;Helvetica;sans-serif"/>
          <w:sz w:val="20"/>
        </w:rPr>
        <w:t>reserve</w:t>
      </w:r>
      <w:r>
        <w:rPr>
          <w:rFonts w:ascii="Aptos" w:hAnsi="Aptos"/>
          <w:spacing w:val="-1"/>
          <w:sz w:val="20"/>
        </w:rPr>
        <w:t xml:space="preserve"> </w:t>
      </w:r>
      <w:r>
        <w:rPr>
          <w:rFonts w:ascii="Arial;Helvetica;sans-serif" w:hAnsi="Arial;Helvetica;sans-serif"/>
          <w:sz w:val="20"/>
        </w:rPr>
        <w:t>the</w:t>
      </w:r>
      <w:r>
        <w:rPr>
          <w:rFonts w:ascii="Aptos" w:hAnsi="Aptos"/>
          <w:spacing w:val="-1"/>
          <w:sz w:val="20"/>
        </w:rPr>
        <w:t xml:space="preserve"> </w:t>
      </w:r>
      <w:r>
        <w:rPr>
          <w:rFonts w:ascii="Arial;Helvetica;sans-serif" w:hAnsi="Arial;Helvetica;sans-serif"/>
          <w:sz w:val="20"/>
        </w:rPr>
        <w:t>right,</w:t>
      </w:r>
      <w:r>
        <w:rPr>
          <w:rFonts w:ascii="Aptos" w:hAnsi="Aptos"/>
          <w:spacing w:val="-1"/>
          <w:sz w:val="20"/>
        </w:rPr>
        <w:t xml:space="preserve"> </w:t>
      </w:r>
      <w:r>
        <w:rPr>
          <w:rFonts w:ascii="Arial;Helvetica;sans-serif" w:hAnsi="Arial;Helvetica;sans-serif"/>
          <w:sz w:val="20"/>
        </w:rPr>
        <w:t>on</w:t>
      </w:r>
      <w:r>
        <w:rPr>
          <w:rFonts w:ascii="Aptos" w:hAnsi="Aptos"/>
          <w:spacing w:val="-1"/>
          <w:sz w:val="20"/>
        </w:rPr>
        <w:t xml:space="preserve"> </w:t>
      </w:r>
      <w:r>
        <w:rPr>
          <w:rFonts w:ascii="Arial;Helvetica;sans-serif" w:hAnsi="Arial;Helvetica;sans-serif"/>
          <w:sz w:val="20"/>
        </w:rPr>
        <w:t>a going-forward basis, to restructure or modify the long-term incentive compensation programs available to TTEC executives, including the Executive, subject to the approval of the Compensation Committee.</w:t>
      </w:r>
    </w:p>
    <w:tbl>
      <w:tblPr>
        <w:tblW w:w="10205" w:type="dxa"/>
        <w:jc w:val="left"/>
        <w:tblInd w:w="0" w:type="dxa"/>
        <w:tblLayout w:type="fixed"/>
        <w:tblCellMar>
          <w:top w:w="0" w:type="dxa"/>
          <w:left w:w="0" w:type="dxa"/>
          <w:bottom w:w="0" w:type="dxa"/>
          <w:right w:w="0" w:type="dxa"/>
        </w:tblCellMar>
      </w:tblPr>
      <w:tblGrid>
        <w:gridCol w:w="23"/>
        <w:gridCol w:w="185"/>
        <w:gridCol w:w="9974"/>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w:t>
            </w:r>
          </w:p>
        </w:tc>
        <w:tc>
          <w:tcPr>
            <w:tcW w:w="9974"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 xml:space="preserve">Incentive Award Size Determination and Payment Timing. </w:t>
            </w:r>
            <w:r>
              <w:rPr>
                <w:rFonts w:ascii="Arial;Helvetica;sans-serif" w:hAnsi="Arial;Helvetica;sans-serif"/>
                <w:b w:val="false"/>
                <w:i w:val="false"/>
                <w:caps w:val="false"/>
                <w:smallCaps w:val="false"/>
                <w:sz w:val="20"/>
              </w:rPr>
              <w:t>The Executive's actual VIP incentives and LTIP awards are discretionary and are not guaranteed. They are based on a combination</w:t>
            </w:r>
            <w:r>
              <w:rPr>
                <w:caps w:val="false"/>
                <w:smallCaps w:val="false"/>
                <w:spacing w:val="-3"/>
              </w:rPr>
              <w:t xml:space="preserve"> </w:t>
            </w:r>
            <w:r>
              <w:rPr>
                <w:rFonts w:ascii="Arial;Helvetica;sans-serif" w:hAnsi="Arial;Helvetica;sans-serif"/>
                <w:b w:val="false"/>
                <w:i w:val="false"/>
                <w:caps w:val="false"/>
                <w:smallCaps w:val="false"/>
                <w:sz w:val="20"/>
              </w:rPr>
              <w:t>of</w:t>
            </w:r>
            <w:r>
              <w:rPr>
                <w:caps w:val="false"/>
                <w:smallCaps w:val="false"/>
                <w:spacing w:val="-3"/>
              </w:rPr>
              <w:t xml:space="preserve"> </w:t>
            </w:r>
            <w:r>
              <w:rPr>
                <w:rFonts w:ascii="Arial;Helvetica;sans-serif" w:hAnsi="Arial;Helvetica;sans-serif"/>
                <w:b w:val="false"/>
                <w:i w:val="false"/>
                <w:caps w:val="false"/>
                <w:smallCaps w:val="false"/>
                <w:sz w:val="20"/>
              </w:rPr>
              <w:t>metrics</w:t>
            </w:r>
            <w:r>
              <w:rPr>
                <w:caps w:val="false"/>
                <w:smallCaps w:val="false"/>
                <w:spacing w:val="-3"/>
              </w:rPr>
              <w:t xml:space="preserve"> </w:t>
            </w:r>
            <w:r>
              <w:rPr>
                <w:rFonts w:ascii="Arial;Helvetica;sans-serif" w:hAnsi="Arial;Helvetica;sans-serif"/>
                <w:b w:val="false"/>
                <w:i w:val="false"/>
                <w:caps w:val="false"/>
                <w:smallCaps w:val="false"/>
                <w:sz w:val="20"/>
              </w:rPr>
              <w:t>reflecting</w:t>
            </w:r>
            <w:r>
              <w:rPr>
                <w:caps w:val="false"/>
                <w:smallCaps w:val="false"/>
                <w:spacing w:val="-3"/>
              </w:rPr>
              <w:t xml:space="preserve"> </w:t>
            </w:r>
            <w:r>
              <w:rPr>
                <w:rFonts w:ascii="Arial;Helvetica;sans-serif" w:hAnsi="Arial;Helvetica;sans-serif"/>
                <w:b w:val="false"/>
                <w:i w:val="false"/>
                <w:caps w:val="false"/>
                <w:smallCaps w:val="false"/>
                <w:sz w:val="20"/>
              </w:rPr>
              <w:t>the</w:t>
            </w:r>
            <w:r>
              <w:rPr>
                <w:caps w:val="false"/>
                <w:smallCaps w:val="false"/>
                <w:spacing w:val="-3"/>
              </w:rPr>
              <w:t xml:space="preserve"> </w:t>
            </w:r>
            <w:r>
              <w:rPr>
                <w:rFonts w:ascii="Arial;Helvetica;sans-serif" w:hAnsi="Arial;Helvetica;sans-serif"/>
                <w:b w:val="false"/>
                <w:i w:val="false"/>
                <w:caps w:val="false"/>
                <w:smallCaps w:val="false"/>
                <w:sz w:val="20"/>
              </w:rPr>
              <w:t>targets</w:t>
            </w:r>
            <w:r>
              <w:rPr>
                <w:caps w:val="false"/>
                <w:smallCaps w:val="false"/>
                <w:spacing w:val="-3"/>
              </w:rPr>
              <w:t xml:space="preserve"> </w:t>
            </w:r>
            <w:r>
              <w:rPr>
                <w:rFonts w:ascii="Arial;Helvetica;sans-serif" w:hAnsi="Arial;Helvetica;sans-serif"/>
                <w:b w:val="false"/>
                <w:i w:val="false"/>
                <w:caps w:val="false"/>
                <w:smallCaps w:val="false"/>
                <w:sz w:val="20"/>
              </w:rPr>
              <w:t>and</w:t>
            </w:r>
            <w:r>
              <w:rPr>
                <w:caps w:val="false"/>
                <w:smallCaps w:val="false"/>
                <w:spacing w:val="-3"/>
              </w:rPr>
              <w:t xml:space="preserve"> </w:t>
            </w:r>
            <w:r>
              <w:rPr>
                <w:rFonts w:ascii="Arial;Helvetica;sans-serif" w:hAnsi="Arial;Helvetica;sans-serif"/>
                <w:b w:val="false"/>
                <w:i w:val="false"/>
                <w:caps w:val="false"/>
                <w:smallCaps w:val="false"/>
                <w:sz w:val="20"/>
              </w:rPr>
              <w:t>goals</w:t>
            </w:r>
            <w:r>
              <w:rPr>
                <w:caps w:val="false"/>
                <w:smallCaps w:val="false"/>
                <w:spacing w:val="-3"/>
              </w:rPr>
              <w:t xml:space="preserve"> </w:t>
            </w:r>
            <w:r>
              <w:rPr>
                <w:rFonts w:ascii="Arial;Helvetica;sans-serif" w:hAnsi="Arial;Helvetica;sans-serif"/>
                <w:b w:val="false"/>
                <w:i w:val="false"/>
                <w:caps w:val="false"/>
                <w:smallCaps w:val="false"/>
                <w:sz w:val="20"/>
              </w:rPr>
              <w:t>of</w:t>
            </w:r>
            <w:r>
              <w:rPr>
                <w:caps w:val="false"/>
                <w:smallCaps w:val="false"/>
                <w:spacing w:val="-3"/>
              </w:rPr>
              <w:t xml:space="preserve"> </w:t>
            </w:r>
            <w:r>
              <w:rPr>
                <w:rFonts w:ascii="Arial;Helvetica;sans-serif" w:hAnsi="Arial;Helvetica;sans-serif"/>
                <w:b w:val="false"/>
                <w:i w:val="false"/>
                <w:caps w:val="false"/>
                <w:smallCaps w:val="false"/>
                <w:sz w:val="20"/>
              </w:rPr>
              <w:t>the</w:t>
            </w:r>
            <w:r>
              <w:rPr>
                <w:caps w:val="false"/>
                <w:smallCaps w:val="false"/>
                <w:spacing w:val="-3"/>
              </w:rPr>
              <w:t xml:space="preserve"> </w:t>
            </w:r>
            <w:r>
              <w:rPr>
                <w:rFonts w:ascii="Arial;Helvetica;sans-serif" w:hAnsi="Arial;Helvetica;sans-serif"/>
                <w:b w:val="false"/>
                <w:i w:val="false"/>
                <w:caps w:val="false"/>
                <w:smallCaps w:val="false"/>
                <w:sz w:val="20"/>
              </w:rPr>
              <w:t>business,</w:t>
            </w:r>
            <w:r>
              <w:rPr>
                <w:caps w:val="false"/>
                <w:smallCaps w:val="false"/>
                <w:spacing w:val="-3"/>
              </w:rPr>
              <w:t xml:space="preserve"> </w:t>
            </w:r>
            <w:r>
              <w:rPr>
                <w:rFonts w:ascii="Arial;Helvetica;sans-serif" w:hAnsi="Arial;Helvetica;sans-serif"/>
                <w:b w:val="false"/>
                <w:i w:val="false"/>
                <w:caps w:val="false"/>
                <w:smallCaps w:val="false"/>
                <w:sz w:val="20"/>
              </w:rPr>
              <w:t>as</w:t>
            </w:r>
            <w:r>
              <w:rPr>
                <w:caps w:val="false"/>
                <w:smallCaps w:val="false"/>
                <w:spacing w:val="-3"/>
              </w:rPr>
              <w:t xml:space="preserve"> </w:t>
            </w:r>
            <w:r>
              <w:rPr>
                <w:rFonts w:ascii="Arial;Helvetica;sans-serif" w:hAnsi="Arial;Helvetica;sans-serif"/>
                <w:b w:val="false"/>
                <w:i w:val="false"/>
                <w:caps w:val="false"/>
                <w:smallCaps w:val="false"/>
                <w:sz w:val="20"/>
              </w:rPr>
              <w:t>set</w:t>
            </w:r>
            <w:r>
              <w:rPr>
                <w:caps w:val="false"/>
                <w:smallCaps w:val="false"/>
                <w:spacing w:val="-3"/>
              </w:rPr>
              <w:t xml:space="preserve"> </w:t>
            </w:r>
            <w:r>
              <w:rPr>
                <w:rFonts w:ascii="Arial;Helvetica;sans-serif" w:hAnsi="Arial;Helvetica;sans-serif"/>
                <w:b w:val="false"/>
                <w:i w:val="false"/>
                <w:caps w:val="false"/>
                <w:smallCaps w:val="false"/>
                <w:sz w:val="20"/>
              </w:rPr>
              <w:t>out</w:t>
            </w:r>
            <w:r>
              <w:rPr>
                <w:caps w:val="false"/>
                <w:smallCaps w:val="false"/>
                <w:spacing w:val="-3"/>
              </w:rPr>
              <w:t xml:space="preserve"> </w:t>
            </w:r>
            <w:r>
              <w:rPr>
                <w:rFonts w:ascii="Arial;Helvetica;sans-serif" w:hAnsi="Arial;Helvetica;sans-serif"/>
                <w:b w:val="false"/>
                <w:i w:val="false"/>
                <w:caps w:val="false"/>
                <w:smallCaps w:val="false"/>
                <w:sz w:val="20"/>
              </w:rPr>
              <w:t>and</w:t>
            </w:r>
            <w:r>
              <w:rPr>
                <w:caps w:val="false"/>
                <w:smallCaps w:val="false"/>
                <w:spacing w:val="-3"/>
              </w:rPr>
              <w:t xml:space="preserve"> </w:t>
            </w:r>
            <w:r>
              <w:rPr>
                <w:rFonts w:ascii="Arial;Helvetica;sans-serif" w:hAnsi="Arial;Helvetica;sans-serif"/>
                <w:b w:val="false"/>
                <w:i w:val="false"/>
                <w:caps w:val="false"/>
                <w:smallCaps w:val="false"/>
                <w:sz w:val="20"/>
              </w:rPr>
              <w:t>annually approved by the Company's Board of Directors.</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199" w:after="0"/>
        <w:ind w:left="720" w:right="377" w:hanging="0"/>
        <w:jc w:val="left"/>
        <w:rPr>
          <w:rFonts w:ascii="Aptos" w:hAnsi="Aptos"/>
          <w:sz w:val="20"/>
        </w:rPr>
      </w:pPr>
      <w:r>
        <w:rPr>
          <w:rFonts w:ascii="Arial;Helvetica;sans-serif" w:hAnsi="Arial;Helvetica;sans-serif"/>
          <w:sz w:val="20"/>
        </w:rPr>
        <w:t>At present, these metrics for the Executive include: (i) TTEC overall performance; (ii) TTEC</w:t>
      </w:r>
      <w:r>
        <w:rPr>
          <w:rFonts w:ascii="Aptos" w:hAnsi="Aptos"/>
          <w:spacing w:val="40"/>
          <w:sz w:val="20"/>
        </w:rPr>
        <w:t xml:space="preserve"> </w:t>
      </w:r>
      <w:r>
        <w:rPr>
          <w:rFonts w:ascii="Arial;Helvetica;sans-serif" w:hAnsi="Arial;Helvetica;sans-serif"/>
          <w:sz w:val="20"/>
        </w:rPr>
        <w:t>Digital performance; (iii) Mr. Brown's individual performance, all against targets set annually by the Company's Board of Directors and applied specifically to Mr. Brown’s role as directed by TTEC</w:t>
      </w:r>
      <w:r>
        <w:rPr>
          <w:rFonts w:ascii="Aptos" w:hAnsi="Aptos"/>
          <w:spacing w:val="-4"/>
          <w:sz w:val="20"/>
        </w:rPr>
        <w:t xml:space="preserve"> </w:t>
      </w:r>
      <w:r>
        <w:rPr>
          <w:rFonts w:ascii="Arial;Helvetica;sans-serif" w:hAnsi="Arial;Helvetica;sans-serif"/>
          <w:sz w:val="20"/>
        </w:rPr>
        <w:t>CEO;</w:t>
      </w:r>
      <w:r>
        <w:rPr>
          <w:rFonts w:ascii="Aptos" w:hAnsi="Aptos"/>
          <w:spacing w:val="-3"/>
          <w:sz w:val="20"/>
        </w:rPr>
        <w:t xml:space="preserve"> </w:t>
      </w:r>
      <w:r>
        <w:rPr>
          <w:rFonts w:ascii="Arial;Helvetica;sans-serif" w:hAnsi="Arial;Helvetica;sans-serif"/>
          <w:sz w:val="20"/>
        </w:rPr>
        <w:t>and</w:t>
      </w:r>
      <w:r>
        <w:rPr>
          <w:rFonts w:ascii="Aptos" w:hAnsi="Aptos"/>
          <w:spacing w:val="-3"/>
          <w:sz w:val="20"/>
        </w:rPr>
        <w:t xml:space="preserve"> </w:t>
      </w:r>
      <w:r>
        <w:rPr>
          <w:rFonts w:ascii="Arial;Helvetica;sans-serif" w:hAnsi="Arial;Helvetica;sans-serif"/>
          <w:sz w:val="20"/>
        </w:rPr>
        <w:t>(iv)</w:t>
      </w:r>
      <w:r>
        <w:rPr>
          <w:rFonts w:ascii="Aptos" w:hAnsi="Aptos"/>
          <w:spacing w:val="-3"/>
          <w:sz w:val="20"/>
        </w:rPr>
        <w:t xml:space="preserve"> </w:t>
      </w:r>
      <w:r>
        <w:rPr>
          <w:rFonts w:ascii="Arial;Helvetica;sans-serif" w:hAnsi="Arial;Helvetica;sans-serif"/>
          <w:sz w:val="20"/>
        </w:rPr>
        <w:t>the</w:t>
      </w:r>
      <w:r>
        <w:rPr>
          <w:rFonts w:ascii="Aptos" w:hAnsi="Aptos"/>
          <w:spacing w:val="-3"/>
          <w:sz w:val="20"/>
        </w:rPr>
        <w:t xml:space="preserve"> </w:t>
      </w:r>
      <w:r>
        <w:rPr>
          <w:rFonts w:ascii="Arial;Helvetica;sans-serif" w:hAnsi="Arial;Helvetica;sans-serif"/>
          <w:sz w:val="20"/>
        </w:rPr>
        <w:t>Executive's</w:t>
      </w:r>
      <w:r>
        <w:rPr>
          <w:rFonts w:ascii="Aptos" w:hAnsi="Aptos"/>
          <w:spacing w:val="-3"/>
          <w:sz w:val="20"/>
        </w:rPr>
        <w:t xml:space="preserve"> </w:t>
      </w:r>
      <w:r>
        <w:rPr>
          <w:rFonts w:ascii="Arial;Helvetica;sans-serif" w:hAnsi="Arial;Helvetica;sans-serif"/>
          <w:sz w:val="20"/>
        </w:rPr>
        <w:t>compliance</w:t>
      </w:r>
      <w:r>
        <w:rPr>
          <w:rFonts w:ascii="Aptos" w:hAnsi="Aptos"/>
          <w:spacing w:val="-3"/>
          <w:sz w:val="20"/>
        </w:rPr>
        <w:t xml:space="preserve"> </w:t>
      </w:r>
      <w:r>
        <w:rPr>
          <w:rFonts w:ascii="Arial;Helvetica;sans-serif" w:hAnsi="Arial;Helvetica;sans-serif"/>
          <w:sz w:val="20"/>
        </w:rPr>
        <w:t>with</w:t>
      </w:r>
      <w:r>
        <w:rPr>
          <w:rFonts w:ascii="Aptos" w:hAnsi="Aptos"/>
          <w:spacing w:val="-3"/>
          <w:sz w:val="20"/>
        </w:rPr>
        <w:t xml:space="preserve"> </w:t>
      </w:r>
      <w:r>
        <w:rPr>
          <w:rFonts w:ascii="Arial;Helvetica;sans-serif" w:hAnsi="Arial;Helvetica;sans-serif"/>
          <w:sz w:val="20"/>
        </w:rPr>
        <w:t>the</w:t>
      </w:r>
      <w:r>
        <w:rPr>
          <w:rFonts w:ascii="Aptos" w:hAnsi="Aptos"/>
          <w:spacing w:val="-3"/>
          <w:sz w:val="20"/>
        </w:rPr>
        <w:t xml:space="preserve"> </w:t>
      </w:r>
      <w:r>
        <w:rPr>
          <w:rFonts w:ascii="Arial;Helvetica;sans-serif" w:hAnsi="Arial;Helvetica;sans-serif"/>
          <w:sz w:val="20"/>
        </w:rPr>
        <w:t>guidelines</w:t>
      </w:r>
      <w:r>
        <w:rPr>
          <w:rFonts w:ascii="Aptos" w:hAnsi="Aptos"/>
          <w:spacing w:val="-3"/>
          <w:sz w:val="20"/>
        </w:rPr>
        <w:t xml:space="preserve"> </w:t>
      </w:r>
      <w:r>
        <w:rPr>
          <w:rFonts w:ascii="Arial;Helvetica;sans-serif" w:hAnsi="Arial;Helvetica;sans-serif"/>
          <w:sz w:val="20"/>
        </w:rPr>
        <w:t>for</w:t>
      </w:r>
      <w:r>
        <w:rPr>
          <w:rFonts w:ascii="Aptos" w:hAnsi="Aptos"/>
          <w:spacing w:val="-3"/>
          <w:sz w:val="20"/>
        </w:rPr>
        <w:t xml:space="preserve"> </w:t>
      </w:r>
      <w:r>
        <w:rPr>
          <w:rFonts w:ascii="Arial;Helvetica;sans-serif" w:hAnsi="Arial;Helvetica;sans-serif"/>
          <w:sz w:val="20"/>
        </w:rPr>
        <w:t>TTEC</w:t>
      </w:r>
      <w:r>
        <w:rPr>
          <w:rFonts w:ascii="Aptos" w:hAnsi="Aptos"/>
          <w:spacing w:val="-4"/>
          <w:sz w:val="20"/>
        </w:rPr>
        <w:t xml:space="preserve"> </w:t>
      </w:r>
      <w:r>
        <w:rPr>
          <w:rFonts w:ascii="Arial;Helvetica;sans-serif" w:hAnsi="Arial;Helvetica;sans-serif"/>
          <w:sz w:val="20"/>
        </w:rPr>
        <w:t>employees'</w:t>
      </w:r>
      <w:r>
        <w:rPr>
          <w:rFonts w:ascii="Aptos" w:hAnsi="Aptos"/>
          <w:spacing w:val="-3"/>
          <w:sz w:val="20"/>
        </w:rPr>
        <w:t xml:space="preserve"> </w:t>
      </w:r>
      <w:r>
        <w:rPr>
          <w:rFonts w:ascii="Arial;Helvetica;sans-serif" w:hAnsi="Arial;Helvetica;sans-serif"/>
          <w:sz w:val="20"/>
        </w:rPr>
        <w:t>conduct outlined in TTEC Ethics Code. The metrics may change from time to time as determined by the Compensation Committee of the Board. The timing for the payment of the VIP and LTIP awards,</w:t>
      </w:r>
      <w:r>
        <w:rPr>
          <w:rFonts w:ascii="Aptos" w:hAnsi="Aptos"/>
          <w:spacing w:val="40"/>
          <w:sz w:val="20"/>
        </w:rPr>
        <w:t xml:space="preserve"> </w:t>
      </w:r>
      <w:r>
        <w:rPr>
          <w:rFonts w:ascii="Arial;Helvetica;sans-serif" w:hAnsi="Arial;Helvetica;sans-serif"/>
          <w:sz w:val="20"/>
        </w:rPr>
        <w:t xml:space="preserve">if any, is determined from time to time (usually annually) by the Compensation Committee of the Board. All TTEC Parent incentive program grants made in equity instruments are subject to Executive Stock Ownership Guidelines incorporated in this Agreement by reference as </w:t>
      </w:r>
      <w:r>
        <w:rPr>
          <w:rFonts w:ascii="Arial;Helvetica;sans-serif" w:hAnsi="Arial;Helvetica;sans-serif"/>
          <w:i/>
          <w:sz w:val="20"/>
        </w:rPr>
        <w:t>Exhibit D</w:t>
      </w:r>
      <w:r>
        <w:rPr>
          <w:rFonts w:ascii="Arial;Helvetica;sans-serif" w:hAnsi="Arial;Helvetica;sans-serif"/>
          <w:sz w:val="20"/>
        </w:rPr>
        <w:t>.</w:t>
      </w:r>
    </w:p>
    <w:p>
      <w:pPr>
        <w:pStyle w:val="TextBody"/>
        <w:bidi w:val="0"/>
        <w:spacing w:lineRule="auto" w:line="285" w:before="0" w:after="0"/>
        <w:ind w:left="360" w:right="585" w:hanging="0"/>
        <w:jc w:val="left"/>
        <w:rPr>
          <w:rFonts w:ascii="Aptos" w:hAnsi="Aptos"/>
          <w:sz w:val="24"/>
        </w:rPr>
      </w:pPr>
      <w:r>
        <w:rPr>
          <w:rFonts w:ascii="Arial;Helvetica;sans-serif" w:hAnsi="Arial;Helvetica;sans-serif"/>
          <w:sz w:val="20"/>
        </w:rPr>
        <w:t>e.</w:t>
      </w:r>
      <w:r>
        <w:rPr>
          <w:rFonts w:ascii="Arial;Helvetica;sans-serif" w:hAnsi="Arial;Helvetica;sans-serif"/>
          <w:b/>
          <w:sz w:val="20"/>
        </w:rPr>
        <w:t>Reimbursement</w:t>
      </w:r>
      <w:r>
        <w:rPr>
          <w:rFonts w:ascii="Aptos" w:hAnsi="Aptos"/>
          <w:spacing w:val="-4"/>
          <w:sz w:val="24"/>
        </w:rPr>
        <w:t xml:space="preserve"> </w:t>
      </w:r>
      <w:r>
        <w:rPr>
          <w:rFonts w:ascii="Arial;Helvetica;sans-serif" w:hAnsi="Arial;Helvetica;sans-serif"/>
          <w:b/>
          <w:sz w:val="20"/>
        </w:rPr>
        <w:t>of</w:t>
      </w:r>
      <w:r>
        <w:rPr>
          <w:rFonts w:ascii="Aptos" w:hAnsi="Aptos"/>
          <w:spacing w:val="-4"/>
          <w:sz w:val="24"/>
        </w:rPr>
        <w:t xml:space="preserve"> </w:t>
      </w:r>
      <w:r>
        <w:rPr>
          <w:rFonts w:ascii="Arial;Helvetica;sans-serif" w:hAnsi="Arial;Helvetica;sans-serif"/>
          <w:b/>
          <w:sz w:val="20"/>
        </w:rPr>
        <w:t>Business</w:t>
      </w:r>
      <w:r>
        <w:rPr>
          <w:rFonts w:ascii="Aptos" w:hAnsi="Aptos"/>
          <w:spacing w:val="-4"/>
          <w:sz w:val="24"/>
        </w:rPr>
        <w:t xml:space="preserve"> </w:t>
      </w:r>
      <w:r>
        <w:rPr>
          <w:rFonts w:ascii="Arial;Helvetica;sans-serif" w:hAnsi="Arial;Helvetica;sans-serif"/>
          <w:b/>
          <w:sz w:val="20"/>
        </w:rPr>
        <w:t>Expenses.</w:t>
      </w:r>
      <w:r>
        <w:rPr>
          <w:rFonts w:ascii="Aptos" w:hAnsi="Aptos"/>
          <w:spacing w:val="-4"/>
          <w:sz w:val="24"/>
        </w:rPr>
        <w:t xml:space="preserve"> </w:t>
      </w:r>
      <w:r>
        <w:rPr>
          <w:rFonts w:ascii="Arial;Helvetica;sans-serif" w:hAnsi="Arial;Helvetica;sans-serif"/>
          <w:sz w:val="20"/>
        </w:rPr>
        <w:t>The</w:t>
      </w:r>
      <w:r>
        <w:rPr>
          <w:rFonts w:ascii="Aptos" w:hAnsi="Aptos"/>
          <w:spacing w:val="-4"/>
          <w:sz w:val="24"/>
        </w:rPr>
        <w:t xml:space="preserve"> </w:t>
      </w:r>
      <w:r>
        <w:rPr>
          <w:rFonts w:ascii="Arial;Helvetica;sans-serif" w:hAnsi="Arial;Helvetica;sans-serif"/>
          <w:sz w:val="20"/>
        </w:rPr>
        <w:t>Company</w:t>
      </w:r>
      <w:r>
        <w:rPr>
          <w:rFonts w:ascii="Aptos" w:hAnsi="Aptos"/>
          <w:spacing w:val="-4"/>
          <w:sz w:val="24"/>
        </w:rPr>
        <w:t xml:space="preserve"> </w:t>
      </w:r>
      <w:r>
        <w:rPr>
          <w:rFonts w:ascii="Arial;Helvetica;sans-serif" w:hAnsi="Arial;Helvetica;sans-serif"/>
          <w:sz w:val="20"/>
        </w:rPr>
        <w:t>agrees</w:t>
      </w:r>
      <w:r>
        <w:rPr>
          <w:rFonts w:ascii="Aptos" w:hAnsi="Aptos"/>
          <w:spacing w:val="-4"/>
          <w:sz w:val="24"/>
        </w:rPr>
        <w:t xml:space="preserve"> </w:t>
      </w:r>
      <w:r>
        <w:rPr>
          <w:rFonts w:ascii="Arial;Helvetica;sans-serif" w:hAnsi="Arial;Helvetica;sans-serif"/>
          <w:sz w:val="20"/>
        </w:rPr>
        <w:t>to</w:t>
      </w:r>
      <w:r>
        <w:rPr>
          <w:rFonts w:ascii="Aptos" w:hAnsi="Aptos"/>
          <w:spacing w:val="-4"/>
          <w:sz w:val="24"/>
        </w:rPr>
        <w:t xml:space="preserve"> </w:t>
      </w:r>
      <w:r>
        <w:rPr>
          <w:rFonts w:ascii="Arial;Helvetica;sans-serif" w:hAnsi="Arial;Helvetica;sans-serif"/>
          <w:sz w:val="20"/>
        </w:rPr>
        <w:t>reimburse</w:t>
      </w:r>
      <w:r>
        <w:rPr>
          <w:rFonts w:ascii="Aptos" w:hAnsi="Aptos"/>
          <w:spacing w:val="-4"/>
          <w:sz w:val="24"/>
        </w:rPr>
        <w:t xml:space="preserve"> </w:t>
      </w:r>
      <w:r>
        <w:rPr>
          <w:rFonts w:ascii="Arial;Helvetica;sans-serif" w:hAnsi="Arial;Helvetica;sans-serif"/>
          <w:sz w:val="20"/>
        </w:rPr>
        <w:t>the</w:t>
      </w:r>
      <w:r>
        <w:rPr>
          <w:rFonts w:ascii="Aptos" w:hAnsi="Aptos"/>
          <w:spacing w:val="-4"/>
          <w:sz w:val="24"/>
        </w:rPr>
        <w:t xml:space="preserve"> </w:t>
      </w:r>
      <w:r>
        <w:rPr>
          <w:rFonts w:ascii="Arial;Helvetica;sans-serif" w:hAnsi="Arial;Helvetica;sans-serif"/>
          <w:sz w:val="20"/>
        </w:rPr>
        <w:t>Executive</w:t>
      </w:r>
      <w:r>
        <w:rPr>
          <w:rFonts w:ascii="Aptos" w:hAnsi="Aptos"/>
          <w:spacing w:val="-4"/>
          <w:sz w:val="24"/>
        </w:rPr>
        <w:t xml:space="preserve"> </w:t>
      </w:r>
      <w:r>
        <w:rPr>
          <w:rFonts w:ascii="Arial;Helvetica;sans-serif" w:hAnsi="Arial;Helvetica;sans-serif"/>
          <w:sz w:val="20"/>
        </w:rPr>
        <w:t>for all reasonable out-of-pocket business expenses incurred by him on behalf of the Company in accordance with TTEC expense reimbursement policies.</w:t>
      </w:r>
    </w:p>
    <w:p>
      <w:pPr>
        <w:pStyle w:val="TextBody"/>
        <w:bidi w:val="0"/>
        <w:spacing w:lineRule="auto" w:line="285" w:before="203" w:after="0"/>
        <w:ind w:left="360" w:right="409" w:hanging="0"/>
        <w:jc w:val="left"/>
        <w:rPr>
          <w:rFonts w:ascii="Aptos" w:hAnsi="Aptos"/>
          <w:sz w:val="24"/>
        </w:rPr>
      </w:pPr>
      <w:r>
        <w:rPr>
          <w:rFonts w:ascii="Arial;Helvetica;sans-serif" w:hAnsi="Arial;Helvetica;sans-serif"/>
          <w:sz w:val="20"/>
        </w:rPr>
        <w:t>f.</w:t>
      </w:r>
      <w:r>
        <w:rPr>
          <w:rFonts w:ascii="Arial;Helvetica;sans-serif" w:hAnsi="Arial;Helvetica;sans-serif"/>
          <w:b/>
          <w:sz w:val="20"/>
        </w:rPr>
        <w:t xml:space="preserve">Services to Subsidiaries. </w:t>
      </w:r>
      <w:r>
        <w:rPr>
          <w:rFonts w:ascii="Arial;Helvetica;sans-serif" w:hAnsi="Arial;Helvetica;sans-serif"/>
          <w:sz w:val="20"/>
        </w:rPr>
        <w:t>Mr. Brown acknowledges that, as part of his employment responsibilities, he may be required to serve as an officer and/or director ("D&amp;O") of TTEC subsidiaries, affiliates, and related entities. He hereby agrees to perform such duties diligently and</w:t>
      </w:r>
      <w:r>
        <w:rPr>
          <w:rFonts w:ascii="Aptos" w:hAnsi="Aptos"/>
          <w:spacing w:val="-3"/>
          <w:sz w:val="24"/>
        </w:rPr>
        <w:t xml:space="preserve"> </w:t>
      </w:r>
      <w:r>
        <w:rPr>
          <w:rFonts w:ascii="Arial;Helvetica;sans-serif" w:hAnsi="Arial;Helvetica;sans-serif"/>
          <w:sz w:val="20"/>
        </w:rPr>
        <w:t>without</w:t>
      </w:r>
      <w:r>
        <w:rPr>
          <w:rFonts w:ascii="Aptos" w:hAnsi="Aptos"/>
          <w:spacing w:val="-3"/>
          <w:sz w:val="24"/>
        </w:rPr>
        <w:t xml:space="preserve"> </w:t>
      </w:r>
      <w:r>
        <w:rPr>
          <w:rFonts w:ascii="Arial;Helvetica;sans-serif" w:hAnsi="Arial;Helvetica;sans-serif"/>
          <w:sz w:val="20"/>
        </w:rPr>
        <w:t>additional</w:t>
      </w:r>
      <w:r>
        <w:rPr>
          <w:rFonts w:ascii="Aptos" w:hAnsi="Aptos"/>
          <w:spacing w:val="-3"/>
          <w:sz w:val="24"/>
        </w:rPr>
        <w:t xml:space="preserve"> </w:t>
      </w:r>
      <w:r>
        <w:rPr>
          <w:rFonts w:ascii="Arial;Helvetica;sans-serif" w:hAnsi="Arial;Helvetica;sans-serif"/>
          <w:sz w:val="20"/>
        </w:rPr>
        <w:t>compensation,</w:t>
      </w:r>
      <w:r>
        <w:rPr>
          <w:rFonts w:ascii="Aptos" w:hAnsi="Aptos"/>
          <w:spacing w:val="-3"/>
          <w:sz w:val="24"/>
        </w:rPr>
        <w:t xml:space="preserve"> </w:t>
      </w:r>
      <w:r>
        <w:rPr>
          <w:rFonts w:ascii="Arial;Helvetica;sans-serif" w:hAnsi="Arial;Helvetica;sans-serif"/>
          <w:sz w:val="20"/>
        </w:rPr>
        <w:t>and</w:t>
      </w:r>
      <w:r>
        <w:rPr>
          <w:rFonts w:ascii="Aptos" w:hAnsi="Aptos"/>
          <w:spacing w:val="-3"/>
          <w:sz w:val="24"/>
        </w:rPr>
        <w:t xml:space="preserve"> </w:t>
      </w:r>
      <w:r>
        <w:rPr>
          <w:rFonts w:ascii="Arial;Helvetica;sans-serif" w:hAnsi="Arial;Helvetica;sans-serif"/>
          <w:sz w:val="20"/>
        </w:rPr>
        <w:t>to</w:t>
      </w:r>
      <w:r>
        <w:rPr>
          <w:rFonts w:ascii="Aptos" w:hAnsi="Aptos"/>
          <w:spacing w:val="-3"/>
          <w:sz w:val="24"/>
        </w:rPr>
        <w:t xml:space="preserve"> </w:t>
      </w:r>
      <w:r>
        <w:rPr>
          <w:rFonts w:ascii="Arial;Helvetica;sans-serif" w:hAnsi="Arial;Helvetica;sans-serif"/>
          <w:sz w:val="20"/>
        </w:rPr>
        <w:t>follow</w:t>
      </w:r>
      <w:r>
        <w:rPr>
          <w:rFonts w:ascii="Aptos" w:hAnsi="Aptos"/>
          <w:spacing w:val="-4"/>
          <w:sz w:val="24"/>
        </w:rPr>
        <w:t xml:space="preserve"> </w:t>
      </w:r>
      <w:r>
        <w:rPr>
          <w:rFonts w:ascii="Arial;Helvetica;sans-serif" w:hAnsi="Arial;Helvetica;sans-serif"/>
          <w:sz w:val="20"/>
        </w:rPr>
        <w:t>TTEC</w:t>
      </w:r>
      <w:r>
        <w:rPr>
          <w:rFonts w:ascii="Aptos" w:hAnsi="Aptos"/>
          <w:spacing w:val="-4"/>
          <w:sz w:val="24"/>
        </w:rPr>
        <w:t xml:space="preserve"> </w:t>
      </w:r>
      <w:r>
        <w:rPr>
          <w:rFonts w:ascii="Arial;Helvetica;sans-serif" w:hAnsi="Arial;Helvetica;sans-serif"/>
          <w:sz w:val="20"/>
        </w:rPr>
        <w:t>Parent's</w:t>
      </w:r>
      <w:r>
        <w:rPr>
          <w:rFonts w:ascii="Aptos" w:hAnsi="Aptos"/>
          <w:spacing w:val="-3"/>
          <w:sz w:val="24"/>
        </w:rPr>
        <w:t xml:space="preserve"> </w:t>
      </w:r>
      <w:r>
        <w:rPr>
          <w:rFonts w:ascii="Arial;Helvetica;sans-serif" w:hAnsi="Arial;Helvetica;sans-serif"/>
          <w:sz w:val="20"/>
        </w:rPr>
        <w:t>direction</w:t>
      </w:r>
      <w:r>
        <w:rPr>
          <w:rFonts w:ascii="Aptos" w:hAnsi="Aptos"/>
          <w:spacing w:val="-3"/>
          <w:sz w:val="24"/>
        </w:rPr>
        <w:t xml:space="preserve"> </w:t>
      </w:r>
      <w:r>
        <w:rPr>
          <w:rFonts w:ascii="Arial;Helvetica;sans-serif" w:hAnsi="Arial;Helvetica;sans-serif"/>
          <w:sz w:val="20"/>
        </w:rPr>
        <w:t>in</w:t>
      </w:r>
      <w:r>
        <w:rPr>
          <w:rFonts w:ascii="Aptos" w:hAnsi="Aptos"/>
          <w:spacing w:val="-3"/>
          <w:sz w:val="24"/>
        </w:rPr>
        <w:t xml:space="preserve"> </w:t>
      </w:r>
      <w:r>
        <w:rPr>
          <w:rFonts w:ascii="Arial;Helvetica;sans-serif" w:hAnsi="Arial;Helvetica;sans-serif"/>
          <w:sz w:val="20"/>
        </w:rPr>
        <w:t>the</w:t>
      </w:r>
      <w:r>
        <w:rPr>
          <w:rFonts w:ascii="Aptos" w:hAnsi="Aptos"/>
          <w:spacing w:val="-3"/>
          <w:sz w:val="24"/>
        </w:rPr>
        <w:t xml:space="preserve"> </w:t>
      </w:r>
      <w:r>
        <w:rPr>
          <w:rFonts w:ascii="Arial;Helvetica;sans-serif" w:hAnsi="Arial;Helvetica;sans-serif"/>
          <w:sz w:val="20"/>
        </w:rPr>
        <w:t>performance</w:t>
      </w:r>
      <w:r>
        <w:rPr>
          <w:rFonts w:ascii="Aptos" w:hAnsi="Aptos"/>
          <w:spacing w:val="-3"/>
          <w:sz w:val="24"/>
        </w:rPr>
        <w:t xml:space="preserve"> </w:t>
      </w:r>
      <w:r>
        <w:rPr>
          <w:rFonts w:ascii="Arial;Helvetica;sans-serif" w:hAnsi="Arial;Helvetica;sans-serif"/>
          <w:sz w:val="20"/>
        </w:rPr>
        <w:t>of such services. For the duration of such D&amp;O services, TTEC shall maintain appropriate D&amp;O insurance policies for the Executive's protection in connection with the services; and the Company hereby confirms that such insurance policy is currently in place and covers the Executive's services. Furthermore, the Executive agrees to resign such D&amp;O roles, if requested to do so by the Company or TTEC Parent.</w:t>
      </w:r>
    </w:p>
    <w:tbl>
      <w:tblPr>
        <w:tblW w:w="10205" w:type="dxa"/>
        <w:jc w:val="left"/>
        <w:tblInd w:w="0" w:type="dxa"/>
        <w:tblLayout w:type="fixed"/>
        <w:tblCellMar>
          <w:top w:w="0" w:type="dxa"/>
          <w:left w:w="0" w:type="dxa"/>
          <w:bottom w:w="0" w:type="dxa"/>
          <w:right w:w="0" w:type="dxa"/>
        </w:tblCellMar>
      </w:tblPr>
      <w:tblGrid>
        <w:gridCol w:w="23"/>
        <w:gridCol w:w="185"/>
        <w:gridCol w:w="9974"/>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g.</w:t>
            </w:r>
          </w:p>
        </w:tc>
        <w:tc>
          <w:tcPr>
            <w:tcW w:w="9974"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 xml:space="preserve">Tax Liability and Withholdings. </w:t>
            </w:r>
            <w:r>
              <w:rPr>
                <w:rFonts w:ascii="Arial;Helvetica;sans-serif" w:hAnsi="Arial;Helvetica;sans-serif"/>
                <w:b w:val="false"/>
                <w:i w:val="false"/>
                <w:caps w:val="false"/>
                <w:smallCaps w:val="false"/>
                <w:sz w:val="20"/>
              </w:rPr>
              <w:t>All compensation and other payments made under this Agreement will be subject to withholding of the federal, state, and local taxes, Social Security, Medicare,</w:t>
            </w:r>
            <w:r>
              <w:rPr>
                <w:caps w:val="false"/>
                <w:smallCaps w:val="false"/>
                <w:spacing w:val="-2"/>
              </w:rPr>
              <w:t xml:space="preserve"> </w:t>
            </w:r>
            <w:r>
              <w:rPr>
                <w:rFonts w:ascii="Arial;Helvetica;sans-serif" w:hAnsi="Arial;Helvetica;sans-serif"/>
                <w:b w:val="false"/>
                <w:i w:val="false"/>
                <w:caps w:val="false"/>
                <w:smallCaps w:val="false"/>
                <w:sz w:val="20"/>
              </w:rPr>
              <w:t>and</w:t>
            </w:r>
            <w:r>
              <w:rPr>
                <w:caps w:val="false"/>
                <w:smallCaps w:val="false"/>
                <w:spacing w:val="-2"/>
              </w:rPr>
              <w:t xml:space="preserve"> </w:t>
            </w:r>
            <w:r>
              <w:rPr>
                <w:rFonts w:ascii="Arial;Helvetica;sans-serif" w:hAnsi="Arial;Helvetica;sans-serif"/>
                <w:b w:val="false"/>
                <w:i w:val="false"/>
                <w:caps w:val="false"/>
                <w:smallCaps w:val="false"/>
                <w:sz w:val="20"/>
              </w:rPr>
              <w:t>other</w:t>
            </w:r>
            <w:r>
              <w:rPr>
                <w:caps w:val="false"/>
                <w:smallCaps w:val="false"/>
                <w:spacing w:val="-2"/>
              </w:rPr>
              <w:t xml:space="preserve"> </w:t>
            </w:r>
            <w:r>
              <w:rPr>
                <w:rFonts w:ascii="Arial;Helvetica;sans-serif" w:hAnsi="Arial;Helvetica;sans-serif"/>
                <w:b w:val="false"/>
                <w:i w:val="false"/>
                <w:caps w:val="false"/>
                <w:smallCaps w:val="false"/>
                <w:sz w:val="20"/>
              </w:rPr>
              <w:t>withholdings</w:t>
            </w:r>
            <w:r>
              <w:rPr>
                <w:caps w:val="false"/>
                <w:smallCaps w:val="false"/>
                <w:spacing w:val="-2"/>
              </w:rPr>
              <w:t xml:space="preserve"> </w:t>
            </w:r>
            <w:r>
              <w:rPr>
                <w:rFonts w:ascii="Arial;Helvetica;sans-serif" w:hAnsi="Arial;Helvetica;sans-serif"/>
                <w:b w:val="false"/>
                <w:i w:val="false"/>
                <w:caps w:val="false"/>
                <w:smallCaps w:val="false"/>
                <w:sz w:val="20"/>
              </w:rPr>
              <w:t>in</w:t>
            </w:r>
            <w:r>
              <w:rPr>
                <w:caps w:val="false"/>
                <w:smallCaps w:val="false"/>
                <w:spacing w:val="-2"/>
              </w:rPr>
              <w:t xml:space="preserve"> </w:t>
            </w:r>
            <w:r>
              <w:rPr>
                <w:rFonts w:ascii="Arial;Helvetica;sans-serif" w:hAnsi="Arial;Helvetica;sans-serif"/>
                <w:b w:val="false"/>
                <w:i w:val="false"/>
                <w:caps w:val="false"/>
                <w:smallCaps w:val="false"/>
                <w:sz w:val="20"/>
              </w:rPr>
              <w:t>such</w:t>
            </w:r>
            <w:r>
              <w:rPr>
                <w:caps w:val="false"/>
                <w:smallCaps w:val="false"/>
                <w:spacing w:val="-2"/>
              </w:rPr>
              <w:t xml:space="preserve"> </w:t>
            </w:r>
            <w:r>
              <w:rPr>
                <w:rFonts w:ascii="Arial;Helvetica;sans-serif" w:hAnsi="Arial;Helvetica;sans-serif"/>
                <w:b w:val="false"/>
                <w:i w:val="false"/>
                <w:caps w:val="false"/>
                <w:smallCaps w:val="false"/>
                <w:sz w:val="20"/>
              </w:rPr>
              <w:t>amounts</w:t>
            </w:r>
            <w:r>
              <w:rPr>
                <w:caps w:val="false"/>
                <w:smallCaps w:val="false"/>
                <w:spacing w:val="-2"/>
              </w:rPr>
              <w:t xml:space="preserve"> </w:t>
            </w:r>
            <w:r>
              <w:rPr>
                <w:rFonts w:ascii="Arial;Helvetica;sans-serif" w:hAnsi="Arial;Helvetica;sans-serif"/>
                <w:b w:val="false"/>
                <w:i w:val="false"/>
                <w:caps w:val="false"/>
                <w:smallCaps w:val="false"/>
                <w:sz w:val="20"/>
              </w:rPr>
              <w:t>as</w:t>
            </w:r>
            <w:r>
              <w:rPr>
                <w:caps w:val="false"/>
                <w:smallCaps w:val="false"/>
                <w:spacing w:val="-2"/>
              </w:rPr>
              <w:t xml:space="preserve"> </w:t>
            </w:r>
            <w:r>
              <w:rPr>
                <w:rFonts w:ascii="Arial;Helvetica;sans-serif" w:hAnsi="Arial;Helvetica;sans-serif"/>
                <w:b w:val="false"/>
                <w:i w:val="false"/>
                <w:caps w:val="false"/>
                <w:smallCaps w:val="false"/>
                <w:sz w:val="20"/>
              </w:rPr>
              <w:t>is</w:t>
            </w:r>
            <w:r>
              <w:rPr>
                <w:caps w:val="false"/>
                <w:smallCaps w:val="false"/>
                <w:spacing w:val="-2"/>
              </w:rPr>
              <w:t xml:space="preserve"> </w:t>
            </w:r>
            <w:r>
              <w:rPr>
                <w:rFonts w:ascii="Arial;Helvetica;sans-serif" w:hAnsi="Arial;Helvetica;sans-serif"/>
                <w:b w:val="false"/>
                <w:i w:val="false"/>
                <w:caps w:val="false"/>
                <w:smallCaps w:val="false"/>
                <w:sz w:val="20"/>
              </w:rPr>
              <w:t>reasonably</w:t>
            </w:r>
            <w:r>
              <w:rPr>
                <w:caps w:val="false"/>
                <w:smallCaps w:val="false"/>
                <w:spacing w:val="-2"/>
              </w:rPr>
              <w:t xml:space="preserve"> </w:t>
            </w:r>
            <w:r>
              <w:rPr>
                <w:rFonts w:ascii="Arial;Helvetica;sans-serif" w:hAnsi="Arial;Helvetica;sans-serif"/>
                <w:b w:val="false"/>
                <w:i w:val="false"/>
                <w:caps w:val="false"/>
                <w:smallCaps w:val="false"/>
                <w:sz w:val="20"/>
              </w:rPr>
              <w:t>determined</w:t>
            </w:r>
            <w:r>
              <w:rPr>
                <w:caps w:val="false"/>
                <w:smallCaps w:val="false"/>
                <w:spacing w:val="-2"/>
              </w:rPr>
              <w:t xml:space="preserve"> </w:t>
            </w:r>
            <w:r>
              <w:rPr>
                <w:rFonts w:ascii="Arial;Helvetica;sans-serif" w:hAnsi="Arial;Helvetica;sans-serif"/>
                <w:b w:val="false"/>
                <w:i w:val="false"/>
                <w:caps w:val="false"/>
                <w:smallCaps w:val="false"/>
                <w:sz w:val="20"/>
              </w:rPr>
              <w:t>by</w:t>
            </w:r>
            <w:r>
              <w:rPr>
                <w:caps w:val="false"/>
                <w:smallCaps w:val="false"/>
                <w:spacing w:val="-2"/>
              </w:rPr>
              <w:t xml:space="preserve"> </w:t>
            </w:r>
            <w:r>
              <w:rPr>
                <w:rFonts w:ascii="Arial;Helvetica;sans-serif" w:hAnsi="Arial;Helvetica;sans-serif"/>
                <w:b w:val="false"/>
                <w:i w:val="false"/>
                <w:caps w:val="false"/>
                <w:smallCaps w:val="false"/>
                <w:sz w:val="20"/>
              </w:rPr>
              <w:t>the</w:t>
            </w:r>
            <w:r>
              <w:rPr>
                <w:caps w:val="false"/>
                <w:smallCaps w:val="false"/>
                <w:spacing w:val="-2"/>
              </w:rPr>
              <w:t xml:space="preserve"> </w:t>
            </w:r>
            <w:r>
              <w:rPr>
                <w:rFonts w:ascii="Arial;Helvetica;sans-serif" w:hAnsi="Arial;Helvetica;sans-serif"/>
                <w:b w:val="false"/>
                <w:i w:val="false"/>
                <w:caps w:val="false"/>
                <w:smallCaps w:val="false"/>
                <w:sz w:val="20"/>
              </w:rPr>
              <w:t>Company. The withholdings taxes due with respect to any equity or incentive grants may, at the Company's discretion</w:t>
            </w:r>
            <w:r>
              <w:rPr>
                <w:caps w:val="false"/>
                <w:smallCaps w:val="false"/>
                <w:spacing w:val="-3"/>
              </w:rPr>
              <w:t xml:space="preserve"> </w:t>
            </w:r>
            <w:r>
              <w:rPr>
                <w:rFonts w:ascii="Arial;Helvetica;sans-serif" w:hAnsi="Arial;Helvetica;sans-serif"/>
                <w:b w:val="false"/>
                <w:i w:val="false"/>
                <w:caps w:val="false"/>
                <w:smallCaps w:val="false"/>
                <w:sz w:val="20"/>
              </w:rPr>
              <w:t>and</w:t>
            </w:r>
            <w:r>
              <w:rPr>
                <w:caps w:val="false"/>
                <w:smallCaps w:val="false"/>
                <w:spacing w:val="-3"/>
              </w:rPr>
              <w:t xml:space="preserve"> </w:t>
            </w:r>
            <w:r>
              <w:rPr>
                <w:rFonts w:ascii="Arial;Helvetica;sans-serif" w:hAnsi="Arial;Helvetica;sans-serif"/>
                <w:b w:val="false"/>
                <w:i w:val="false"/>
                <w:caps w:val="false"/>
                <w:smallCaps w:val="false"/>
                <w:sz w:val="20"/>
              </w:rPr>
              <w:t>in</w:t>
            </w:r>
            <w:r>
              <w:rPr>
                <w:caps w:val="false"/>
                <w:smallCaps w:val="false"/>
                <w:spacing w:val="-3"/>
              </w:rPr>
              <w:t xml:space="preserve"> </w:t>
            </w:r>
            <w:r>
              <w:rPr>
                <w:rFonts w:ascii="Arial;Helvetica;sans-serif" w:hAnsi="Arial;Helvetica;sans-serif"/>
                <w:b w:val="false"/>
                <w:i w:val="false"/>
                <w:caps w:val="false"/>
                <w:smallCaps w:val="false"/>
                <w:sz w:val="20"/>
              </w:rPr>
              <w:t>accordance</w:t>
            </w:r>
            <w:r>
              <w:rPr>
                <w:caps w:val="false"/>
                <w:smallCaps w:val="false"/>
                <w:spacing w:val="-3"/>
              </w:rPr>
              <w:t xml:space="preserve"> </w:t>
            </w:r>
            <w:r>
              <w:rPr>
                <w:rFonts w:ascii="Arial;Helvetica;sans-serif" w:hAnsi="Arial;Helvetica;sans-serif"/>
                <w:b w:val="false"/>
                <w:i w:val="false"/>
                <w:caps w:val="false"/>
                <w:smallCaps w:val="false"/>
                <w:sz w:val="20"/>
              </w:rPr>
              <w:t>with</w:t>
            </w:r>
            <w:r>
              <w:rPr>
                <w:caps w:val="false"/>
                <w:smallCaps w:val="false"/>
                <w:spacing w:val="-3"/>
              </w:rPr>
              <w:t xml:space="preserve"> </w:t>
            </w:r>
            <w:r>
              <w:rPr>
                <w:rFonts w:ascii="Arial;Helvetica;sans-serif" w:hAnsi="Arial;Helvetica;sans-serif"/>
                <w:b w:val="false"/>
                <w:i w:val="false"/>
                <w:caps w:val="false"/>
                <w:smallCaps w:val="false"/>
                <w:sz w:val="20"/>
              </w:rPr>
              <w:t>the</w:t>
            </w:r>
            <w:r>
              <w:rPr>
                <w:caps w:val="false"/>
                <w:smallCaps w:val="false"/>
                <w:spacing w:val="-3"/>
              </w:rPr>
              <w:t xml:space="preserve"> </w:t>
            </w:r>
            <w:r>
              <w:rPr>
                <w:rFonts w:ascii="Arial;Helvetica;sans-serif" w:hAnsi="Arial;Helvetica;sans-serif"/>
                <w:b w:val="false"/>
                <w:i w:val="false"/>
                <w:caps w:val="false"/>
                <w:smallCaps w:val="false"/>
                <w:sz w:val="20"/>
              </w:rPr>
              <w:t>relevant</w:t>
            </w:r>
            <w:r>
              <w:rPr>
                <w:caps w:val="false"/>
                <w:smallCaps w:val="false"/>
                <w:spacing w:val="-3"/>
              </w:rPr>
              <w:t xml:space="preserve"> </w:t>
            </w:r>
            <w:r>
              <w:rPr>
                <w:rFonts w:ascii="Arial;Helvetica;sans-serif" w:hAnsi="Arial;Helvetica;sans-serif"/>
                <w:b w:val="false"/>
                <w:i w:val="false"/>
                <w:caps w:val="false"/>
                <w:smallCaps w:val="false"/>
                <w:sz w:val="20"/>
              </w:rPr>
              <w:t>plans,</w:t>
            </w:r>
            <w:r>
              <w:rPr>
                <w:caps w:val="false"/>
                <w:smallCaps w:val="false"/>
                <w:spacing w:val="-3"/>
              </w:rPr>
              <w:t xml:space="preserve"> </w:t>
            </w:r>
            <w:r>
              <w:rPr>
                <w:rFonts w:ascii="Arial;Helvetica;sans-serif" w:hAnsi="Arial;Helvetica;sans-serif"/>
                <w:b w:val="false"/>
                <w:i w:val="false"/>
                <w:caps w:val="false"/>
                <w:smallCaps w:val="false"/>
                <w:sz w:val="20"/>
              </w:rPr>
              <w:t>be</w:t>
            </w:r>
            <w:r>
              <w:rPr>
                <w:caps w:val="false"/>
                <w:smallCaps w:val="false"/>
                <w:spacing w:val="-3"/>
              </w:rPr>
              <w:t xml:space="preserve"> </w:t>
            </w:r>
            <w:r>
              <w:rPr>
                <w:rFonts w:ascii="Arial;Helvetica;sans-serif" w:hAnsi="Arial;Helvetica;sans-serif"/>
                <w:b w:val="false"/>
                <w:i w:val="false"/>
                <w:caps w:val="false"/>
                <w:smallCaps w:val="false"/>
                <w:sz w:val="20"/>
              </w:rPr>
              <w:t>deducted</w:t>
            </w:r>
            <w:r>
              <w:rPr>
                <w:caps w:val="false"/>
                <w:smallCaps w:val="false"/>
                <w:spacing w:val="-3"/>
              </w:rPr>
              <w:t xml:space="preserve"> </w:t>
            </w:r>
            <w:r>
              <w:rPr>
                <w:rFonts w:ascii="Arial;Helvetica;sans-serif" w:hAnsi="Arial;Helvetica;sans-serif"/>
                <w:b w:val="false"/>
                <w:i w:val="false"/>
                <w:caps w:val="false"/>
                <w:smallCaps w:val="false"/>
                <w:sz w:val="20"/>
              </w:rPr>
              <w:t>directly</w:t>
            </w:r>
            <w:r>
              <w:rPr>
                <w:caps w:val="false"/>
                <w:smallCaps w:val="false"/>
                <w:spacing w:val="-3"/>
              </w:rPr>
              <w:t xml:space="preserve"> </w:t>
            </w:r>
            <w:r>
              <w:rPr>
                <w:rFonts w:ascii="Arial;Helvetica;sans-serif" w:hAnsi="Arial;Helvetica;sans-serif"/>
                <w:b w:val="false"/>
                <w:i w:val="false"/>
                <w:caps w:val="false"/>
                <w:smallCaps w:val="false"/>
                <w:sz w:val="20"/>
              </w:rPr>
              <w:t>from</w:t>
            </w:r>
            <w:r>
              <w:rPr>
                <w:caps w:val="false"/>
                <w:smallCaps w:val="false"/>
                <w:spacing w:val="-4"/>
              </w:rPr>
              <w:t xml:space="preserve"> </w:t>
            </w:r>
            <w:r>
              <w:rPr>
                <w:rFonts w:ascii="Arial;Helvetica;sans-serif" w:hAnsi="Arial;Helvetica;sans-serif"/>
                <w:b w:val="false"/>
                <w:i w:val="false"/>
                <w:caps w:val="false"/>
                <w:smallCaps w:val="false"/>
                <w:sz w:val="20"/>
              </w:rPr>
              <w:t>the</w:t>
            </w:r>
            <w:r>
              <w:rPr>
                <w:caps w:val="false"/>
                <w:smallCaps w:val="false"/>
                <w:spacing w:val="-3"/>
              </w:rPr>
              <w:t xml:space="preserve"> </w:t>
            </w:r>
            <w:r>
              <w:rPr>
                <w:rFonts w:ascii="Arial;Helvetica;sans-serif" w:hAnsi="Arial;Helvetica;sans-serif"/>
                <w:b w:val="false"/>
                <w:i w:val="false"/>
                <w:caps w:val="false"/>
                <w:smallCaps w:val="false"/>
                <w:sz w:val="20"/>
              </w:rPr>
              <w:t>compensation being granted or as it vests. The Company shall have the right to take all the actions it deems necessary to satisfy the Company and its employee's tax withholding obligations.</w:t>
            </w:r>
          </w:p>
        </w:tc>
        <w:tc>
          <w:tcPr>
            <w:tcW w:w="23" w:type="dxa"/>
            <w:tcBorders/>
            <w:vAlign w:val="center"/>
          </w:tcPr>
          <w:p>
            <w:pPr>
              <w:pStyle w:val="TableContents"/>
              <w:bidi w:val="0"/>
              <w:spacing w:before="0" w:after="283"/>
              <w:jc w:val="left"/>
              <w:rPr>
                <w:sz w:val="4"/>
                <w:szCs w:val="4"/>
              </w:rPr>
            </w:pPr>
            <w:r>
              <w:rPr>
                <w:sz w:val="4"/>
                <w:szCs w:val="4"/>
              </w:rPr>
            </w:r>
          </w:p>
        </w:tc>
      </w:tr>
    </w:tbl>
    <w:tbl>
      <w:tblPr>
        <w:tblW w:w="1224" w:type="dxa"/>
        <w:jc w:val="left"/>
        <w:tblInd w:w="0" w:type="dxa"/>
        <w:tblLayout w:type="fixed"/>
        <w:tblCellMar>
          <w:top w:w="0" w:type="dxa"/>
          <w:left w:w="0" w:type="dxa"/>
          <w:bottom w:w="0" w:type="dxa"/>
          <w:right w:w="0" w:type="dxa"/>
        </w:tblCellMar>
      </w:tblPr>
      <w:tblGrid>
        <w:gridCol w:w="185"/>
        <w:gridCol w:w="1039"/>
      </w:tblGrid>
      <w:tr>
        <w:trPr/>
        <w:tc>
          <w:tcPr>
            <w:tcW w:w="18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3.</w:t>
            </w:r>
          </w:p>
        </w:tc>
        <w:tc>
          <w:tcPr>
            <w:tcW w:w="1039" w:type="dxa"/>
            <w:tcBorders/>
            <w:vAlign w:val="center"/>
          </w:tcPr>
          <w:p>
            <w:pPr>
              <w:pStyle w:val="TableContents"/>
              <w:bidi w:val="0"/>
              <w:spacing w:before="0" w:after="283"/>
              <w:jc w:val="left"/>
              <w:rPr>
                <w:rFonts w:ascii="Arial;Helvetica;sans-serif" w:hAnsi="Arial;Helvetica;sans-serif"/>
                <w:b/>
                <w:i w:val="false"/>
                <w:caps w:val="false"/>
                <w:smallCaps w:val="false"/>
                <w:spacing w:val="-2"/>
                <w:sz w:val="20"/>
              </w:rPr>
            </w:pPr>
            <w:r>
              <w:rPr>
                <w:rFonts w:ascii="Arial;Helvetica;sans-serif" w:hAnsi="Arial;Helvetica;sans-serif"/>
                <w:b/>
                <w:i w:val="false"/>
                <w:caps w:val="false"/>
                <w:smallCaps w:val="false"/>
                <w:spacing w:val="-2"/>
                <w:sz w:val="20"/>
              </w:rPr>
              <w:t>BENEFITS.</w:t>
            </w:r>
          </w:p>
        </w:tc>
      </w:tr>
    </w:tbl>
    <w:tbl>
      <w:tblPr>
        <w:tblW w:w="10205" w:type="dxa"/>
        <w:jc w:val="left"/>
        <w:tblInd w:w="0" w:type="dxa"/>
        <w:tblLayout w:type="fixed"/>
        <w:tblCellMar>
          <w:top w:w="0" w:type="dxa"/>
          <w:left w:w="0" w:type="dxa"/>
          <w:bottom w:w="0" w:type="dxa"/>
          <w:right w:w="0" w:type="dxa"/>
        </w:tblCellMar>
      </w:tblPr>
      <w:tblGrid>
        <w:gridCol w:w="23"/>
        <w:gridCol w:w="185"/>
        <w:gridCol w:w="9974"/>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w:t>
            </w:r>
          </w:p>
        </w:tc>
        <w:tc>
          <w:tcPr>
            <w:tcW w:w="9974"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 xml:space="preserve">Health and Welfare Benefits. </w:t>
            </w:r>
            <w:r>
              <w:rPr>
                <w:rFonts w:ascii="Arial;Helvetica;sans-serif" w:hAnsi="Arial;Helvetica;sans-serif"/>
                <w:b w:val="false"/>
                <w:i w:val="false"/>
                <w:caps w:val="false"/>
                <w:smallCaps w:val="false"/>
                <w:sz w:val="20"/>
              </w:rPr>
              <w:t>Mr. Brown shall be eligible to participate in TTEC health and wellness</w:t>
            </w:r>
            <w:r>
              <w:rPr>
                <w:caps w:val="false"/>
                <w:smallCaps w:val="false"/>
                <w:spacing w:val="-3"/>
              </w:rPr>
              <w:t xml:space="preserve"> </w:t>
            </w:r>
            <w:r>
              <w:rPr>
                <w:rFonts w:ascii="Arial;Helvetica;sans-serif" w:hAnsi="Arial;Helvetica;sans-serif"/>
                <w:b w:val="false"/>
                <w:i w:val="false"/>
                <w:caps w:val="false"/>
                <w:smallCaps w:val="false"/>
                <w:sz w:val="20"/>
              </w:rPr>
              <w:t>plans</w:t>
            </w:r>
            <w:r>
              <w:rPr>
                <w:caps w:val="false"/>
                <w:smallCaps w:val="false"/>
                <w:spacing w:val="-3"/>
              </w:rPr>
              <w:t xml:space="preserve"> </w:t>
            </w:r>
            <w:r>
              <w:rPr>
                <w:rFonts w:ascii="Arial;Helvetica;sans-serif" w:hAnsi="Arial;Helvetica;sans-serif"/>
                <w:b w:val="false"/>
                <w:i w:val="false"/>
                <w:caps w:val="false"/>
                <w:smallCaps w:val="false"/>
                <w:sz w:val="20"/>
              </w:rPr>
              <w:t>in</w:t>
            </w:r>
            <w:r>
              <w:rPr>
                <w:caps w:val="false"/>
                <w:smallCaps w:val="false"/>
                <w:spacing w:val="-3"/>
              </w:rPr>
              <w:t xml:space="preserve"> </w:t>
            </w:r>
            <w:r>
              <w:rPr>
                <w:rFonts w:ascii="Arial;Helvetica;sans-serif" w:hAnsi="Arial;Helvetica;sans-serif"/>
                <w:b w:val="false"/>
                <w:i w:val="false"/>
                <w:caps w:val="false"/>
                <w:smallCaps w:val="false"/>
                <w:sz w:val="20"/>
              </w:rPr>
              <w:t>a</w:t>
            </w:r>
            <w:r>
              <w:rPr>
                <w:caps w:val="false"/>
                <w:smallCaps w:val="false"/>
                <w:spacing w:val="-3"/>
              </w:rPr>
              <w:t xml:space="preserve"> </w:t>
            </w:r>
            <w:r>
              <w:rPr>
                <w:rFonts w:ascii="Arial;Helvetica;sans-serif" w:hAnsi="Arial;Helvetica;sans-serif"/>
                <w:b w:val="false"/>
                <w:i w:val="false"/>
                <w:caps w:val="false"/>
                <w:smallCaps w:val="false"/>
                <w:sz w:val="20"/>
              </w:rPr>
              <w:t>manner</w:t>
            </w:r>
            <w:r>
              <w:rPr>
                <w:caps w:val="false"/>
                <w:smallCaps w:val="false"/>
                <w:spacing w:val="-3"/>
              </w:rPr>
              <w:t xml:space="preserve"> </w:t>
            </w:r>
            <w:r>
              <w:rPr>
                <w:rFonts w:ascii="Arial;Helvetica;sans-serif" w:hAnsi="Arial;Helvetica;sans-serif"/>
                <w:b w:val="false"/>
                <w:i w:val="false"/>
                <w:caps w:val="false"/>
                <w:smallCaps w:val="false"/>
                <w:sz w:val="20"/>
              </w:rPr>
              <w:t>similar</w:t>
            </w:r>
            <w:r>
              <w:rPr>
                <w:caps w:val="false"/>
                <w:smallCaps w:val="false"/>
                <w:spacing w:val="-3"/>
              </w:rPr>
              <w:t xml:space="preserve"> </w:t>
            </w:r>
            <w:r>
              <w:rPr>
                <w:rFonts w:ascii="Arial;Helvetica;sans-serif" w:hAnsi="Arial;Helvetica;sans-serif"/>
                <w:b w:val="false"/>
                <w:i w:val="false"/>
                <w:caps w:val="false"/>
                <w:smallCaps w:val="false"/>
                <w:sz w:val="20"/>
              </w:rPr>
              <w:t>to</w:t>
            </w:r>
            <w:r>
              <w:rPr>
                <w:caps w:val="false"/>
                <w:smallCaps w:val="false"/>
                <w:spacing w:val="-3"/>
              </w:rPr>
              <w:t xml:space="preserve"> </w:t>
            </w:r>
            <w:r>
              <w:rPr>
                <w:rFonts w:ascii="Arial;Helvetica;sans-serif" w:hAnsi="Arial;Helvetica;sans-serif"/>
                <w:b w:val="false"/>
                <w:i w:val="false"/>
                <w:caps w:val="false"/>
                <w:smallCaps w:val="false"/>
                <w:sz w:val="20"/>
              </w:rPr>
              <w:t>others</w:t>
            </w:r>
            <w:r>
              <w:rPr>
                <w:caps w:val="false"/>
                <w:smallCaps w:val="false"/>
                <w:spacing w:val="-3"/>
              </w:rPr>
              <w:t xml:space="preserve"> </w:t>
            </w:r>
            <w:r>
              <w:rPr>
                <w:rFonts w:ascii="Arial;Helvetica;sans-serif" w:hAnsi="Arial;Helvetica;sans-serif"/>
                <w:b w:val="false"/>
                <w:i w:val="false"/>
                <w:caps w:val="false"/>
                <w:smallCaps w:val="false"/>
                <w:sz w:val="20"/>
              </w:rPr>
              <w:t>at</w:t>
            </w:r>
            <w:r>
              <w:rPr>
                <w:caps w:val="false"/>
                <w:smallCaps w:val="false"/>
                <w:spacing w:val="-3"/>
              </w:rPr>
              <w:t xml:space="preserve"> </w:t>
            </w:r>
            <w:r>
              <w:rPr>
                <w:rFonts w:ascii="Arial;Helvetica;sans-serif" w:hAnsi="Arial;Helvetica;sans-serif"/>
                <w:b w:val="false"/>
                <w:i w:val="false"/>
                <w:caps w:val="false"/>
                <w:smallCaps w:val="false"/>
                <w:sz w:val="20"/>
              </w:rPr>
              <w:t>his</w:t>
            </w:r>
            <w:r>
              <w:rPr>
                <w:caps w:val="false"/>
                <w:smallCaps w:val="false"/>
                <w:spacing w:val="-3"/>
              </w:rPr>
              <w:t xml:space="preserve"> </w:t>
            </w:r>
            <w:r>
              <w:rPr>
                <w:rFonts w:ascii="Arial;Helvetica;sans-serif" w:hAnsi="Arial;Helvetica;sans-serif"/>
                <w:b w:val="false"/>
                <w:i w:val="false"/>
                <w:caps w:val="false"/>
                <w:smallCaps w:val="false"/>
                <w:sz w:val="20"/>
              </w:rPr>
              <w:t>level</w:t>
            </w:r>
            <w:r>
              <w:rPr>
                <w:caps w:val="false"/>
                <w:smallCaps w:val="false"/>
                <w:spacing w:val="-3"/>
              </w:rPr>
              <w:t xml:space="preserve"> </w:t>
            </w:r>
            <w:r>
              <w:rPr>
                <w:rFonts w:ascii="Arial;Helvetica;sans-serif" w:hAnsi="Arial;Helvetica;sans-serif"/>
                <w:b w:val="false"/>
                <w:i w:val="false"/>
                <w:caps w:val="false"/>
                <w:smallCaps w:val="false"/>
                <w:sz w:val="20"/>
              </w:rPr>
              <w:t>of</w:t>
            </w:r>
            <w:r>
              <w:rPr>
                <w:caps w:val="false"/>
                <w:smallCaps w:val="false"/>
                <w:spacing w:val="-3"/>
              </w:rPr>
              <w:t xml:space="preserve"> </w:t>
            </w:r>
            <w:r>
              <w:rPr>
                <w:rFonts w:ascii="Arial;Helvetica;sans-serif" w:hAnsi="Arial;Helvetica;sans-serif"/>
                <w:b w:val="false"/>
                <w:i w:val="false"/>
                <w:caps w:val="false"/>
                <w:smallCaps w:val="false"/>
                <w:sz w:val="20"/>
              </w:rPr>
              <w:t>responsibility,</w:t>
            </w:r>
            <w:r>
              <w:rPr>
                <w:caps w:val="false"/>
                <w:smallCaps w:val="false"/>
                <w:spacing w:val="-3"/>
              </w:rPr>
              <w:t xml:space="preserve"> </w:t>
            </w:r>
            <w:r>
              <w:rPr>
                <w:rFonts w:ascii="Arial;Helvetica;sans-serif" w:hAnsi="Arial;Helvetica;sans-serif"/>
                <w:b w:val="false"/>
                <w:i w:val="false"/>
                <w:caps w:val="false"/>
                <w:smallCaps w:val="false"/>
                <w:sz w:val="20"/>
              </w:rPr>
              <w:t>including</w:t>
            </w:r>
            <w:r>
              <w:rPr>
                <w:caps w:val="false"/>
                <w:smallCaps w:val="false"/>
                <w:spacing w:val="-3"/>
              </w:rPr>
              <w:t xml:space="preserve"> </w:t>
            </w:r>
            <w:r>
              <w:rPr>
                <w:rFonts w:ascii="Arial;Helvetica;sans-serif" w:hAnsi="Arial;Helvetica;sans-serif"/>
                <w:b w:val="false"/>
                <w:i w:val="false"/>
                <w:caps w:val="false"/>
                <w:smallCaps w:val="false"/>
                <w:sz w:val="20"/>
              </w:rPr>
              <w:t>participation</w:t>
            </w:r>
            <w:r>
              <w:rPr>
                <w:caps w:val="false"/>
                <w:smallCaps w:val="false"/>
                <w:spacing w:val="-3"/>
              </w:rPr>
              <w:t xml:space="preserve"> </w:t>
            </w:r>
            <w:r>
              <w:rPr>
                <w:rFonts w:ascii="Arial;Helvetica;sans-serif" w:hAnsi="Arial;Helvetica;sans-serif"/>
                <w:b w:val="false"/>
                <w:i w:val="false"/>
                <w:caps w:val="false"/>
                <w:smallCaps w:val="false"/>
                <w:sz w:val="20"/>
              </w:rPr>
              <w:t>for the Executive and his dependents in TTEC</w:t>
            </w:r>
            <w:r>
              <w:rPr>
                <w:caps w:val="false"/>
                <w:smallCaps w:val="false"/>
                <w:spacing w:val="-1"/>
              </w:rPr>
              <w:t xml:space="preserve"> </w:t>
            </w:r>
            <w:r>
              <w:rPr>
                <w:rFonts w:ascii="Arial;Helvetica;sans-serif" w:hAnsi="Arial;Helvetica;sans-serif"/>
                <w:b w:val="false"/>
                <w:i w:val="false"/>
                <w:caps w:val="false"/>
                <w:smallCaps w:val="false"/>
                <w:sz w:val="20"/>
              </w:rPr>
              <w:t>group medical, vision, and dental insurance and other welfare plans, as they continue or change from time to time.</w:t>
            </w:r>
          </w:p>
        </w:tc>
        <w:tc>
          <w:tcPr>
            <w:tcW w:w="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3"/>
        <w:gridCol w:w="185"/>
        <w:gridCol w:w="9974"/>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w:t>
            </w:r>
          </w:p>
        </w:tc>
        <w:tc>
          <w:tcPr>
            <w:tcW w:w="9974"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Miscellaneous</w:t>
            </w:r>
            <w:r>
              <w:rPr>
                <w:caps w:val="false"/>
                <w:smallCaps w:val="false"/>
                <w:spacing w:val="-4"/>
              </w:rPr>
              <w:t xml:space="preserve"> </w:t>
            </w:r>
            <w:r>
              <w:rPr>
                <w:rFonts w:ascii="Arial;Helvetica;sans-serif" w:hAnsi="Arial;Helvetica;sans-serif"/>
                <w:b/>
                <w:i w:val="false"/>
                <w:caps w:val="false"/>
                <w:smallCaps w:val="false"/>
                <w:sz w:val="20"/>
              </w:rPr>
              <w:t>Benefits.</w:t>
            </w:r>
            <w:r>
              <w:rPr>
                <w:caps w:val="false"/>
                <w:smallCaps w:val="false"/>
                <w:spacing w:val="-3"/>
              </w:rPr>
              <w:t xml:space="preserve"> </w:t>
            </w:r>
            <w:r>
              <w:rPr>
                <w:rFonts w:ascii="Arial;Helvetica;sans-serif" w:hAnsi="Arial;Helvetica;sans-serif"/>
                <w:b w:val="false"/>
                <w:i w:val="false"/>
                <w:caps w:val="false"/>
                <w:smallCaps w:val="false"/>
                <w:sz w:val="20"/>
              </w:rPr>
              <w:t>The</w:t>
            </w:r>
            <w:r>
              <w:rPr>
                <w:caps w:val="false"/>
                <w:smallCaps w:val="false"/>
                <w:spacing w:val="-4"/>
              </w:rPr>
              <w:t xml:space="preserve"> </w:t>
            </w:r>
            <w:r>
              <w:rPr>
                <w:rFonts w:ascii="Arial;Helvetica;sans-serif" w:hAnsi="Arial;Helvetica;sans-serif"/>
                <w:b w:val="false"/>
                <w:i w:val="false"/>
                <w:caps w:val="false"/>
                <w:smallCaps w:val="false"/>
                <w:sz w:val="20"/>
              </w:rPr>
              <w:t>Executive</w:t>
            </w:r>
            <w:r>
              <w:rPr>
                <w:caps w:val="false"/>
                <w:smallCaps w:val="false"/>
                <w:spacing w:val="-4"/>
              </w:rPr>
              <w:t xml:space="preserve"> </w:t>
            </w:r>
            <w:r>
              <w:rPr>
                <w:rFonts w:ascii="Arial;Helvetica;sans-serif" w:hAnsi="Arial;Helvetica;sans-serif"/>
                <w:b w:val="false"/>
                <w:i w:val="false"/>
                <w:caps w:val="false"/>
                <w:smallCaps w:val="false"/>
                <w:sz w:val="20"/>
              </w:rPr>
              <w:t>shall</w:t>
            </w:r>
            <w:r>
              <w:rPr>
                <w:caps w:val="false"/>
                <w:smallCaps w:val="false"/>
                <w:spacing w:val="-4"/>
              </w:rPr>
              <w:t xml:space="preserve"> </w:t>
            </w:r>
            <w:r>
              <w:rPr>
                <w:rFonts w:ascii="Arial;Helvetica;sans-serif" w:hAnsi="Arial;Helvetica;sans-serif"/>
                <w:b w:val="false"/>
                <w:i w:val="false"/>
                <w:caps w:val="false"/>
                <w:smallCaps w:val="false"/>
                <w:sz w:val="20"/>
              </w:rPr>
              <w:t>be</w:t>
            </w:r>
            <w:r>
              <w:rPr>
                <w:caps w:val="false"/>
                <w:smallCaps w:val="false"/>
                <w:spacing w:val="-4"/>
              </w:rPr>
              <w:t xml:space="preserve"> </w:t>
            </w:r>
            <w:r>
              <w:rPr>
                <w:rFonts w:ascii="Arial;Helvetica;sans-serif" w:hAnsi="Arial;Helvetica;sans-serif"/>
                <w:b w:val="false"/>
                <w:i w:val="false"/>
                <w:caps w:val="false"/>
                <w:smallCaps w:val="false"/>
                <w:sz w:val="20"/>
              </w:rPr>
              <w:t>eligible</w:t>
            </w:r>
            <w:r>
              <w:rPr>
                <w:caps w:val="false"/>
                <w:smallCaps w:val="false"/>
                <w:spacing w:val="-4"/>
              </w:rPr>
              <w:t xml:space="preserve"> </w:t>
            </w:r>
            <w:r>
              <w:rPr>
                <w:rFonts w:ascii="Arial;Helvetica;sans-serif" w:hAnsi="Arial;Helvetica;sans-serif"/>
                <w:b w:val="false"/>
                <w:i w:val="false"/>
                <w:caps w:val="false"/>
                <w:smallCaps w:val="false"/>
                <w:sz w:val="20"/>
              </w:rPr>
              <w:t>for</w:t>
            </w:r>
            <w:r>
              <w:rPr>
                <w:caps w:val="false"/>
                <w:smallCaps w:val="false"/>
                <w:spacing w:val="-4"/>
              </w:rPr>
              <w:t xml:space="preserve"> </w:t>
            </w:r>
            <w:r>
              <w:rPr>
                <w:rFonts w:ascii="Arial;Helvetica;sans-serif" w:hAnsi="Arial;Helvetica;sans-serif"/>
                <w:b w:val="false"/>
                <w:i w:val="false"/>
                <w:caps w:val="false"/>
                <w:smallCaps w:val="false"/>
                <w:sz w:val="20"/>
              </w:rPr>
              <w:t>benefits</w:t>
            </w:r>
            <w:r>
              <w:rPr>
                <w:caps w:val="false"/>
                <w:smallCaps w:val="false"/>
                <w:spacing w:val="-4"/>
              </w:rPr>
              <w:t xml:space="preserve"> </w:t>
            </w:r>
            <w:r>
              <w:rPr>
                <w:rFonts w:ascii="Arial;Helvetica;sans-serif" w:hAnsi="Arial;Helvetica;sans-serif"/>
                <w:b w:val="false"/>
                <w:i w:val="false"/>
                <w:caps w:val="false"/>
                <w:smallCaps w:val="false"/>
                <w:sz w:val="20"/>
              </w:rPr>
              <w:t>generally</w:t>
            </w:r>
            <w:r>
              <w:rPr>
                <w:caps w:val="false"/>
                <w:smallCaps w:val="false"/>
                <w:spacing w:val="-4"/>
              </w:rPr>
              <w:t xml:space="preserve"> </w:t>
            </w:r>
            <w:r>
              <w:rPr>
                <w:rFonts w:ascii="Arial;Helvetica;sans-serif" w:hAnsi="Arial;Helvetica;sans-serif"/>
                <w:b w:val="false"/>
                <w:i w:val="false"/>
                <w:caps w:val="false"/>
                <w:smallCaps w:val="false"/>
                <w:sz w:val="20"/>
              </w:rPr>
              <w:t>applicable</w:t>
            </w:r>
            <w:r>
              <w:rPr>
                <w:caps w:val="false"/>
                <w:smallCaps w:val="false"/>
                <w:spacing w:val="-5"/>
              </w:rPr>
              <w:t xml:space="preserve"> </w:t>
            </w:r>
            <w:r>
              <w:rPr>
                <w:rFonts w:ascii="Arial;Helvetica;sans-serif" w:hAnsi="Arial;Helvetica;sans-serif"/>
                <w:b w:val="false"/>
                <w:i w:val="false"/>
                <w:caps w:val="false"/>
                <w:smallCaps w:val="false"/>
                <w:sz w:val="20"/>
              </w:rPr>
              <w:t>to</w:t>
            </w:r>
            <w:r>
              <w:rPr>
                <w:caps w:val="false"/>
                <w:smallCaps w:val="false"/>
                <w:spacing w:val="-4"/>
              </w:rPr>
              <w:t xml:space="preserve"> </w:t>
            </w:r>
            <w:r>
              <w:rPr>
                <w:rFonts w:ascii="Arial;Helvetica;sans-serif" w:hAnsi="Arial;Helvetica;sans-serif"/>
                <w:b w:val="false"/>
                <w:i w:val="false"/>
                <w:caps w:val="false"/>
                <w:smallCaps w:val="false"/>
                <w:sz w:val="20"/>
              </w:rPr>
              <w:t>other senior management employees of the Company, as they are in effect from time to time, including the TTEC 401(k) Plan and Deferred Compensation Plan.</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0" w:right="0" w:hanging="0"/>
        <w:jc w:val="right"/>
        <w:rPr>
          <w:rFonts w:ascii="Arial;Helvetica;sans-serif" w:hAnsi="Arial;Helvetica;sans-serif"/>
          <w:sz w:val="22"/>
        </w:rPr>
      </w:pPr>
      <w:r>
        <w:rPr>
          <w:rFonts w:ascii="Arial;Helvetica;sans-serif" w:hAnsi="Arial;Helvetica;sans-serif"/>
          <w:sz w:val="22"/>
        </w:rPr>
        <w:t xml:space="preserve">Page </w:t>
      </w:r>
      <w:r>
        <w:rPr>
          <w:rFonts w:ascii="Arial;Helvetica;sans-serif" w:hAnsi="Arial;Helvetica;sans-serif"/>
          <w:b/>
          <w:sz w:val="22"/>
        </w:rPr>
        <w:t>3</w:t>
      </w:r>
      <w:r>
        <w:rPr>
          <w:rFonts w:ascii="Arial;Helvetica;sans-serif" w:hAnsi="Arial;Helvetica;sans-serif"/>
          <w:sz w:val="22"/>
        </w:rPr>
        <w:t xml:space="preserve"> of </w:t>
      </w:r>
      <w:r>
        <w:rPr>
          <w:rFonts w:ascii="Arial;Helvetica;sans-serif" w:hAnsi="Arial;Helvetica;sans-serif"/>
          <w:b/>
          <w:sz w:val="22"/>
        </w:rPr>
        <w:t>15</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5"/>
        <w:gridCol w:w="9974"/>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w:t>
            </w:r>
          </w:p>
        </w:tc>
        <w:tc>
          <w:tcPr>
            <w:tcW w:w="9974"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Paid</w:t>
            </w:r>
            <w:r>
              <w:rPr>
                <w:caps w:val="false"/>
                <w:smallCaps w:val="false"/>
                <w:spacing w:val="-4"/>
              </w:rPr>
              <w:t xml:space="preserve"> </w:t>
            </w:r>
            <w:r>
              <w:rPr>
                <w:rFonts w:ascii="Arial;Helvetica;sans-serif" w:hAnsi="Arial;Helvetica;sans-serif"/>
                <w:b/>
                <w:i w:val="false"/>
                <w:caps w:val="false"/>
                <w:smallCaps w:val="false"/>
                <w:sz w:val="20"/>
              </w:rPr>
              <w:t>Leave.</w:t>
            </w:r>
            <w:r>
              <w:rPr>
                <w:caps w:val="false"/>
                <w:smallCaps w:val="false"/>
                <w:spacing w:val="-3"/>
              </w:rPr>
              <w:t xml:space="preserve"> </w:t>
            </w:r>
            <w:r>
              <w:rPr>
                <w:rFonts w:ascii="Arial;Helvetica;sans-serif" w:hAnsi="Arial;Helvetica;sans-serif"/>
                <w:b w:val="false"/>
                <w:i w:val="false"/>
                <w:caps w:val="false"/>
                <w:smallCaps w:val="false"/>
                <w:sz w:val="20"/>
              </w:rPr>
              <w:t>The</w:t>
            </w:r>
            <w:r>
              <w:rPr>
                <w:caps w:val="false"/>
                <w:smallCaps w:val="false"/>
                <w:spacing w:val="-3"/>
              </w:rPr>
              <w:t xml:space="preserve"> </w:t>
            </w:r>
            <w:r>
              <w:rPr>
                <w:rFonts w:ascii="Arial;Helvetica;sans-serif" w:hAnsi="Arial;Helvetica;sans-serif"/>
                <w:b w:val="false"/>
                <w:i w:val="false"/>
                <w:caps w:val="false"/>
                <w:smallCaps w:val="false"/>
                <w:sz w:val="20"/>
              </w:rPr>
              <w:t>Executive</w:t>
            </w:r>
            <w:r>
              <w:rPr>
                <w:caps w:val="false"/>
                <w:smallCaps w:val="false"/>
                <w:spacing w:val="-3"/>
              </w:rPr>
              <w:t xml:space="preserve"> </w:t>
            </w:r>
            <w:r>
              <w:rPr>
                <w:rFonts w:ascii="Arial;Helvetica;sans-serif" w:hAnsi="Arial;Helvetica;sans-serif"/>
                <w:b w:val="false"/>
                <w:i w:val="false"/>
                <w:caps w:val="false"/>
                <w:smallCaps w:val="false"/>
                <w:sz w:val="20"/>
              </w:rPr>
              <w:t>shall</w:t>
            </w:r>
            <w:r>
              <w:rPr>
                <w:caps w:val="false"/>
                <w:smallCaps w:val="false"/>
                <w:spacing w:val="-3"/>
              </w:rPr>
              <w:t xml:space="preserve"> </w:t>
            </w:r>
            <w:r>
              <w:rPr>
                <w:rFonts w:ascii="Arial;Helvetica;sans-serif" w:hAnsi="Arial;Helvetica;sans-serif"/>
                <w:b w:val="false"/>
                <w:i w:val="false"/>
                <w:caps w:val="false"/>
                <w:smallCaps w:val="false"/>
                <w:sz w:val="20"/>
              </w:rPr>
              <w:t>be</w:t>
            </w:r>
            <w:r>
              <w:rPr>
                <w:caps w:val="false"/>
                <w:smallCaps w:val="false"/>
                <w:spacing w:val="-3"/>
              </w:rPr>
              <w:t xml:space="preserve"> </w:t>
            </w:r>
            <w:r>
              <w:rPr>
                <w:rFonts w:ascii="Arial;Helvetica;sans-serif" w:hAnsi="Arial;Helvetica;sans-serif"/>
                <w:b w:val="false"/>
                <w:i w:val="false"/>
                <w:caps w:val="false"/>
                <w:smallCaps w:val="false"/>
                <w:sz w:val="20"/>
              </w:rPr>
              <w:t>eligible</w:t>
            </w:r>
            <w:r>
              <w:rPr>
                <w:caps w:val="false"/>
                <w:smallCaps w:val="false"/>
                <w:spacing w:val="-3"/>
              </w:rPr>
              <w:t xml:space="preserve"> </w:t>
            </w:r>
            <w:r>
              <w:rPr>
                <w:rFonts w:ascii="Arial;Helvetica;sans-serif" w:hAnsi="Arial;Helvetica;sans-serif"/>
                <w:b w:val="false"/>
                <w:i w:val="false"/>
                <w:caps w:val="false"/>
                <w:smallCaps w:val="false"/>
                <w:sz w:val="20"/>
              </w:rPr>
              <w:t>to</w:t>
            </w:r>
            <w:r>
              <w:rPr>
                <w:caps w:val="false"/>
                <w:smallCaps w:val="false"/>
                <w:spacing w:val="-3"/>
              </w:rPr>
              <w:t xml:space="preserve"> </w:t>
            </w:r>
            <w:r>
              <w:rPr>
                <w:rFonts w:ascii="Arial;Helvetica;sans-serif" w:hAnsi="Arial;Helvetica;sans-serif"/>
                <w:b w:val="false"/>
                <w:i w:val="false"/>
                <w:caps w:val="false"/>
                <w:smallCaps w:val="false"/>
                <w:sz w:val="20"/>
              </w:rPr>
              <w:t>participate</w:t>
            </w:r>
            <w:r>
              <w:rPr>
                <w:caps w:val="false"/>
                <w:smallCaps w:val="false"/>
                <w:spacing w:val="-3"/>
              </w:rPr>
              <w:t xml:space="preserve"> </w:t>
            </w:r>
            <w:r>
              <w:rPr>
                <w:rFonts w:ascii="Arial;Helvetica;sans-serif" w:hAnsi="Arial;Helvetica;sans-serif"/>
                <w:b w:val="false"/>
                <w:i w:val="false"/>
                <w:caps w:val="false"/>
                <w:smallCaps w:val="false"/>
                <w:sz w:val="20"/>
              </w:rPr>
              <w:t>in</w:t>
            </w:r>
            <w:r>
              <w:rPr>
                <w:caps w:val="false"/>
                <w:smallCaps w:val="false"/>
                <w:spacing w:val="-3"/>
              </w:rPr>
              <w:t xml:space="preserve"> </w:t>
            </w:r>
            <w:r>
              <w:rPr>
                <w:rFonts w:ascii="Arial;Helvetica;sans-serif" w:hAnsi="Arial;Helvetica;sans-serif"/>
                <w:b w:val="false"/>
                <w:i w:val="false"/>
                <w:caps w:val="false"/>
                <w:smallCaps w:val="false"/>
                <w:sz w:val="20"/>
              </w:rPr>
              <w:t>paid</w:t>
            </w:r>
            <w:r>
              <w:rPr>
                <w:caps w:val="false"/>
                <w:smallCaps w:val="false"/>
                <w:spacing w:val="-3"/>
              </w:rPr>
              <w:t xml:space="preserve"> </w:t>
            </w:r>
            <w:r>
              <w:rPr>
                <w:rFonts w:ascii="Arial;Helvetica;sans-serif" w:hAnsi="Arial;Helvetica;sans-serif"/>
                <w:b w:val="false"/>
                <w:i w:val="false"/>
                <w:caps w:val="false"/>
                <w:smallCaps w:val="false"/>
                <w:sz w:val="20"/>
              </w:rPr>
              <w:t>time</w:t>
            </w:r>
            <w:r>
              <w:rPr>
                <w:caps w:val="false"/>
                <w:smallCaps w:val="false"/>
                <w:spacing w:val="-3"/>
              </w:rPr>
              <w:t xml:space="preserve"> </w:t>
            </w:r>
            <w:r>
              <w:rPr>
                <w:rFonts w:ascii="Arial;Helvetica;sans-serif" w:hAnsi="Arial;Helvetica;sans-serif"/>
                <w:b w:val="false"/>
                <w:i w:val="false"/>
                <w:caps w:val="false"/>
                <w:smallCaps w:val="false"/>
                <w:sz w:val="20"/>
              </w:rPr>
              <w:t>off</w:t>
            </w:r>
            <w:r>
              <w:rPr>
                <w:caps w:val="false"/>
                <w:smallCaps w:val="false"/>
                <w:spacing w:val="-3"/>
              </w:rPr>
              <w:t xml:space="preserve"> </w:t>
            </w:r>
            <w:r>
              <w:rPr>
                <w:rFonts w:ascii="Arial;Helvetica;sans-serif" w:hAnsi="Arial;Helvetica;sans-serif"/>
                <w:b w:val="false"/>
                <w:i w:val="false"/>
                <w:caps w:val="false"/>
                <w:smallCaps w:val="false"/>
                <w:sz w:val="20"/>
              </w:rPr>
              <w:t>("PTO")</w:t>
            </w:r>
            <w:r>
              <w:rPr>
                <w:caps w:val="false"/>
                <w:smallCaps w:val="false"/>
                <w:spacing w:val="-3"/>
              </w:rPr>
              <w:t xml:space="preserve"> </w:t>
            </w:r>
            <w:r>
              <w:rPr>
                <w:rFonts w:ascii="Arial;Helvetica;sans-serif" w:hAnsi="Arial;Helvetica;sans-serif"/>
                <w:b w:val="false"/>
                <w:i w:val="false"/>
                <w:caps w:val="false"/>
                <w:smallCaps w:val="false"/>
                <w:sz w:val="20"/>
              </w:rPr>
              <w:t>and</w:t>
            </w:r>
            <w:r>
              <w:rPr>
                <w:caps w:val="false"/>
                <w:smallCaps w:val="false"/>
                <w:spacing w:val="-3"/>
              </w:rPr>
              <w:t xml:space="preserve"> </w:t>
            </w:r>
            <w:r>
              <w:rPr>
                <w:rFonts w:ascii="Arial;Helvetica;sans-serif" w:hAnsi="Arial;Helvetica;sans-serif"/>
                <w:b w:val="false"/>
                <w:i w:val="false"/>
                <w:caps w:val="false"/>
                <w:smallCaps w:val="false"/>
                <w:sz w:val="20"/>
              </w:rPr>
              <w:t>sick</w:t>
            </w:r>
            <w:r>
              <w:rPr>
                <w:caps w:val="false"/>
                <w:smallCaps w:val="false"/>
                <w:spacing w:val="-3"/>
              </w:rPr>
              <w:t xml:space="preserve"> </w:t>
            </w:r>
            <w:r>
              <w:rPr>
                <w:rFonts w:ascii="Arial;Helvetica;sans-serif" w:hAnsi="Arial;Helvetica;sans-serif"/>
                <w:b w:val="false"/>
                <w:i w:val="false"/>
                <w:caps w:val="false"/>
                <w:smallCaps w:val="false"/>
                <w:sz w:val="20"/>
              </w:rPr>
              <w:t>leave benefit programs pursuant to the Company's current time off/leave policy (or any other vacation/sick policy then in effect). The Executive will also be paid for time off for holidays in accordance with the TTEC holiday policy.</w:t>
            </w:r>
          </w:p>
        </w:tc>
        <w:tc>
          <w:tcPr>
            <w:tcW w:w="23" w:type="dxa"/>
            <w:tcBorders/>
            <w:vAlign w:val="center"/>
          </w:tcPr>
          <w:p>
            <w:pPr>
              <w:pStyle w:val="TableContents"/>
              <w:bidi w:val="0"/>
              <w:spacing w:before="0" w:after="283"/>
              <w:jc w:val="left"/>
              <w:rPr>
                <w:sz w:val="4"/>
                <w:szCs w:val="4"/>
              </w:rPr>
            </w:pPr>
            <w:r>
              <w:rPr>
                <w:sz w:val="4"/>
                <w:szCs w:val="4"/>
              </w:rPr>
            </w:r>
          </w:p>
        </w:tc>
      </w:tr>
    </w:tbl>
    <w:tbl>
      <w:tblPr>
        <w:tblW w:w="6933" w:type="dxa"/>
        <w:jc w:val="left"/>
        <w:tblInd w:w="0" w:type="dxa"/>
        <w:tblLayout w:type="fixed"/>
        <w:tblCellMar>
          <w:top w:w="0" w:type="dxa"/>
          <w:left w:w="0" w:type="dxa"/>
          <w:bottom w:w="0" w:type="dxa"/>
          <w:right w:w="0" w:type="dxa"/>
        </w:tblCellMar>
      </w:tblPr>
      <w:tblGrid>
        <w:gridCol w:w="200"/>
        <w:gridCol w:w="6733"/>
      </w:tblGrid>
      <w:tr>
        <w:trPr/>
        <w:tc>
          <w:tcPr>
            <w:tcW w:w="200" w:type="dxa"/>
            <w:tcBorders/>
            <w:vAlign w:val="center"/>
          </w:tcPr>
          <w:p>
            <w:pPr>
              <w:pStyle w:val="TableContents"/>
              <w:bidi w:val="0"/>
              <w:spacing w:before="0" w:after="283"/>
              <w:jc w:val="left"/>
              <w:rPr>
                <w:rFonts w:ascii="Arial;Helvetica;sans-serif" w:hAnsi="Arial;Helvetica;sans-serif"/>
                <w:b/>
                <w:sz w:val="22"/>
              </w:rPr>
            </w:pPr>
            <w:r>
              <w:rPr>
                <w:rFonts w:ascii="Arial;Helvetica;sans-serif" w:hAnsi="Arial;Helvetica;sans-serif"/>
                <w:b/>
                <w:sz w:val="22"/>
              </w:rPr>
              <w:t>4.</w:t>
            </w:r>
          </w:p>
        </w:tc>
        <w:tc>
          <w:tcPr>
            <w:tcW w:w="6733"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2"/>
              </w:rPr>
              <w:t>TERMINATION</w:t>
            </w:r>
            <w:r>
              <w:rPr>
                <w:caps w:val="false"/>
                <w:smallCaps w:val="false"/>
                <w:spacing w:val="-7"/>
              </w:rPr>
              <w:t xml:space="preserve"> </w:t>
            </w:r>
            <w:r>
              <w:rPr>
                <w:rFonts w:ascii="Arial;Helvetica;sans-serif" w:hAnsi="Arial;Helvetica;sans-serif"/>
                <w:b/>
                <w:i w:val="false"/>
                <w:caps w:val="false"/>
                <w:smallCaps w:val="false"/>
                <w:sz w:val="22"/>
              </w:rPr>
              <w:t>AND</w:t>
            </w:r>
            <w:r>
              <w:rPr>
                <w:caps w:val="false"/>
                <w:smallCaps w:val="false"/>
                <w:spacing w:val="-7"/>
              </w:rPr>
              <w:t xml:space="preserve"> </w:t>
            </w:r>
            <w:r>
              <w:rPr>
                <w:rFonts w:ascii="Arial;Helvetica;sans-serif" w:hAnsi="Arial;Helvetica;sans-serif"/>
                <w:b/>
                <w:i w:val="false"/>
                <w:caps w:val="false"/>
                <w:smallCaps w:val="false"/>
                <w:sz w:val="22"/>
              </w:rPr>
              <w:t>PAYMENTS,</w:t>
            </w:r>
            <w:r>
              <w:rPr>
                <w:caps w:val="false"/>
                <w:smallCaps w:val="false"/>
                <w:spacing w:val="-6"/>
              </w:rPr>
              <w:t xml:space="preserve"> </w:t>
            </w:r>
            <w:r>
              <w:rPr>
                <w:rFonts w:ascii="Arial;Helvetica;sans-serif" w:hAnsi="Arial;Helvetica;sans-serif"/>
                <w:b/>
                <w:i w:val="false"/>
                <w:caps w:val="false"/>
                <w:smallCaps w:val="false"/>
                <w:sz w:val="22"/>
              </w:rPr>
              <w:t>BENEFITS</w:t>
            </w:r>
            <w:r>
              <w:rPr>
                <w:caps w:val="false"/>
                <w:smallCaps w:val="false"/>
                <w:spacing w:val="-7"/>
              </w:rPr>
              <w:t xml:space="preserve"> </w:t>
            </w:r>
            <w:r>
              <w:rPr>
                <w:rFonts w:ascii="Arial;Helvetica;sans-serif" w:hAnsi="Arial;Helvetica;sans-serif"/>
                <w:b/>
                <w:i w:val="false"/>
                <w:caps w:val="false"/>
                <w:smallCaps w:val="false"/>
                <w:sz w:val="22"/>
              </w:rPr>
              <w:t>ON</w:t>
            </w:r>
            <w:r>
              <w:rPr>
                <w:caps w:val="false"/>
                <w:smallCaps w:val="false"/>
                <w:spacing w:val="-6"/>
              </w:rPr>
              <w:t xml:space="preserve"> </w:t>
            </w:r>
            <w:r>
              <w:rPr>
                <w:rFonts w:ascii="Arial;Helvetica;sans-serif" w:hAnsi="Arial;Helvetica;sans-serif"/>
                <w:b/>
                <w:i w:val="false"/>
                <w:caps w:val="false"/>
                <w:smallCaps w:val="false"/>
                <w:spacing w:val="-2"/>
                <w:sz w:val="22"/>
              </w:rPr>
              <w:t>TERMINATION.</w:t>
            </w:r>
          </w:p>
        </w:tc>
      </w:tr>
    </w:tbl>
    <w:p>
      <w:pPr>
        <w:pStyle w:val="TextBody"/>
        <w:bidi w:val="0"/>
        <w:spacing w:lineRule="auto" w:line="285"/>
        <w:ind w:left="360" w:right="459" w:hanging="0"/>
        <w:jc w:val="left"/>
        <w:rPr>
          <w:rFonts w:ascii="Aptos" w:hAnsi="Aptos"/>
          <w:sz w:val="24"/>
        </w:rPr>
      </w:pPr>
      <w:r>
        <w:rPr>
          <w:rFonts w:ascii="Arial;Helvetica;sans-serif" w:hAnsi="Arial;Helvetica;sans-serif"/>
          <w:sz w:val="20"/>
        </w:rPr>
        <w:t>a.</w:t>
      </w:r>
      <w:r>
        <w:rPr>
          <w:rFonts w:ascii="Arial;Helvetica;sans-serif" w:hAnsi="Arial;Helvetica;sans-serif"/>
          <w:b/>
          <w:sz w:val="20"/>
        </w:rPr>
        <w:t>Termination</w:t>
      </w:r>
      <w:r>
        <w:rPr>
          <w:rFonts w:ascii="Aptos" w:hAnsi="Aptos"/>
          <w:spacing w:val="-1"/>
          <w:sz w:val="24"/>
        </w:rPr>
        <w:t xml:space="preserve"> </w:t>
      </w:r>
      <w:r>
        <w:rPr>
          <w:rFonts w:ascii="Arial;Helvetica;sans-serif" w:hAnsi="Arial;Helvetica;sans-serif"/>
          <w:b/>
          <w:sz w:val="20"/>
        </w:rPr>
        <w:t>by</w:t>
      </w:r>
      <w:r>
        <w:rPr>
          <w:rFonts w:ascii="Aptos" w:hAnsi="Aptos"/>
          <w:spacing w:val="-1"/>
          <w:sz w:val="24"/>
        </w:rPr>
        <w:t xml:space="preserve"> </w:t>
      </w:r>
      <w:r>
        <w:rPr>
          <w:rFonts w:ascii="Arial;Helvetica;sans-serif" w:hAnsi="Arial;Helvetica;sans-serif"/>
          <w:b/>
          <w:sz w:val="20"/>
        </w:rPr>
        <w:t>the</w:t>
      </w:r>
      <w:r>
        <w:rPr>
          <w:rFonts w:ascii="Aptos" w:hAnsi="Aptos"/>
          <w:spacing w:val="-1"/>
          <w:sz w:val="24"/>
        </w:rPr>
        <w:t xml:space="preserve"> </w:t>
      </w:r>
      <w:r>
        <w:rPr>
          <w:rFonts w:ascii="Arial;Helvetica;sans-serif" w:hAnsi="Arial;Helvetica;sans-serif"/>
          <w:b/>
          <w:sz w:val="20"/>
        </w:rPr>
        <w:t>Executive.</w:t>
      </w:r>
      <w:r>
        <w:rPr>
          <w:rFonts w:ascii="Aptos" w:hAnsi="Aptos"/>
          <w:spacing w:val="-1"/>
          <w:sz w:val="24"/>
        </w:rPr>
        <w:t xml:space="preserve"> </w:t>
      </w:r>
      <w:r>
        <w:rPr>
          <w:rFonts w:ascii="Arial;Helvetica;sans-serif" w:hAnsi="Arial;Helvetica;sans-serif"/>
          <w:sz w:val="20"/>
        </w:rPr>
        <w:t>The</w:t>
      </w:r>
      <w:r>
        <w:rPr>
          <w:rFonts w:ascii="Aptos" w:hAnsi="Aptos"/>
          <w:spacing w:val="-1"/>
          <w:sz w:val="24"/>
        </w:rPr>
        <w:t xml:space="preserve"> </w:t>
      </w:r>
      <w:r>
        <w:rPr>
          <w:rFonts w:ascii="Arial;Helvetica;sans-serif" w:hAnsi="Arial;Helvetica;sans-serif"/>
          <w:sz w:val="20"/>
        </w:rPr>
        <w:t>Executive</w:t>
      </w:r>
      <w:r>
        <w:rPr>
          <w:rFonts w:ascii="Aptos" w:hAnsi="Aptos"/>
          <w:spacing w:val="-1"/>
          <w:sz w:val="24"/>
        </w:rPr>
        <w:t xml:space="preserve"> </w:t>
      </w:r>
      <w:r>
        <w:rPr>
          <w:rFonts w:ascii="Arial;Helvetica;sans-serif" w:hAnsi="Arial;Helvetica;sans-serif"/>
          <w:sz w:val="20"/>
        </w:rPr>
        <w:t>may</w:t>
      </w:r>
      <w:r>
        <w:rPr>
          <w:rFonts w:ascii="Aptos" w:hAnsi="Aptos"/>
          <w:spacing w:val="-1"/>
          <w:sz w:val="24"/>
        </w:rPr>
        <w:t xml:space="preserve"> </w:t>
      </w:r>
      <w:r>
        <w:rPr>
          <w:rFonts w:ascii="Arial;Helvetica;sans-serif" w:hAnsi="Arial;Helvetica;sans-serif"/>
          <w:sz w:val="20"/>
        </w:rPr>
        <w:t>terminate</w:t>
      </w:r>
      <w:r>
        <w:rPr>
          <w:rFonts w:ascii="Aptos" w:hAnsi="Aptos"/>
          <w:spacing w:val="-1"/>
          <w:sz w:val="24"/>
        </w:rPr>
        <w:t xml:space="preserve"> </w:t>
      </w:r>
      <w:r>
        <w:rPr>
          <w:rFonts w:ascii="Arial;Helvetica;sans-serif" w:hAnsi="Arial;Helvetica;sans-serif"/>
          <w:sz w:val="20"/>
        </w:rPr>
        <w:t>his</w:t>
      </w:r>
      <w:r>
        <w:rPr>
          <w:rFonts w:ascii="Aptos" w:hAnsi="Aptos"/>
          <w:spacing w:val="-1"/>
          <w:sz w:val="24"/>
        </w:rPr>
        <w:t xml:space="preserve"> </w:t>
      </w:r>
      <w:r>
        <w:rPr>
          <w:rFonts w:ascii="Arial;Helvetica;sans-serif" w:hAnsi="Arial;Helvetica;sans-serif"/>
          <w:sz w:val="20"/>
        </w:rPr>
        <w:t>employment</w:t>
      </w:r>
      <w:r>
        <w:rPr>
          <w:rFonts w:ascii="Aptos" w:hAnsi="Aptos"/>
          <w:spacing w:val="-1"/>
          <w:sz w:val="24"/>
        </w:rPr>
        <w:t xml:space="preserve"> </w:t>
      </w:r>
      <w:r>
        <w:rPr>
          <w:rFonts w:ascii="Arial;Helvetica;sans-serif" w:hAnsi="Arial;Helvetica;sans-serif"/>
          <w:sz w:val="20"/>
        </w:rPr>
        <w:t>with</w:t>
      </w:r>
      <w:r>
        <w:rPr>
          <w:rFonts w:ascii="Aptos" w:hAnsi="Aptos"/>
          <w:spacing w:val="-1"/>
          <w:sz w:val="24"/>
        </w:rPr>
        <w:t xml:space="preserve"> </w:t>
      </w:r>
      <w:r>
        <w:rPr>
          <w:rFonts w:ascii="Arial;Helvetica;sans-serif" w:hAnsi="Arial;Helvetica;sans-serif"/>
          <w:sz w:val="20"/>
        </w:rPr>
        <w:t>the</w:t>
      </w:r>
      <w:r>
        <w:rPr>
          <w:rFonts w:ascii="Aptos" w:hAnsi="Aptos"/>
          <w:spacing w:val="-1"/>
          <w:sz w:val="24"/>
        </w:rPr>
        <w:t xml:space="preserve"> </w:t>
      </w:r>
      <w:r>
        <w:rPr>
          <w:rFonts w:ascii="Arial;Helvetica;sans-serif" w:hAnsi="Arial;Helvetica;sans-serif"/>
          <w:sz w:val="20"/>
        </w:rPr>
        <w:t>Company with 120 days written notice of his intention. The parties may mutually agree to a different separation date, including a shorter notice period. If the Executive terminates this Agreement for any</w:t>
      </w:r>
      <w:r>
        <w:rPr>
          <w:rFonts w:ascii="Aptos" w:hAnsi="Aptos"/>
          <w:spacing w:val="-3"/>
          <w:sz w:val="24"/>
        </w:rPr>
        <w:t xml:space="preserve"> </w:t>
      </w:r>
      <w:r>
        <w:rPr>
          <w:rFonts w:ascii="Arial;Helvetica;sans-serif" w:hAnsi="Arial;Helvetica;sans-serif"/>
          <w:sz w:val="20"/>
        </w:rPr>
        <w:t>reason</w:t>
      </w:r>
      <w:r>
        <w:rPr>
          <w:rFonts w:ascii="Aptos" w:hAnsi="Aptos"/>
          <w:spacing w:val="-3"/>
          <w:sz w:val="24"/>
        </w:rPr>
        <w:t xml:space="preserve"> </w:t>
      </w:r>
      <w:r>
        <w:rPr>
          <w:rFonts w:ascii="Arial;Helvetica;sans-serif" w:hAnsi="Arial;Helvetica;sans-serif"/>
          <w:sz w:val="20"/>
        </w:rPr>
        <w:t>(except</w:t>
      </w:r>
      <w:r>
        <w:rPr>
          <w:rFonts w:ascii="Aptos" w:hAnsi="Aptos"/>
          <w:spacing w:val="-3"/>
          <w:sz w:val="24"/>
        </w:rPr>
        <w:t xml:space="preserve"> </w:t>
      </w:r>
      <w:r>
        <w:rPr>
          <w:rFonts w:ascii="Arial;Helvetica;sans-serif" w:hAnsi="Arial;Helvetica;sans-serif"/>
          <w:sz w:val="20"/>
        </w:rPr>
        <w:t>for</w:t>
      </w:r>
      <w:r>
        <w:rPr>
          <w:rFonts w:ascii="Aptos" w:hAnsi="Aptos"/>
          <w:spacing w:val="-3"/>
          <w:sz w:val="24"/>
        </w:rPr>
        <w:t xml:space="preserve"> </w:t>
      </w:r>
      <w:r>
        <w:rPr>
          <w:rFonts w:ascii="Arial;Helvetica;sans-serif" w:hAnsi="Arial;Helvetica;sans-serif"/>
          <w:sz w:val="20"/>
        </w:rPr>
        <w:t>a</w:t>
      </w:r>
      <w:r>
        <w:rPr>
          <w:rFonts w:ascii="Aptos" w:hAnsi="Aptos"/>
          <w:spacing w:val="-3"/>
          <w:sz w:val="24"/>
        </w:rPr>
        <w:t xml:space="preserve"> </w:t>
      </w:r>
      <w:r>
        <w:rPr>
          <w:rFonts w:ascii="Arial;Helvetica;sans-serif" w:hAnsi="Arial;Helvetica;sans-serif"/>
          <w:sz w:val="20"/>
        </w:rPr>
        <w:t>Good</w:t>
      </w:r>
      <w:r>
        <w:rPr>
          <w:rFonts w:ascii="Aptos" w:hAnsi="Aptos"/>
          <w:spacing w:val="-3"/>
          <w:sz w:val="24"/>
        </w:rPr>
        <w:t xml:space="preserve"> </w:t>
      </w:r>
      <w:r>
        <w:rPr>
          <w:rFonts w:ascii="Arial;Helvetica;sans-serif" w:hAnsi="Arial;Helvetica;sans-serif"/>
          <w:sz w:val="20"/>
        </w:rPr>
        <w:t>Reason</w:t>
      </w:r>
      <w:r>
        <w:rPr>
          <w:rFonts w:ascii="Aptos" w:hAnsi="Aptos"/>
          <w:spacing w:val="-3"/>
          <w:sz w:val="24"/>
        </w:rPr>
        <w:t xml:space="preserve"> </w:t>
      </w:r>
      <w:r>
        <w:rPr>
          <w:rFonts w:ascii="Arial;Helvetica;sans-serif" w:hAnsi="Arial;Helvetica;sans-serif"/>
          <w:sz w:val="20"/>
        </w:rPr>
        <w:t>as</w:t>
      </w:r>
      <w:r>
        <w:rPr>
          <w:rFonts w:ascii="Aptos" w:hAnsi="Aptos"/>
          <w:spacing w:val="-3"/>
          <w:sz w:val="24"/>
        </w:rPr>
        <w:t xml:space="preserve"> </w:t>
      </w:r>
      <w:r>
        <w:rPr>
          <w:rFonts w:ascii="Arial;Helvetica;sans-serif" w:hAnsi="Arial;Helvetica;sans-serif"/>
          <w:sz w:val="20"/>
        </w:rPr>
        <w:t>that</w:t>
      </w:r>
      <w:r>
        <w:rPr>
          <w:rFonts w:ascii="Aptos" w:hAnsi="Aptos"/>
          <w:spacing w:val="-3"/>
          <w:sz w:val="24"/>
        </w:rPr>
        <w:t xml:space="preserve"> </w:t>
      </w:r>
      <w:r>
        <w:rPr>
          <w:rFonts w:ascii="Arial;Helvetica;sans-serif" w:hAnsi="Arial;Helvetica;sans-serif"/>
          <w:sz w:val="20"/>
        </w:rPr>
        <w:t>term</w:t>
      </w:r>
      <w:r>
        <w:rPr>
          <w:rFonts w:ascii="Aptos" w:hAnsi="Aptos"/>
          <w:spacing w:val="-4"/>
          <w:sz w:val="24"/>
        </w:rPr>
        <w:t xml:space="preserve"> </w:t>
      </w:r>
      <w:r>
        <w:rPr>
          <w:rFonts w:ascii="Arial;Helvetica;sans-serif" w:hAnsi="Arial;Helvetica;sans-serif"/>
          <w:sz w:val="20"/>
        </w:rPr>
        <w:t>is</w:t>
      </w:r>
      <w:r>
        <w:rPr>
          <w:rFonts w:ascii="Aptos" w:hAnsi="Aptos"/>
          <w:spacing w:val="-3"/>
          <w:sz w:val="24"/>
        </w:rPr>
        <w:t xml:space="preserve"> </w:t>
      </w:r>
      <w:r>
        <w:rPr>
          <w:rFonts w:ascii="Arial;Helvetica;sans-serif" w:hAnsi="Arial;Helvetica;sans-serif"/>
          <w:sz w:val="20"/>
        </w:rPr>
        <w:t>defined</w:t>
      </w:r>
      <w:r>
        <w:rPr>
          <w:rFonts w:ascii="Aptos" w:hAnsi="Aptos"/>
          <w:spacing w:val="-3"/>
          <w:sz w:val="24"/>
        </w:rPr>
        <w:t xml:space="preserve"> </w:t>
      </w:r>
      <w:r>
        <w:rPr>
          <w:rFonts w:ascii="Arial;Helvetica;sans-serif" w:hAnsi="Arial;Helvetica;sans-serif"/>
          <w:sz w:val="20"/>
        </w:rPr>
        <w:t>in</w:t>
      </w:r>
      <w:r>
        <w:rPr>
          <w:rFonts w:ascii="Aptos" w:hAnsi="Aptos"/>
          <w:spacing w:val="-4"/>
          <w:sz w:val="24"/>
        </w:rPr>
        <w:t xml:space="preserve"> </w:t>
      </w:r>
      <w:r>
        <w:rPr>
          <w:rFonts w:ascii="Arial;Helvetica;sans-serif" w:hAnsi="Arial;Helvetica;sans-serif"/>
          <w:sz w:val="20"/>
        </w:rPr>
        <w:t>Section</w:t>
      </w:r>
      <w:r>
        <w:rPr>
          <w:rFonts w:ascii="Aptos" w:hAnsi="Aptos"/>
          <w:spacing w:val="-3"/>
          <w:sz w:val="24"/>
        </w:rPr>
        <w:t xml:space="preserve"> </w:t>
      </w:r>
      <w:r>
        <w:rPr>
          <w:rFonts w:ascii="Arial;Helvetica;sans-serif" w:hAnsi="Arial;Helvetica;sans-serif"/>
          <w:sz w:val="20"/>
        </w:rPr>
        <w:t>4(i)),</w:t>
      </w:r>
      <w:r>
        <w:rPr>
          <w:rFonts w:ascii="Aptos" w:hAnsi="Aptos"/>
          <w:spacing w:val="-3"/>
          <w:sz w:val="24"/>
        </w:rPr>
        <w:t xml:space="preserve"> </w:t>
      </w:r>
      <w:r>
        <w:rPr>
          <w:rFonts w:ascii="Arial;Helvetica;sans-serif" w:hAnsi="Arial;Helvetica;sans-serif"/>
          <w:sz w:val="20"/>
        </w:rPr>
        <w:t>Executive</w:t>
      </w:r>
      <w:r>
        <w:rPr>
          <w:rFonts w:ascii="Aptos" w:hAnsi="Aptos"/>
          <w:spacing w:val="-3"/>
          <w:sz w:val="24"/>
        </w:rPr>
        <w:t xml:space="preserve"> </w:t>
      </w:r>
      <w:r>
        <w:rPr>
          <w:rFonts w:ascii="Arial;Helvetica;sans-serif" w:hAnsi="Arial;Helvetica;sans-serif"/>
          <w:sz w:val="20"/>
        </w:rPr>
        <w:t>shall</w:t>
      </w:r>
      <w:r>
        <w:rPr>
          <w:rFonts w:ascii="Aptos" w:hAnsi="Aptos"/>
          <w:spacing w:val="-3"/>
          <w:sz w:val="24"/>
        </w:rPr>
        <w:t xml:space="preserve"> </w:t>
      </w:r>
      <w:r>
        <w:rPr>
          <w:rFonts w:ascii="Arial;Helvetica;sans-serif" w:hAnsi="Arial;Helvetica;sans-serif"/>
          <w:sz w:val="20"/>
        </w:rPr>
        <w:t>be entitled only to the compensation fully earned, benefits fully vested as of the last date of employment; and the reimbursement of any reasonable business expenses that the Executive incurred prior to termination.</w:t>
      </w:r>
    </w:p>
    <w:p>
      <w:pPr>
        <w:pStyle w:val="TextBody"/>
        <w:bidi w:val="0"/>
        <w:spacing w:lineRule="auto" w:line="285" w:before="200" w:after="0"/>
        <w:ind w:left="720" w:right="386" w:hanging="0"/>
        <w:jc w:val="left"/>
        <w:rPr>
          <w:rFonts w:ascii="Aptos" w:hAnsi="Aptos"/>
          <w:sz w:val="20"/>
        </w:rPr>
      </w:pPr>
      <w:r>
        <w:rPr>
          <w:rFonts w:ascii="Arial;Helvetica;sans-serif" w:hAnsi="Arial;Helvetica;sans-serif"/>
          <w:sz w:val="20"/>
        </w:rPr>
        <w:t>Except</w:t>
      </w:r>
      <w:r>
        <w:rPr>
          <w:rFonts w:ascii="Aptos" w:hAnsi="Aptos"/>
          <w:spacing w:val="-3"/>
          <w:sz w:val="20"/>
        </w:rPr>
        <w:t xml:space="preserve"> </w:t>
      </w:r>
      <w:r>
        <w:rPr>
          <w:rFonts w:ascii="Arial;Helvetica;sans-serif" w:hAnsi="Arial;Helvetica;sans-serif"/>
          <w:sz w:val="20"/>
        </w:rPr>
        <w:t>for</w:t>
      </w:r>
      <w:r>
        <w:rPr>
          <w:rFonts w:ascii="Aptos" w:hAnsi="Aptos"/>
          <w:spacing w:val="-3"/>
          <w:sz w:val="20"/>
        </w:rPr>
        <w:t xml:space="preserve"> </w:t>
      </w:r>
      <w:r>
        <w:rPr>
          <w:rFonts w:ascii="Arial;Helvetica;sans-serif" w:hAnsi="Arial;Helvetica;sans-serif"/>
          <w:sz w:val="20"/>
        </w:rPr>
        <w:t>the</w:t>
      </w:r>
      <w:r>
        <w:rPr>
          <w:rFonts w:ascii="Aptos" w:hAnsi="Aptos"/>
          <w:spacing w:val="-3"/>
          <w:sz w:val="20"/>
        </w:rPr>
        <w:t xml:space="preserve"> </w:t>
      </w:r>
      <w:r>
        <w:rPr>
          <w:rFonts w:ascii="Arial;Helvetica;sans-serif" w:hAnsi="Arial;Helvetica;sans-serif"/>
          <w:sz w:val="20"/>
        </w:rPr>
        <w:t>provisions</w:t>
      </w:r>
      <w:r>
        <w:rPr>
          <w:rFonts w:ascii="Aptos" w:hAnsi="Aptos"/>
          <w:spacing w:val="-3"/>
          <w:sz w:val="20"/>
        </w:rPr>
        <w:t xml:space="preserve"> </w:t>
      </w:r>
      <w:r>
        <w:rPr>
          <w:rFonts w:ascii="Arial;Helvetica;sans-serif" w:hAnsi="Arial;Helvetica;sans-serif"/>
          <w:sz w:val="20"/>
        </w:rPr>
        <w:t>of</w:t>
      </w:r>
      <w:r>
        <w:rPr>
          <w:rFonts w:ascii="Aptos" w:hAnsi="Aptos"/>
          <w:spacing w:val="-3"/>
          <w:sz w:val="20"/>
        </w:rPr>
        <w:t xml:space="preserve"> </w:t>
      </w:r>
      <w:r>
        <w:rPr>
          <w:rFonts w:ascii="Arial;Helvetica;sans-serif" w:hAnsi="Arial;Helvetica;sans-serif"/>
          <w:sz w:val="20"/>
        </w:rPr>
        <w:t>Section</w:t>
      </w:r>
      <w:r>
        <w:rPr>
          <w:rFonts w:ascii="Aptos" w:hAnsi="Aptos"/>
          <w:spacing w:val="-3"/>
          <w:sz w:val="20"/>
        </w:rPr>
        <w:t xml:space="preserve"> </w:t>
      </w:r>
      <w:r>
        <w:rPr>
          <w:rFonts w:ascii="Arial;Helvetica;sans-serif" w:hAnsi="Arial;Helvetica;sans-serif"/>
          <w:sz w:val="20"/>
        </w:rPr>
        <w:t>4(i)</w:t>
      </w:r>
      <w:r>
        <w:rPr>
          <w:rFonts w:ascii="Aptos" w:hAnsi="Aptos"/>
          <w:spacing w:val="-3"/>
          <w:sz w:val="20"/>
        </w:rPr>
        <w:t xml:space="preserve"> </w:t>
      </w:r>
      <w:r>
        <w:rPr>
          <w:rFonts w:ascii="Arial;Helvetica;sans-serif" w:hAnsi="Arial;Helvetica;sans-serif"/>
          <w:sz w:val="20"/>
        </w:rPr>
        <w:t>(Termination</w:t>
      </w:r>
      <w:r>
        <w:rPr>
          <w:rFonts w:ascii="Aptos" w:hAnsi="Aptos"/>
          <w:spacing w:val="-3"/>
          <w:sz w:val="20"/>
        </w:rPr>
        <w:t xml:space="preserve"> </w:t>
      </w:r>
      <w:r>
        <w:rPr>
          <w:rFonts w:ascii="Arial;Helvetica;sans-serif" w:hAnsi="Arial;Helvetica;sans-serif"/>
          <w:sz w:val="20"/>
        </w:rPr>
        <w:t>for</w:t>
      </w:r>
      <w:r>
        <w:rPr>
          <w:rFonts w:ascii="Aptos" w:hAnsi="Aptos"/>
          <w:spacing w:val="-3"/>
          <w:sz w:val="20"/>
        </w:rPr>
        <w:t xml:space="preserve"> </w:t>
      </w:r>
      <w:r>
        <w:rPr>
          <w:rFonts w:ascii="Arial;Helvetica;sans-serif" w:hAnsi="Arial;Helvetica;sans-serif"/>
          <w:sz w:val="20"/>
        </w:rPr>
        <w:t>Good</w:t>
      </w:r>
      <w:r>
        <w:rPr>
          <w:rFonts w:ascii="Aptos" w:hAnsi="Aptos"/>
          <w:spacing w:val="-3"/>
          <w:sz w:val="20"/>
        </w:rPr>
        <w:t xml:space="preserve"> </w:t>
      </w:r>
      <w:r>
        <w:rPr>
          <w:rFonts w:ascii="Arial;Helvetica;sans-serif" w:hAnsi="Arial;Helvetica;sans-serif"/>
          <w:sz w:val="20"/>
        </w:rPr>
        <w:t>Reason),</w:t>
      </w:r>
      <w:r>
        <w:rPr>
          <w:rFonts w:ascii="Aptos" w:hAnsi="Aptos"/>
          <w:spacing w:val="-3"/>
          <w:sz w:val="20"/>
        </w:rPr>
        <w:t xml:space="preserve"> </w:t>
      </w:r>
      <w:r>
        <w:rPr>
          <w:rFonts w:ascii="Arial;Helvetica;sans-serif" w:hAnsi="Arial;Helvetica;sans-serif"/>
          <w:sz w:val="20"/>
        </w:rPr>
        <w:t>Mr.</w:t>
      </w:r>
      <w:r>
        <w:rPr>
          <w:rFonts w:ascii="Aptos" w:hAnsi="Aptos"/>
          <w:spacing w:val="-3"/>
          <w:sz w:val="20"/>
        </w:rPr>
        <w:t xml:space="preserve"> </w:t>
      </w:r>
      <w:r>
        <w:rPr>
          <w:rFonts w:ascii="Arial;Helvetica;sans-serif" w:hAnsi="Arial;Helvetica;sans-serif"/>
          <w:sz w:val="20"/>
        </w:rPr>
        <w:t>Brown</w:t>
      </w:r>
      <w:r>
        <w:rPr>
          <w:rFonts w:ascii="Aptos" w:hAnsi="Aptos"/>
          <w:spacing w:val="-3"/>
          <w:sz w:val="20"/>
        </w:rPr>
        <w:t xml:space="preserve"> </w:t>
      </w:r>
      <w:r>
        <w:rPr>
          <w:rFonts w:ascii="Arial;Helvetica;sans-serif" w:hAnsi="Arial;Helvetica;sans-serif"/>
          <w:sz w:val="20"/>
        </w:rPr>
        <w:t>would</w:t>
      </w:r>
      <w:r>
        <w:rPr>
          <w:rFonts w:ascii="Aptos" w:hAnsi="Aptos"/>
          <w:spacing w:val="-3"/>
          <w:sz w:val="20"/>
        </w:rPr>
        <w:t xml:space="preserve"> </w:t>
      </w:r>
      <w:r>
        <w:rPr>
          <w:rFonts w:ascii="Arial;Helvetica;sans-serif" w:hAnsi="Arial;Helvetica;sans-serif"/>
          <w:sz w:val="20"/>
        </w:rPr>
        <w:t>not</w:t>
      </w:r>
      <w:r>
        <w:rPr>
          <w:rFonts w:ascii="Aptos" w:hAnsi="Aptos"/>
          <w:spacing w:val="-3"/>
          <w:sz w:val="20"/>
        </w:rPr>
        <w:t xml:space="preserve"> </w:t>
      </w:r>
      <w:r>
        <w:rPr>
          <w:rFonts w:ascii="Arial;Helvetica;sans-serif" w:hAnsi="Arial;Helvetica;sans-serif"/>
          <w:sz w:val="20"/>
        </w:rPr>
        <w:t>be entitled to severance compensation or continuation of benefits if he terminates his employment with the Company pursuant to this Section 4(a).</w:t>
      </w:r>
    </w:p>
    <w:p>
      <w:pPr>
        <w:pStyle w:val="TextBody"/>
        <w:bidi w:val="0"/>
        <w:spacing w:lineRule="auto" w:line="285"/>
        <w:ind w:left="360" w:right="553" w:hanging="0"/>
        <w:jc w:val="left"/>
        <w:rPr>
          <w:rFonts w:ascii="Aptos" w:hAnsi="Aptos"/>
          <w:sz w:val="24"/>
        </w:rPr>
      </w:pPr>
      <w:r>
        <w:rPr>
          <w:rFonts w:ascii="Arial;Helvetica;sans-serif" w:hAnsi="Arial;Helvetica;sans-serif"/>
          <w:sz w:val="20"/>
        </w:rPr>
        <w:t>b.</w:t>
      </w:r>
      <w:r>
        <w:rPr>
          <w:rFonts w:ascii="Arial;Helvetica;sans-serif" w:hAnsi="Arial;Helvetica;sans-serif"/>
          <w:b/>
          <w:sz w:val="20"/>
        </w:rPr>
        <w:t>Termination</w:t>
      </w:r>
      <w:r>
        <w:rPr>
          <w:rFonts w:ascii="Aptos" w:hAnsi="Aptos"/>
          <w:spacing w:val="-3"/>
          <w:sz w:val="24"/>
        </w:rPr>
        <w:t xml:space="preserve"> </w:t>
      </w:r>
      <w:r>
        <w:rPr>
          <w:rFonts w:ascii="Arial;Helvetica;sans-serif" w:hAnsi="Arial;Helvetica;sans-serif"/>
          <w:b/>
          <w:sz w:val="20"/>
        </w:rPr>
        <w:t>by</w:t>
      </w:r>
      <w:r>
        <w:rPr>
          <w:rFonts w:ascii="Aptos" w:hAnsi="Aptos"/>
          <w:spacing w:val="-3"/>
          <w:sz w:val="24"/>
        </w:rPr>
        <w:t xml:space="preserve"> </w:t>
      </w:r>
      <w:r>
        <w:rPr>
          <w:rFonts w:ascii="Arial;Helvetica;sans-serif" w:hAnsi="Arial;Helvetica;sans-serif"/>
          <w:b/>
          <w:sz w:val="20"/>
        </w:rPr>
        <w:t>the</w:t>
      </w:r>
      <w:r>
        <w:rPr>
          <w:rFonts w:ascii="Aptos" w:hAnsi="Aptos"/>
          <w:spacing w:val="-3"/>
          <w:sz w:val="24"/>
        </w:rPr>
        <w:t xml:space="preserve"> </w:t>
      </w:r>
      <w:r>
        <w:rPr>
          <w:rFonts w:ascii="Arial;Helvetica;sans-serif" w:hAnsi="Arial;Helvetica;sans-serif"/>
          <w:b/>
          <w:sz w:val="20"/>
        </w:rPr>
        <w:t>Company</w:t>
      </w:r>
      <w:r>
        <w:rPr>
          <w:rFonts w:ascii="Aptos" w:hAnsi="Aptos"/>
          <w:spacing w:val="-3"/>
          <w:sz w:val="24"/>
        </w:rPr>
        <w:t xml:space="preserve"> </w:t>
      </w:r>
      <w:r>
        <w:rPr>
          <w:rFonts w:ascii="Arial;Helvetica;sans-serif" w:hAnsi="Arial;Helvetica;sans-serif"/>
          <w:b/>
          <w:sz w:val="20"/>
        </w:rPr>
        <w:t>without</w:t>
      </w:r>
      <w:r>
        <w:rPr>
          <w:rFonts w:ascii="Aptos" w:hAnsi="Aptos"/>
          <w:spacing w:val="-3"/>
          <w:sz w:val="24"/>
        </w:rPr>
        <w:t xml:space="preserve"> </w:t>
      </w:r>
      <w:r>
        <w:rPr>
          <w:rFonts w:ascii="Arial;Helvetica;sans-serif" w:hAnsi="Arial;Helvetica;sans-serif"/>
          <w:b/>
          <w:sz w:val="20"/>
        </w:rPr>
        <w:t>Cause.</w:t>
      </w:r>
      <w:r>
        <w:rPr>
          <w:rFonts w:ascii="Aptos" w:hAnsi="Aptos"/>
          <w:spacing w:val="-3"/>
          <w:sz w:val="24"/>
        </w:rPr>
        <w:t xml:space="preserve"> </w:t>
      </w:r>
      <w:r>
        <w:rPr>
          <w:rFonts w:ascii="Arial;Helvetica;sans-serif" w:hAnsi="Arial;Helvetica;sans-serif"/>
          <w:sz w:val="20"/>
        </w:rPr>
        <w:t>Subject</w:t>
      </w:r>
      <w:r>
        <w:rPr>
          <w:rFonts w:ascii="Aptos" w:hAnsi="Aptos"/>
          <w:spacing w:val="-3"/>
          <w:sz w:val="24"/>
        </w:rPr>
        <w:t xml:space="preserve"> </w:t>
      </w:r>
      <w:r>
        <w:rPr>
          <w:rFonts w:ascii="Arial;Helvetica;sans-serif" w:hAnsi="Arial;Helvetica;sans-serif"/>
          <w:sz w:val="20"/>
        </w:rPr>
        <w:t>to</w:t>
      </w:r>
      <w:r>
        <w:rPr>
          <w:rFonts w:ascii="Aptos" w:hAnsi="Aptos"/>
          <w:spacing w:val="-3"/>
          <w:sz w:val="24"/>
        </w:rPr>
        <w:t xml:space="preserve"> </w:t>
      </w:r>
      <w:r>
        <w:rPr>
          <w:rFonts w:ascii="Arial;Helvetica;sans-serif" w:hAnsi="Arial;Helvetica;sans-serif"/>
          <w:sz w:val="20"/>
        </w:rPr>
        <w:t>provisions</w:t>
      </w:r>
      <w:r>
        <w:rPr>
          <w:rFonts w:ascii="Aptos" w:hAnsi="Aptos"/>
          <w:spacing w:val="-3"/>
          <w:sz w:val="24"/>
        </w:rPr>
        <w:t xml:space="preserve"> </w:t>
      </w:r>
      <w:r>
        <w:rPr>
          <w:rFonts w:ascii="Arial;Helvetica;sans-serif" w:hAnsi="Arial;Helvetica;sans-serif"/>
          <w:sz w:val="20"/>
        </w:rPr>
        <w:t>of</w:t>
      </w:r>
      <w:r>
        <w:rPr>
          <w:rFonts w:ascii="Aptos" w:hAnsi="Aptos"/>
          <w:spacing w:val="-3"/>
          <w:sz w:val="24"/>
        </w:rPr>
        <w:t xml:space="preserve"> </w:t>
      </w:r>
      <w:r>
        <w:rPr>
          <w:rFonts w:ascii="Arial;Helvetica;sans-serif" w:hAnsi="Arial;Helvetica;sans-serif"/>
          <w:sz w:val="20"/>
        </w:rPr>
        <w:t>Section</w:t>
      </w:r>
      <w:r>
        <w:rPr>
          <w:rFonts w:ascii="Aptos" w:hAnsi="Aptos"/>
          <w:spacing w:val="-3"/>
          <w:sz w:val="24"/>
        </w:rPr>
        <w:t xml:space="preserve"> </w:t>
      </w:r>
      <w:r>
        <w:rPr>
          <w:rFonts w:ascii="Arial;Helvetica;sans-serif" w:hAnsi="Arial;Helvetica;sans-serif"/>
          <w:sz w:val="20"/>
        </w:rPr>
        <w:t>4(h)</w:t>
      </w:r>
      <w:r>
        <w:rPr>
          <w:rFonts w:ascii="Aptos" w:hAnsi="Aptos"/>
          <w:spacing w:val="-3"/>
          <w:sz w:val="24"/>
        </w:rPr>
        <w:t xml:space="preserve"> </w:t>
      </w:r>
      <w:r>
        <w:rPr>
          <w:rFonts w:ascii="Arial;Helvetica;sans-serif" w:hAnsi="Arial;Helvetica;sans-serif"/>
          <w:sz w:val="20"/>
        </w:rPr>
        <w:t>(Change</w:t>
      </w:r>
      <w:r>
        <w:rPr>
          <w:rFonts w:ascii="Aptos" w:hAnsi="Aptos"/>
          <w:spacing w:val="-3"/>
          <w:sz w:val="24"/>
        </w:rPr>
        <w:t xml:space="preserve"> </w:t>
      </w:r>
      <w:r>
        <w:rPr>
          <w:rFonts w:ascii="Arial;Helvetica;sans-serif" w:hAnsi="Arial;Helvetica;sans-serif"/>
          <w:sz w:val="20"/>
        </w:rPr>
        <w:t>in Control termination), upon 30 days written notice, the Company, in its sole discretion, may terminate the Executive's employment as President of TTEC Digital or his employment with the Company altogether without Cause (as "Cause" is defined in Section 4(d)).</w:t>
      </w:r>
    </w:p>
    <w:p>
      <w:pPr>
        <w:pStyle w:val="TextBody"/>
        <w:bidi w:val="0"/>
        <w:spacing w:lineRule="auto" w:line="285" w:before="198" w:after="0"/>
        <w:ind w:left="720" w:right="503" w:hanging="0"/>
        <w:jc w:val="left"/>
        <w:rPr>
          <w:rFonts w:ascii="Aptos" w:hAnsi="Aptos"/>
          <w:sz w:val="20"/>
        </w:rPr>
      </w:pPr>
      <w:r>
        <w:rPr>
          <w:rFonts w:ascii="Arial;Helvetica;sans-serif" w:hAnsi="Arial;Helvetica;sans-serif"/>
          <w:sz w:val="20"/>
        </w:rPr>
        <w:t>In</w:t>
      </w:r>
      <w:r>
        <w:rPr>
          <w:rFonts w:ascii="Aptos" w:hAnsi="Aptos"/>
          <w:spacing w:val="-3"/>
          <w:sz w:val="20"/>
        </w:rPr>
        <w:t xml:space="preserve"> </w:t>
      </w:r>
      <w:r>
        <w:rPr>
          <w:rFonts w:ascii="Arial;Helvetica;sans-serif" w:hAnsi="Arial;Helvetica;sans-serif"/>
          <w:sz w:val="20"/>
        </w:rPr>
        <w:t>case</w:t>
      </w:r>
      <w:r>
        <w:rPr>
          <w:rFonts w:ascii="Aptos" w:hAnsi="Aptos"/>
          <w:spacing w:val="-3"/>
          <w:sz w:val="20"/>
        </w:rPr>
        <w:t xml:space="preserve"> </w:t>
      </w:r>
      <w:r>
        <w:rPr>
          <w:rFonts w:ascii="Arial;Helvetica;sans-serif" w:hAnsi="Arial;Helvetica;sans-serif"/>
          <w:sz w:val="20"/>
        </w:rPr>
        <w:t>of</w:t>
      </w:r>
      <w:r>
        <w:rPr>
          <w:rFonts w:ascii="Aptos" w:hAnsi="Aptos"/>
          <w:spacing w:val="-3"/>
          <w:sz w:val="20"/>
        </w:rPr>
        <w:t xml:space="preserve"> </w:t>
      </w:r>
      <w:r>
        <w:rPr>
          <w:rFonts w:ascii="Arial;Helvetica;sans-serif" w:hAnsi="Arial;Helvetica;sans-serif"/>
          <w:sz w:val="20"/>
        </w:rPr>
        <w:t>termination</w:t>
      </w:r>
      <w:r>
        <w:rPr>
          <w:rFonts w:ascii="Aptos" w:hAnsi="Aptos"/>
          <w:spacing w:val="-3"/>
          <w:sz w:val="20"/>
        </w:rPr>
        <w:t xml:space="preserve"> </w:t>
      </w:r>
      <w:r>
        <w:rPr>
          <w:rFonts w:ascii="Arial;Helvetica;sans-serif" w:hAnsi="Arial;Helvetica;sans-serif"/>
          <w:sz w:val="20"/>
        </w:rPr>
        <w:t>of</w:t>
      </w:r>
      <w:r>
        <w:rPr>
          <w:rFonts w:ascii="Aptos" w:hAnsi="Aptos"/>
          <w:spacing w:val="-3"/>
          <w:sz w:val="20"/>
        </w:rPr>
        <w:t xml:space="preserve"> </w:t>
      </w:r>
      <w:r>
        <w:rPr>
          <w:rFonts w:ascii="Arial;Helvetica;sans-serif" w:hAnsi="Arial;Helvetica;sans-serif"/>
          <w:sz w:val="20"/>
        </w:rPr>
        <w:t>employment</w:t>
      </w:r>
      <w:r>
        <w:rPr>
          <w:rFonts w:ascii="Aptos" w:hAnsi="Aptos"/>
          <w:spacing w:val="-3"/>
          <w:sz w:val="20"/>
        </w:rPr>
        <w:t xml:space="preserve"> </w:t>
      </w:r>
      <w:r>
        <w:rPr>
          <w:rFonts w:ascii="Arial;Helvetica;sans-serif" w:hAnsi="Arial;Helvetica;sans-serif"/>
          <w:sz w:val="20"/>
        </w:rPr>
        <w:t>with</w:t>
      </w:r>
      <w:r>
        <w:rPr>
          <w:rFonts w:ascii="Aptos" w:hAnsi="Aptos"/>
          <w:spacing w:val="-3"/>
          <w:sz w:val="20"/>
        </w:rPr>
        <w:t xml:space="preserve"> </w:t>
      </w:r>
      <w:r>
        <w:rPr>
          <w:rFonts w:ascii="Arial;Helvetica;sans-serif" w:hAnsi="Arial;Helvetica;sans-serif"/>
          <w:sz w:val="20"/>
        </w:rPr>
        <w:t>the</w:t>
      </w:r>
      <w:r>
        <w:rPr>
          <w:rFonts w:ascii="Aptos" w:hAnsi="Aptos"/>
          <w:spacing w:val="-3"/>
          <w:sz w:val="20"/>
        </w:rPr>
        <w:t xml:space="preserve"> </w:t>
      </w:r>
      <w:r>
        <w:rPr>
          <w:rFonts w:ascii="Arial;Helvetica;sans-serif" w:hAnsi="Arial;Helvetica;sans-serif"/>
          <w:sz w:val="20"/>
        </w:rPr>
        <w:t>Company</w:t>
      </w:r>
      <w:r>
        <w:rPr>
          <w:rFonts w:ascii="Aptos" w:hAnsi="Aptos"/>
          <w:spacing w:val="-3"/>
          <w:sz w:val="20"/>
        </w:rPr>
        <w:t xml:space="preserve"> </w:t>
      </w:r>
      <w:r>
        <w:rPr>
          <w:rFonts w:ascii="Arial;Helvetica;sans-serif" w:hAnsi="Arial;Helvetica;sans-serif"/>
          <w:sz w:val="20"/>
        </w:rPr>
        <w:t>and</w:t>
      </w:r>
      <w:r>
        <w:rPr>
          <w:rFonts w:ascii="Aptos" w:hAnsi="Aptos"/>
          <w:spacing w:val="-3"/>
          <w:sz w:val="20"/>
        </w:rPr>
        <w:t xml:space="preserve"> </w:t>
      </w:r>
      <w:r>
        <w:rPr>
          <w:rFonts w:ascii="Arial;Helvetica;sans-serif" w:hAnsi="Arial;Helvetica;sans-serif"/>
          <w:sz w:val="20"/>
        </w:rPr>
        <w:t>TTEC</w:t>
      </w:r>
      <w:r>
        <w:rPr>
          <w:rFonts w:ascii="Aptos" w:hAnsi="Aptos"/>
          <w:spacing w:val="-4"/>
          <w:sz w:val="20"/>
        </w:rPr>
        <w:t xml:space="preserve"> </w:t>
      </w:r>
      <w:r>
        <w:rPr>
          <w:rFonts w:ascii="Arial;Helvetica;sans-serif" w:hAnsi="Arial;Helvetica;sans-serif"/>
          <w:sz w:val="20"/>
        </w:rPr>
        <w:t>Parent</w:t>
      </w:r>
      <w:r>
        <w:rPr>
          <w:rFonts w:ascii="Aptos" w:hAnsi="Aptos"/>
          <w:spacing w:val="-3"/>
          <w:sz w:val="20"/>
        </w:rPr>
        <w:t xml:space="preserve"> </w:t>
      </w:r>
      <w:r>
        <w:rPr>
          <w:rFonts w:ascii="Arial;Helvetica;sans-serif" w:hAnsi="Arial;Helvetica;sans-serif"/>
          <w:sz w:val="20"/>
        </w:rPr>
        <w:t>pursuant</w:t>
      </w:r>
      <w:r>
        <w:rPr>
          <w:rFonts w:ascii="Aptos" w:hAnsi="Aptos"/>
          <w:spacing w:val="-3"/>
          <w:sz w:val="20"/>
        </w:rPr>
        <w:t xml:space="preserve"> </w:t>
      </w:r>
      <w:r>
        <w:rPr>
          <w:rFonts w:ascii="Arial;Helvetica;sans-serif" w:hAnsi="Arial;Helvetica;sans-serif"/>
          <w:sz w:val="20"/>
        </w:rPr>
        <w:t>to</w:t>
      </w:r>
      <w:r>
        <w:rPr>
          <w:rFonts w:ascii="Aptos" w:hAnsi="Aptos"/>
          <w:spacing w:val="-3"/>
          <w:sz w:val="20"/>
        </w:rPr>
        <w:t xml:space="preserve"> </w:t>
      </w:r>
      <w:r>
        <w:rPr>
          <w:rFonts w:ascii="Arial;Helvetica;sans-serif" w:hAnsi="Arial;Helvetica;sans-serif"/>
          <w:sz w:val="20"/>
        </w:rPr>
        <w:t>this Section 4(b), Mr. Brown shall be entitled to certain separation benefits as follows:</w:t>
      </w:r>
    </w:p>
    <w:p>
      <w:pPr>
        <w:pStyle w:val="TextBody"/>
        <w:bidi w:val="0"/>
        <w:spacing w:lineRule="auto" w:line="285"/>
        <w:ind w:left="720" w:right="517" w:hanging="0"/>
        <w:jc w:val="left"/>
        <w:rPr>
          <w:rFonts w:ascii="Aptos" w:hAnsi="Aptos"/>
          <w:sz w:val="24"/>
        </w:rPr>
      </w:pPr>
      <w:r>
        <w:rPr>
          <w:rFonts w:ascii="Arial;Helvetica;sans-serif" w:hAnsi="Arial;Helvetica;sans-serif"/>
          <w:sz w:val="20"/>
        </w:rPr>
        <w:t>(i)</w:t>
      </w:r>
      <w:r>
        <w:rPr>
          <w:rFonts w:ascii="Arial;Helvetica;sans-serif" w:hAnsi="Arial;Helvetica;sans-serif"/>
          <w:sz w:val="20"/>
          <w:u w:val="single"/>
        </w:rPr>
        <w:t>Severance</w:t>
      </w:r>
      <w:r>
        <w:rPr>
          <w:rFonts w:ascii="Arial;Helvetica;sans-serif" w:hAnsi="Arial;Helvetica;sans-serif"/>
          <w:b/>
          <w:sz w:val="20"/>
        </w:rPr>
        <w:t xml:space="preserve">. </w:t>
      </w:r>
      <w:r>
        <w:rPr>
          <w:rFonts w:ascii="Arial;Helvetica;sans-serif" w:hAnsi="Arial;Helvetica;sans-serif"/>
          <w:sz w:val="20"/>
        </w:rPr>
        <w:t>If Mr. Brown executes a separation agreement in a form substantially similar</w:t>
      </w:r>
      <w:r>
        <w:rPr>
          <w:rFonts w:ascii="Aptos" w:hAnsi="Aptos"/>
          <w:spacing w:val="-3"/>
          <w:sz w:val="24"/>
        </w:rPr>
        <w:t xml:space="preserve"> </w:t>
      </w:r>
      <w:r>
        <w:rPr>
          <w:rFonts w:ascii="Arial;Helvetica;sans-serif" w:hAnsi="Arial;Helvetica;sans-serif"/>
          <w:sz w:val="20"/>
        </w:rPr>
        <w:t>to</w:t>
      </w:r>
      <w:r>
        <w:rPr>
          <w:rFonts w:ascii="Aptos" w:hAnsi="Aptos"/>
          <w:spacing w:val="-3"/>
          <w:sz w:val="24"/>
        </w:rPr>
        <w:t xml:space="preserve"> </w:t>
      </w:r>
      <w:r>
        <w:rPr>
          <w:rFonts w:ascii="Arial;Helvetica;sans-serif" w:hAnsi="Arial;Helvetica;sans-serif"/>
          <w:sz w:val="20"/>
        </w:rPr>
        <w:t>the</w:t>
      </w:r>
      <w:r>
        <w:rPr>
          <w:rFonts w:ascii="Aptos" w:hAnsi="Aptos"/>
          <w:spacing w:val="-3"/>
          <w:sz w:val="24"/>
        </w:rPr>
        <w:t xml:space="preserve"> </w:t>
      </w:r>
      <w:r>
        <w:rPr>
          <w:rFonts w:ascii="Arial;Helvetica;sans-serif" w:hAnsi="Arial;Helvetica;sans-serif"/>
          <w:sz w:val="20"/>
        </w:rPr>
        <w:t>agreement</w:t>
      </w:r>
      <w:r>
        <w:rPr>
          <w:rFonts w:ascii="Aptos" w:hAnsi="Aptos"/>
          <w:spacing w:val="-3"/>
          <w:sz w:val="24"/>
        </w:rPr>
        <w:t xml:space="preserve"> </w:t>
      </w:r>
      <w:r>
        <w:rPr>
          <w:rFonts w:ascii="Arial;Helvetica;sans-serif" w:hAnsi="Arial;Helvetica;sans-serif"/>
          <w:sz w:val="20"/>
        </w:rPr>
        <w:t>set</w:t>
      </w:r>
      <w:r>
        <w:rPr>
          <w:rFonts w:ascii="Aptos" w:hAnsi="Aptos"/>
          <w:spacing w:val="-3"/>
          <w:sz w:val="24"/>
        </w:rPr>
        <w:t xml:space="preserve"> </w:t>
      </w:r>
      <w:r>
        <w:rPr>
          <w:rFonts w:ascii="Arial;Helvetica;sans-serif" w:hAnsi="Arial;Helvetica;sans-serif"/>
          <w:sz w:val="20"/>
        </w:rPr>
        <w:t>forth</w:t>
      </w:r>
      <w:r>
        <w:rPr>
          <w:rFonts w:ascii="Aptos" w:hAnsi="Aptos"/>
          <w:spacing w:val="-3"/>
          <w:sz w:val="24"/>
        </w:rPr>
        <w:t xml:space="preserve"> </w:t>
      </w:r>
      <w:r>
        <w:rPr>
          <w:rFonts w:ascii="Arial;Helvetica;sans-serif" w:hAnsi="Arial;Helvetica;sans-serif"/>
          <w:sz w:val="20"/>
        </w:rPr>
        <w:t>in</w:t>
      </w:r>
      <w:r>
        <w:rPr>
          <w:rFonts w:ascii="Aptos" w:hAnsi="Aptos"/>
          <w:spacing w:val="-5"/>
          <w:sz w:val="24"/>
        </w:rPr>
        <w:t xml:space="preserve"> </w:t>
      </w:r>
      <w:r>
        <w:rPr>
          <w:rFonts w:ascii="Arial;Helvetica;sans-serif" w:hAnsi="Arial;Helvetica;sans-serif"/>
          <w:i/>
          <w:sz w:val="20"/>
        </w:rPr>
        <w:t>Exhibit</w:t>
      </w:r>
      <w:r>
        <w:rPr>
          <w:rFonts w:ascii="Aptos" w:hAnsi="Aptos"/>
          <w:spacing w:val="-3"/>
          <w:sz w:val="24"/>
        </w:rPr>
        <w:t xml:space="preserve"> </w:t>
      </w:r>
      <w:r>
        <w:rPr>
          <w:rFonts w:ascii="Arial;Helvetica;sans-serif" w:hAnsi="Arial;Helvetica;sans-serif"/>
          <w:i/>
          <w:sz w:val="20"/>
        </w:rPr>
        <w:t>E</w:t>
      </w:r>
      <w:r>
        <w:rPr>
          <w:rFonts w:ascii="Aptos" w:hAnsi="Aptos"/>
          <w:spacing w:val="-4"/>
          <w:sz w:val="24"/>
        </w:rPr>
        <w:t xml:space="preserve"> </w:t>
      </w:r>
      <w:r>
        <w:rPr>
          <w:rFonts w:ascii="Arial;Helvetica;sans-serif" w:hAnsi="Arial;Helvetica;sans-serif"/>
          <w:sz w:val="20"/>
        </w:rPr>
        <w:t>(attached</w:t>
      </w:r>
      <w:r>
        <w:rPr>
          <w:rFonts w:ascii="Aptos" w:hAnsi="Aptos"/>
          <w:spacing w:val="-3"/>
          <w:sz w:val="24"/>
        </w:rPr>
        <w:t xml:space="preserve"> </w:t>
      </w:r>
      <w:r>
        <w:rPr>
          <w:rFonts w:ascii="Arial;Helvetica;sans-serif" w:hAnsi="Arial;Helvetica;sans-serif"/>
          <w:sz w:val="20"/>
        </w:rPr>
        <w:t>hereto),</w:t>
      </w:r>
      <w:r>
        <w:rPr>
          <w:rFonts w:ascii="Aptos" w:hAnsi="Aptos"/>
          <w:spacing w:val="-3"/>
          <w:sz w:val="24"/>
        </w:rPr>
        <w:t xml:space="preserve"> </w:t>
      </w:r>
      <w:r>
        <w:rPr>
          <w:rFonts w:ascii="Arial;Helvetica;sans-serif" w:hAnsi="Arial;Helvetica;sans-serif"/>
          <w:sz w:val="20"/>
        </w:rPr>
        <w:t>releasing</w:t>
      </w:r>
      <w:r>
        <w:rPr>
          <w:rFonts w:ascii="Aptos" w:hAnsi="Aptos"/>
          <w:spacing w:val="-3"/>
          <w:sz w:val="24"/>
        </w:rPr>
        <w:t xml:space="preserve"> </w:t>
      </w:r>
      <w:r>
        <w:rPr>
          <w:rFonts w:ascii="Arial;Helvetica;sans-serif" w:hAnsi="Arial;Helvetica;sans-serif"/>
          <w:sz w:val="20"/>
        </w:rPr>
        <w:t>all</w:t>
      </w:r>
      <w:r>
        <w:rPr>
          <w:rFonts w:ascii="Aptos" w:hAnsi="Aptos"/>
          <w:spacing w:val="-3"/>
          <w:sz w:val="24"/>
        </w:rPr>
        <w:t xml:space="preserve"> </w:t>
      </w:r>
      <w:r>
        <w:rPr>
          <w:rFonts w:ascii="Arial;Helvetica;sans-serif" w:hAnsi="Arial;Helvetica;sans-serif"/>
          <w:sz w:val="20"/>
        </w:rPr>
        <w:t>legal</w:t>
      </w:r>
      <w:r>
        <w:rPr>
          <w:rFonts w:ascii="Aptos" w:hAnsi="Aptos"/>
          <w:spacing w:val="-3"/>
          <w:sz w:val="24"/>
        </w:rPr>
        <w:t xml:space="preserve"> </w:t>
      </w:r>
      <w:r>
        <w:rPr>
          <w:rFonts w:ascii="Arial;Helvetica;sans-serif" w:hAnsi="Arial;Helvetica;sans-serif"/>
          <w:sz w:val="20"/>
        </w:rPr>
        <w:t>claims</w:t>
      </w:r>
      <w:r>
        <w:rPr>
          <w:rFonts w:ascii="Aptos" w:hAnsi="Aptos"/>
          <w:spacing w:val="-3"/>
          <w:sz w:val="24"/>
        </w:rPr>
        <w:t xml:space="preserve"> </w:t>
      </w:r>
      <w:r>
        <w:rPr>
          <w:rFonts w:ascii="Arial;Helvetica;sans-serif" w:hAnsi="Arial;Helvetica;sans-serif"/>
          <w:sz w:val="20"/>
        </w:rPr>
        <w:t>except for those that cannot legally be released and Mr. Brown continues to comply with all terms of such separation agreement, and any other agreements signed by the Executive with the Company, then the Company shall pay Mr. Brown severance compensation equal to eighteen</w:t>
      </w:r>
    </w:p>
    <w:p>
      <w:pPr>
        <w:pStyle w:val="TextBody"/>
        <w:bidi w:val="0"/>
        <w:spacing w:lineRule="auto" w:line="285" w:before="0" w:after="0"/>
        <w:ind w:left="720" w:right="341" w:hanging="0"/>
        <w:jc w:val="left"/>
        <w:rPr>
          <w:rFonts w:ascii="Aptos" w:hAnsi="Aptos"/>
          <w:sz w:val="20"/>
        </w:rPr>
      </w:pPr>
      <w:r>
        <w:rPr>
          <w:rFonts w:ascii="Arial;Helvetica;sans-serif" w:hAnsi="Arial;Helvetica;sans-serif"/>
          <w:sz w:val="20"/>
        </w:rPr>
        <w:t>(18) full calendar months of his then-current Base Salary ("Severance" or "salary continuation"). Salary continuation payments will be made at the Company's regular payroll intervals, provided, however,</w:t>
      </w:r>
      <w:r>
        <w:rPr>
          <w:rFonts w:ascii="Aptos" w:hAnsi="Aptos"/>
          <w:spacing w:val="-3"/>
          <w:sz w:val="20"/>
        </w:rPr>
        <w:t xml:space="preserve"> </w:t>
      </w:r>
      <w:r>
        <w:rPr>
          <w:rFonts w:ascii="Arial;Helvetica;sans-serif" w:hAnsi="Arial;Helvetica;sans-serif"/>
          <w:sz w:val="20"/>
        </w:rPr>
        <w:t>payments</w:t>
      </w:r>
      <w:r>
        <w:rPr>
          <w:rFonts w:ascii="Aptos" w:hAnsi="Aptos"/>
          <w:spacing w:val="-3"/>
          <w:sz w:val="20"/>
        </w:rPr>
        <w:t xml:space="preserve"> </w:t>
      </w:r>
      <w:r>
        <w:rPr>
          <w:rFonts w:ascii="Arial;Helvetica;sans-serif" w:hAnsi="Arial;Helvetica;sans-serif"/>
          <w:sz w:val="20"/>
        </w:rPr>
        <w:t>accruing</w:t>
      </w:r>
      <w:r>
        <w:rPr>
          <w:rFonts w:ascii="Aptos" w:hAnsi="Aptos"/>
          <w:spacing w:val="-3"/>
          <w:sz w:val="20"/>
        </w:rPr>
        <w:t xml:space="preserve"> </w:t>
      </w:r>
      <w:r>
        <w:rPr>
          <w:rFonts w:ascii="Arial;Helvetica;sans-serif" w:hAnsi="Arial;Helvetica;sans-serif"/>
          <w:sz w:val="20"/>
        </w:rPr>
        <w:t>for</w:t>
      </w:r>
      <w:r>
        <w:rPr>
          <w:rFonts w:ascii="Aptos" w:hAnsi="Aptos"/>
          <w:spacing w:val="-3"/>
          <w:sz w:val="20"/>
        </w:rPr>
        <w:t xml:space="preserve"> </w:t>
      </w:r>
      <w:r>
        <w:rPr>
          <w:rFonts w:ascii="Arial;Helvetica;sans-serif" w:hAnsi="Arial;Helvetica;sans-serif"/>
          <w:sz w:val="20"/>
        </w:rPr>
        <w:t>payroll</w:t>
      </w:r>
      <w:r>
        <w:rPr>
          <w:rFonts w:ascii="Aptos" w:hAnsi="Aptos"/>
          <w:spacing w:val="-3"/>
          <w:sz w:val="20"/>
        </w:rPr>
        <w:t xml:space="preserve"> </w:t>
      </w:r>
      <w:r>
        <w:rPr>
          <w:rFonts w:ascii="Arial;Helvetica;sans-serif" w:hAnsi="Arial;Helvetica;sans-serif"/>
          <w:sz w:val="20"/>
        </w:rPr>
        <w:t>periods</w:t>
      </w:r>
      <w:r>
        <w:rPr>
          <w:rFonts w:ascii="Aptos" w:hAnsi="Aptos"/>
          <w:spacing w:val="-3"/>
          <w:sz w:val="20"/>
        </w:rPr>
        <w:t xml:space="preserve"> </w:t>
      </w:r>
      <w:r>
        <w:rPr>
          <w:rFonts w:ascii="Arial;Helvetica;sans-serif" w:hAnsi="Arial;Helvetica;sans-serif"/>
          <w:sz w:val="20"/>
        </w:rPr>
        <w:t>prior</w:t>
      </w:r>
      <w:r>
        <w:rPr>
          <w:rFonts w:ascii="Aptos" w:hAnsi="Aptos"/>
          <w:spacing w:val="-3"/>
          <w:sz w:val="20"/>
        </w:rPr>
        <w:t xml:space="preserve"> </w:t>
      </w:r>
      <w:r>
        <w:rPr>
          <w:rFonts w:ascii="Arial;Helvetica;sans-serif" w:hAnsi="Arial;Helvetica;sans-serif"/>
          <w:sz w:val="20"/>
        </w:rPr>
        <w:t>to</w:t>
      </w:r>
      <w:r>
        <w:rPr>
          <w:rFonts w:ascii="Aptos" w:hAnsi="Aptos"/>
          <w:spacing w:val="-3"/>
          <w:sz w:val="20"/>
        </w:rPr>
        <w:t xml:space="preserve"> </w:t>
      </w:r>
      <w:r>
        <w:rPr>
          <w:rFonts w:ascii="Arial;Helvetica;sans-serif" w:hAnsi="Arial;Helvetica;sans-serif"/>
          <w:sz w:val="20"/>
        </w:rPr>
        <w:t>the</w:t>
      </w:r>
      <w:r>
        <w:rPr>
          <w:rFonts w:ascii="Aptos" w:hAnsi="Aptos"/>
          <w:spacing w:val="-3"/>
          <w:sz w:val="20"/>
        </w:rPr>
        <w:t xml:space="preserve"> </w:t>
      </w:r>
      <w:r>
        <w:rPr>
          <w:rFonts w:ascii="Arial;Helvetica;sans-serif" w:hAnsi="Arial;Helvetica;sans-serif"/>
          <w:sz w:val="20"/>
        </w:rPr>
        <w:t>date</w:t>
      </w:r>
      <w:r>
        <w:rPr>
          <w:rFonts w:ascii="Aptos" w:hAnsi="Aptos"/>
          <w:spacing w:val="-4"/>
          <w:sz w:val="20"/>
        </w:rPr>
        <w:t xml:space="preserve"> </w:t>
      </w:r>
      <w:r>
        <w:rPr>
          <w:rFonts w:ascii="Arial;Helvetica;sans-serif" w:hAnsi="Arial;Helvetica;sans-serif"/>
          <w:sz w:val="20"/>
        </w:rPr>
        <w:t>that</w:t>
      </w:r>
      <w:r>
        <w:rPr>
          <w:rFonts w:ascii="Aptos" w:hAnsi="Aptos"/>
          <w:spacing w:val="-3"/>
          <w:sz w:val="20"/>
        </w:rPr>
        <w:t xml:space="preserve"> </w:t>
      </w:r>
      <w:r>
        <w:rPr>
          <w:rFonts w:ascii="Arial;Helvetica;sans-serif" w:hAnsi="Arial;Helvetica;sans-serif"/>
          <w:sz w:val="20"/>
        </w:rPr>
        <w:t>the</w:t>
      </w:r>
      <w:r>
        <w:rPr>
          <w:rFonts w:ascii="Aptos" w:hAnsi="Aptos"/>
          <w:spacing w:val="-3"/>
          <w:sz w:val="20"/>
        </w:rPr>
        <w:t xml:space="preserve"> </w:t>
      </w:r>
      <w:r>
        <w:rPr>
          <w:rFonts w:ascii="Arial;Helvetica;sans-serif" w:hAnsi="Arial;Helvetica;sans-serif"/>
          <w:sz w:val="20"/>
        </w:rPr>
        <w:t>Company</w:t>
      </w:r>
      <w:r>
        <w:rPr>
          <w:rFonts w:ascii="Aptos" w:hAnsi="Aptos"/>
          <w:spacing w:val="-3"/>
          <w:sz w:val="20"/>
        </w:rPr>
        <w:t xml:space="preserve"> </w:t>
      </w:r>
      <w:r>
        <w:rPr>
          <w:rFonts w:ascii="Arial;Helvetica;sans-serif" w:hAnsi="Arial;Helvetica;sans-serif"/>
          <w:sz w:val="20"/>
        </w:rPr>
        <w:t>has</w:t>
      </w:r>
      <w:r>
        <w:rPr>
          <w:rFonts w:ascii="Aptos" w:hAnsi="Aptos"/>
          <w:spacing w:val="-3"/>
          <w:sz w:val="20"/>
        </w:rPr>
        <w:t xml:space="preserve"> </w:t>
      </w:r>
      <w:r>
        <w:rPr>
          <w:rFonts w:ascii="Arial;Helvetica;sans-serif" w:hAnsi="Arial;Helvetica;sans-serif"/>
          <w:sz w:val="20"/>
        </w:rPr>
        <w:t>received</w:t>
      </w:r>
      <w:r>
        <w:rPr>
          <w:rFonts w:ascii="Aptos" w:hAnsi="Aptos"/>
          <w:spacing w:val="-3"/>
          <w:sz w:val="20"/>
        </w:rPr>
        <w:t xml:space="preserve"> </w:t>
      </w:r>
      <w:r>
        <w:rPr>
          <w:rFonts w:ascii="Arial;Helvetica;sans-serif" w:hAnsi="Arial;Helvetica;sans-serif"/>
          <w:sz w:val="20"/>
        </w:rPr>
        <w:t>a signed and effective separation agreement and release shall be suspended and paid on the first payroll date following the effective date of the separation and release.</w:t>
      </w:r>
    </w:p>
    <w:p>
      <w:pPr>
        <w:pStyle w:val="TextBody"/>
        <w:bidi w:val="0"/>
        <w:spacing w:lineRule="auto" w:line="285" w:before="0" w:after="0"/>
        <w:ind w:left="720" w:right="359" w:hanging="0"/>
        <w:jc w:val="left"/>
        <w:rPr>
          <w:rFonts w:ascii="Aptos" w:hAnsi="Aptos"/>
          <w:sz w:val="24"/>
        </w:rPr>
      </w:pPr>
      <w:r>
        <w:rPr>
          <w:rFonts w:ascii="Arial;Helvetica;sans-serif" w:hAnsi="Arial;Helvetica;sans-serif"/>
          <w:sz w:val="20"/>
        </w:rPr>
        <w:t>(ii)</w:t>
      </w:r>
      <w:r>
        <w:rPr>
          <w:rFonts w:ascii="Arial;Helvetica;sans-serif" w:hAnsi="Arial;Helvetica;sans-serif"/>
          <w:sz w:val="20"/>
          <w:u w:val="single"/>
        </w:rPr>
        <w:t>Continuation of Benefits</w:t>
      </w:r>
      <w:r>
        <w:rPr>
          <w:rFonts w:ascii="Arial;Helvetica;sans-serif" w:hAnsi="Arial;Helvetica;sans-serif"/>
          <w:b/>
          <w:sz w:val="20"/>
        </w:rPr>
        <w:t xml:space="preserve">. </w:t>
      </w:r>
      <w:r>
        <w:rPr>
          <w:rFonts w:ascii="Arial;Helvetica;sans-serif" w:hAnsi="Arial;Helvetica;sans-serif"/>
          <w:sz w:val="20"/>
        </w:rPr>
        <w:t>In addition to Severance, the Company shall continue to provide to Executive and to the Executive's eligible dependents with the same level of welfare and health benefits, including without limitation, medical, dental, vision, accident, disability, life insurance, and other welfare benefits in place prior to termination of employment for a period of twelve (12) months after the effective date of such termination, on substantially the same terms and conditions (including contributions required by the Executive for such benefits) as existed immediately prior to termination; provided that, if Executive cannot continue to participate in the Company's, TTEC Parent's or successor's benefit plans, TTEC Parent or successor shall otherwise</w:t>
      </w:r>
      <w:r>
        <w:rPr>
          <w:rFonts w:ascii="Aptos" w:hAnsi="Aptos"/>
          <w:spacing w:val="-3"/>
          <w:sz w:val="24"/>
        </w:rPr>
        <w:t xml:space="preserve"> </w:t>
      </w:r>
      <w:r>
        <w:rPr>
          <w:rFonts w:ascii="Arial;Helvetica;sans-serif" w:hAnsi="Arial;Helvetica;sans-serif"/>
          <w:sz w:val="20"/>
        </w:rPr>
        <w:t>provide</w:t>
      </w:r>
      <w:r>
        <w:rPr>
          <w:rFonts w:ascii="Aptos" w:hAnsi="Aptos"/>
          <w:spacing w:val="-3"/>
          <w:sz w:val="24"/>
        </w:rPr>
        <w:t xml:space="preserve"> </w:t>
      </w:r>
      <w:r>
        <w:rPr>
          <w:rFonts w:ascii="Arial;Helvetica;sans-serif" w:hAnsi="Arial;Helvetica;sans-serif"/>
          <w:sz w:val="20"/>
        </w:rPr>
        <w:t>such</w:t>
      </w:r>
      <w:r>
        <w:rPr>
          <w:rFonts w:ascii="Aptos" w:hAnsi="Aptos"/>
          <w:spacing w:val="-3"/>
          <w:sz w:val="24"/>
        </w:rPr>
        <w:t xml:space="preserve"> </w:t>
      </w:r>
      <w:r>
        <w:rPr>
          <w:rFonts w:ascii="Arial;Helvetica;sans-serif" w:hAnsi="Arial;Helvetica;sans-serif"/>
          <w:sz w:val="20"/>
        </w:rPr>
        <w:t>benefits</w:t>
      </w:r>
      <w:r>
        <w:rPr>
          <w:rFonts w:ascii="Aptos" w:hAnsi="Aptos"/>
          <w:spacing w:val="-3"/>
          <w:sz w:val="24"/>
        </w:rPr>
        <w:t xml:space="preserve"> </w:t>
      </w:r>
      <w:r>
        <w:rPr>
          <w:rFonts w:ascii="Arial;Helvetica;sans-serif" w:hAnsi="Arial;Helvetica;sans-serif"/>
          <w:sz w:val="20"/>
        </w:rPr>
        <w:t>on</w:t>
      </w:r>
      <w:r>
        <w:rPr>
          <w:rFonts w:ascii="Aptos" w:hAnsi="Aptos"/>
          <w:spacing w:val="-3"/>
          <w:sz w:val="24"/>
        </w:rPr>
        <w:t xml:space="preserve"> </w:t>
      </w:r>
      <w:r>
        <w:rPr>
          <w:rFonts w:ascii="Arial;Helvetica;sans-serif" w:hAnsi="Arial;Helvetica;sans-serif"/>
          <w:sz w:val="20"/>
        </w:rPr>
        <w:t>the</w:t>
      </w:r>
      <w:r>
        <w:rPr>
          <w:rFonts w:ascii="Aptos" w:hAnsi="Aptos"/>
          <w:spacing w:val="-3"/>
          <w:sz w:val="24"/>
        </w:rPr>
        <w:t xml:space="preserve"> </w:t>
      </w:r>
      <w:r>
        <w:rPr>
          <w:rFonts w:ascii="Arial;Helvetica;sans-serif" w:hAnsi="Arial;Helvetica;sans-serif"/>
          <w:sz w:val="20"/>
        </w:rPr>
        <w:t>same</w:t>
      </w:r>
      <w:r>
        <w:rPr>
          <w:rFonts w:ascii="Aptos" w:hAnsi="Aptos"/>
          <w:spacing w:val="-3"/>
          <w:sz w:val="24"/>
        </w:rPr>
        <w:t xml:space="preserve"> </w:t>
      </w:r>
      <w:r>
        <w:rPr>
          <w:rFonts w:ascii="Arial;Helvetica;sans-serif" w:hAnsi="Arial;Helvetica;sans-serif"/>
          <w:sz w:val="20"/>
        </w:rPr>
        <w:t>after-tax</w:t>
      </w:r>
      <w:r>
        <w:rPr>
          <w:rFonts w:ascii="Aptos" w:hAnsi="Aptos"/>
          <w:spacing w:val="-3"/>
          <w:sz w:val="24"/>
        </w:rPr>
        <w:t xml:space="preserve"> </w:t>
      </w:r>
      <w:r>
        <w:rPr>
          <w:rFonts w:ascii="Arial;Helvetica;sans-serif" w:hAnsi="Arial;Helvetica;sans-serif"/>
          <w:sz w:val="20"/>
        </w:rPr>
        <w:t>basis</w:t>
      </w:r>
      <w:r>
        <w:rPr>
          <w:rFonts w:ascii="Aptos" w:hAnsi="Aptos"/>
          <w:spacing w:val="-3"/>
          <w:sz w:val="24"/>
        </w:rPr>
        <w:t xml:space="preserve"> </w:t>
      </w:r>
      <w:r>
        <w:rPr>
          <w:rFonts w:ascii="Arial;Helvetica;sans-serif" w:hAnsi="Arial;Helvetica;sans-serif"/>
          <w:sz w:val="20"/>
        </w:rPr>
        <w:t>as</w:t>
      </w:r>
      <w:r>
        <w:rPr>
          <w:rFonts w:ascii="Aptos" w:hAnsi="Aptos"/>
          <w:spacing w:val="-3"/>
          <w:sz w:val="24"/>
        </w:rPr>
        <w:t xml:space="preserve"> </w:t>
      </w:r>
      <w:r>
        <w:rPr>
          <w:rFonts w:ascii="Arial;Helvetica;sans-serif" w:hAnsi="Arial;Helvetica;sans-serif"/>
          <w:sz w:val="20"/>
        </w:rPr>
        <w:t>if</w:t>
      </w:r>
      <w:r>
        <w:rPr>
          <w:rFonts w:ascii="Aptos" w:hAnsi="Aptos"/>
          <w:spacing w:val="-3"/>
          <w:sz w:val="24"/>
        </w:rPr>
        <w:t xml:space="preserve"> </w:t>
      </w:r>
      <w:r>
        <w:rPr>
          <w:rFonts w:ascii="Arial;Helvetica;sans-serif" w:hAnsi="Arial;Helvetica;sans-serif"/>
          <w:sz w:val="20"/>
        </w:rPr>
        <w:t>continued</w:t>
      </w:r>
      <w:r>
        <w:rPr>
          <w:rFonts w:ascii="Aptos" w:hAnsi="Aptos"/>
          <w:spacing w:val="-3"/>
          <w:sz w:val="24"/>
        </w:rPr>
        <w:t xml:space="preserve"> </w:t>
      </w:r>
      <w:r>
        <w:rPr>
          <w:rFonts w:ascii="Arial;Helvetica;sans-serif" w:hAnsi="Arial;Helvetica;sans-serif"/>
          <w:sz w:val="20"/>
        </w:rPr>
        <w:t>participation</w:t>
      </w:r>
      <w:r>
        <w:rPr>
          <w:rFonts w:ascii="Aptos" w:hAnsi="Aptos"/>
          <w:spacing w:val="-3"/>
          <w:sz w:val="24"/>
        </w:rPr>
        <w:t xml:space="preserve"> </w:t>
      </w:r>
      <w:r>
        <w:rPr>
          <w:rFonts w:ascii="Arial;Helvetica;sans-serif" w:hAnsi="Arial;Helvetica;sans-serif"/>
          <w:sz w:val="20"/>
        </w:rPr>
        <w:t>had</w:t>
      </w:r>
      <w:r>
        <w:rPr>
          <w:rFonts w:ascii="Aptos" w:hAnsi="Aptos"/>
          <w:spacing w:val="-3"/>
          <w:sz w:val="24"/>
        </w:rPr>
        <w:t xml:space="preserve"> </w:t>
      </w:r>
      <w:r>
        <w:rPr>
          <w:rFonts w:ascii="Arial;Helvetica;sans-serif" w:hAnsi="Arial;Helvetica;sans-serif"/>
          <w:sz w:val="20"/>
        </w:rPr>
        <w:t xml:space="preserve">been </w:t>
      </w:r>
      <w:r>
        <w:rPr>
          <w:rFonts w:ascii="Arial;Helvetica;sans-serif" w:hAnsi="Arial;Helvetica;sans-serif"/>
          <w:spacing w:val="-2"/>
          <w:sz w:val="20"/>
        </w:rPr>
        <w:t>permitted.</w:t>
      </w:r>
    </w:p>
    <w:p>
      <w:pPr>
        <w:pStyle w:val="TextBody"/>
        <w:bidi w:val="0"/>
        <w:spacing w:lineRule="auto" w:line="285" w:before="85" w:after="283"/>
        <w:ind w:left="720" w:right="386" w:hanging="0"/>
        <w:jc w:val="left"/>
        <w:rPr>
          <w:rFonts w:ascii="Aptos" w:hAnsi="Aptos"/>
          <w:sz w:val="24"/>
        </w:rPr>
      </w:pPr>
      <w:r>
        <w:rPr>
          <w:rFonts w:ascii="Arial;Helvetica;sans-serif" w:hAnsi="Arial;Helvetica;sans-serif"/>
          <w:sz w:val="20"/>
        </w:rPr>
        <w:t>(iii)</w:t>
      </w:r>
      <w:r>
        <w:rPr>
          <w:rFonts w:ascii="Arial;Helvetica;sans-serif" w:hAnsi="Arial;Helvetica;sans-serif"/>
          <w:sz w:val="20"/>
          <w:u w:val="single"/>
        </w:rPr>
        <w:t>Termination by the Executive for "Good Reason"</w:t>
      </w:r>
      <w:r>
        <w:rPr>
          <w:rFonts w:ascii="Aptos" w:hAnsi="Aptos"/>
          <w:sz w:val="24"/>
        </w:rPr>
        <w:t xml:space="preserve"> </w:t>
      </w:r>
      <w:r>
        <w:rPr>
          <w:rFonts w:ascii="Arial;Helvetica;sans-serif" w:hAnsi="Arial;Helvetica;sans-serif"/>
          <w:sz w:val="20"/>
        </w:rPr>
        <w:t>(as the term is defined in Section 4(i)) shall constitute Termination without Cause by the Company for purposes of this Agreement and shall entitle the Executive to all remedies provided in this Paragraph. If the Company terminates this Agreement without Cause under this Section 4(b), and the Company pays Mr. Brown the compensation earned as of the effective date of the termination, and provides to Mr. Brown incremental compensation and continuation of benefits on the terms specified in this Section 4(b), the Company's acts in doing so shall be in complete accord and satisfaction of any claim</w:t>
      </w:r>
      <w:r>
        <w:rPr>
          <w:rFonts w:ascii="Aptos" w:hAnsi="Aptos"/>
          <w:spacing w:val="-3"/>
          <w:sz w:val="24"/>
        </w:rPr>
        <w:t xml:space="preserve"> </w:t>
      </w:r>
      <w:r>
        <w:rPr>
          <w:rFonts w:ascii="Arial;Helvetica;sans-serif" w:hAnsi="Arial;Helvetica;sans-serif"/>
          <w:sz w:val="20"/>
        </w:rPr>
        <w:t>that</w:t>
      </w:r>
      <w:r>
        <w:rPr>
          <w:rFonts w:ascii="Aptos" w:hAnsi="Aptos"/>
          <w:spacing w:val="-2"/>
          <w:sz w:val="24"/>
        </w:rPr>
        <w:t xml:space="preserve"> </w:t>
      </w:r>
      <w:r>
        <w:rPr>
          <w:rFonts w:ascii="Arial;Helvetica;sans-serif" w:hAnsi="Arial;Helvetica;sans-serif"/>
          <w:sz w:val="20"/>
        </w:rPr>
        <w:t>Mr.</w:t>
      </w:r>
      <w:r>
        <w:rPr>
          <w:rFonts w:ascii="Aptos" w:hAnsi="Aptos"/>
          <w:spacing w:val="-2"/>
          <w:sz w:val="24"/>
        </w:rPr>
        <w:t xml:space="preserve"> </w:t>
      </w:r>
      <w:r>
        <w:rPr>
          <w:rFonts w:ascii="Arial;Helvetica;sans-serif" w:hAnsi="Arial;Helvetica;sans-serif"/>
          <w:sz w:val="20"/>
        </w:rPr>
        <w:t>Brown</w:t>
      </w:r>
      <w:r>
        <w:rPr>
          <w:rFonts w:ascii="Aptos" w:hAnsi="Aptos"/>
          <w:spacing w:val="-2"/>
          <w:sz w:val="24"/>
        </w:rPr>
        <w:t xml:space="preserve"> </w:t>
      </w:r>
      <w:r>
        <w:rPr>
          <w:rFonts w:ascii="Arial;Helvetica;sans-serif" w:hAnsi="Arial;Helvetica;sans-serif"/>
          <w:sz w:val="20"/>
        </w:rPr>
        <w:t>has</w:t>
      </w:r>
      <w:r>
        <w:rPr>
          <w:rFonts w:ascii="Aptos" w:hAnsi="Aptos"/>
          <w:spacing w:val="-2"/>
          <w:sz w:val="24"/>
        </w:rPr>
        <w:t xml:space="preserve"> </w:t>
      </w:r>
      <w:r>
        <w:rPr>
          <w:rFonts w:ascii="Arial;Helvetica;sans-serif" w:hAnsi="Arial;Helvetica;sans-serif"/>
          <w:sz w:val="20"/>
        </w:rPr>
        <w:t>or</w:t>
      </w:r>
      <w:r>
        <w:rPr>
          <w:rFonts w:ascii="Aptos" w:hAnsi="Aptos"/>
          <w:spacing w:val="-2"/>
          <w:sz w:val="24"/>
        </w:rPr>
        <w:t xml:space="preserve"> </w:t>
      </w:r>
      <w:r>
        <w:rPr>
          <w:rFonts w:ascii="Arial;Helvetica;sans-serif" w:hAnsi="Arial;Helvetica;sans-serif"/>
          <w:sz w:val="20"/>
        </w:rPr>
        <w:t>may</w:t>
      </w:r>
      <w:r>
        <w:rPr>
          <w:rFonts w:ascii="Aptos" w:hAnsi="Aptos"/>
          <w:spacing w:val="-2"/>
          <w:sz w:val="24"/>
        </w:rPr>
        <w:t xml:space="preserve"> </w:t>
      </w:r>
      <w:r>
        <w:rPr>
          <w:rFonts w:ascii="Arial;Helvetica;sans-serif" w:hAnsi="Arial;Helvetica;sans-serif"/>
          <w:sz w:val="20"/>
        </w:rPr>
        <w:t>at</w:t>
      </w:r>
      <w:r>
        <w:rPr>
          <w:rFonts w:ascii="Aptos" w:hAnsi="Aptos"/>
          <w:spacing w:val="-2"/>
          <w:sz w:val="24"/>
        </w:rPr>
        <w:t xml:space="preserve"> </w:t>
      </w:r>
      <w:r>
        <w:rPr>
          <w:rFonts w:ascii="Arial;Helvetica;sans-serif" w:hAnsi="Arial;Helvetica;sans-serif"/>
          <w:sz w:val="20"/>
        </w:rPr>
        <w:t>any</w:t>
      </w:r>
      <w:r>
        <w:rPr>
          <w:rFonts w:ascii="Aptos" w:hAnsi="Aptos"/>
          <w:spacing w:val="-2"/>
          <w:sz w:val="24"/>
        </w:rPr>
        <w:t xml:space="preserve"> </w:t>
      </w:r>
      <w:r>
        <w:rPr>
          <w:rFonts w:ascii="Arial;Helvetica;sans-serif" w:hAnsi="Arial;Helvetica;sans-serif"/>
          <w:sz w:val="20"/>
        </w:rPr>
        <w:t>time</w:t>
      </w:r>
      <w:r>
        <w:rPr>
          <w:rFonts w:ascii="Aptos" w:hAnsi="Aptos"/>
          <w:spacing w:val="-2"/>
          <w:sz w:val="24"/>
        </w:rPr>
        <w:t xml:space="preserve"> </w:t>
      </w:r>
      <w:r>
        <w:rPr>
          <w:rFonts w:ascii="Arial;Helvetica;sans-serif" w:hAnsi="Arial;Helvetica;sans-serif"/>
          <w:sz w:val="20"/>
        </w:rPr>
        <w:t>have</w:t>
      </w:r>
      <w:r>
        <w:rPr>
          <w:rFonts w:ascii="Aptos" w:hAnsi="Aptos"/>
          <w:spacing w:val="-2"/>
          <w:sz w:val="24"/>
        </w:rPr>
        <w:t xml:space="preserve"> </w:t>
      </w:r>
      <w:r>
        <w:rPr>
          <w:rFonts w:ascii="Arial;Helvetica;sans-serif" w:hAnsi="Arial;Helvetica;sans-serif"/>
          <w:sz w:val="20"/>
        </w:rPr>
        <w:t>for</w:t>
      </w:r>
      <w:r>
        <w:rPr>
          <w:rFonts w:ascii="Aptos" w:hAnsi="Aptos"/>
          <w:spacing w:val="-2"/>
          <w:sz w:val="24"/>
        </w:rPr>
        <w:t xml:space="preserve"> </w:t>
      </w:r>
      <w:r>
        <w:rPr>
          <w:rFonts w:ascii="Arial;Helvetica;sans-serif" w:hAnsi="Arial;Helvetica;sans-serif"/>
          <w:sz w:val="20"/>
        </w:rPr>
        <w:t>compensation,</w:t>
      </w:r>
      <w:r>
        <w:rPr>
          <w:rFonts w:ascii="Aptos" w:hAnsi="Aptos"/>
          <w:spacing w:val="-2"/>
          <w:sz w:val="24"/>
        </w:rPr>
        <w:t xml:space="preserve"> </w:t>
      </w:r>
      <w:r>
        <w:rPr>
          <w:rFonts w:ascii="Arial;Helvetica;sans-serif" w:hAnsi="Arial;Helvetica;sans-serif"/>
          <w:sz w:val="20"/>
        </w:rPr>
        <w:t>benefits</w:t>
      </w:r>
      <w:r>
        <w:rPr>
          <w:rFonts w:ascii="Aptos" w:hAnsi="Aptos"/>
          <w:spacing w:val="-2"/>
          <w:sz w:val="24"/>
        </w:rPr>
        <w:t xml:space="preserve"> </w:t>
      </w:r>
      <w:r>
        <w:rPr>
          <w:rFonts w:ascii="Arial;Helvetica;sans-serif" w:hAnsi="Arial;Helvetica;sans-serif"/>
          <w:sz w:val="20"/>
        </w:rPr>
        <w:t>or</w:t>
      </w:r>
      <w:r>
        <w:rPr>
          <w:rFonts w:ascii="Aptos" w:hAnsi="Aptos"/>
          <w:spacing w:val="-2"/>
          <w:sz w:val="24"/>
        </w:rPr>
        <w:t xml:space="preserve"> </w:t>
      </w:r>
      <w:r>
        <w:rPr>
          <w:rFonts w:ascii="Arial;Helvetica;sans-serif" w:hAnsi="Arial;Helvetica;sans-serif"/>
          <w:sz w:val="20"/>
        </w:rPr>
        <w:t>payments</w:t>
      </w:r>
      <w:r>
        <w:rPr>
          <w:rFonts w:ascii="Aptos" w:hAnsi="Aptos"/>
          <w:spacing w:val="-2"/>
          <w:sz w:val="24"/>
        </w:rPr>
        <w:t xml:space="preserve"> </w:t>
      </w:r>
      <w:r>
        <w:rPr>
          <w:rFonts w:ascii="Arial;Helvetica;sans-serif" w:hAnsi="Arial;Helvetica;sans-serif"/>
          <w:sz w:val="20"/>
        </w:rPr>
        <w:t>of</w:t>
      </w:r>
      <w:r>
        <w:rPr>
          <w:rFonts w:ascii="Aptos" w:hAnsi="Aptos"/>
          <w:spacing w:val="-2"/>
          <w:sz w:val="24"/>
        </w:rPr>
        <w:t xml:space="preserve"> </w:t>
      </w:r>
      <w:r>
        <w:rPr>
          <w:rFonts w:ascii="Arial;Helvetica;sans-serif" w:hAnsi="Arial;Helvetica;sans-serif"/>
          <w:sz w:val="20"/>
        </w:rPr>
        <w:t xml:space="preserve">any </w:t>
      </w:r>
    </w:p>
    <w:p>
      <w:pPr>
        <w:pStyle w:val="TextBody"/>
        <w:bidi w:val="0"/>
        <w:spacing w:lineRule="auto" w:line="285" w:before="0" w:after="0"/>
        <w:ind w:left="0" w:right="0" w:hanging="0"/>
        <w:jc w:val="right"/>
        <w:rPr>
          <w:rFonts w:ascii="Arial;Helvetica;sans-serif" w:hAnsi="Arial;Helvetica;sans-serif"/>
          <w:sz w:val="22"/>
        </w:rPr>
      </w:pPr>
      <w:r>
        <w:rPr>
          <w:rFonts w:ascii="Arial;Helvetica;sans-serif" w:hAnsi="Arial;Helvetica;sans-serif"/>
          <w:sz w:val="22"/>
        </w:rPr>
        <w:t xml:space="preserve">Page </w:t>
      </w:r>
      <w:r>
        <w:rPr>
          <w:rFonts w:ascii="Arial;Helvetica;sans-serif" w:hAnsi="Arial;Helvetica;sans-serif"/>
          <w:b/>
          <w:sz w:val="22"/>
        </w:rPr>
        <w:t>4</w:t>
      </w:r>
      <w:r>
        <w:rPr>
          <w:rFonts w:ascii="Arial;Helvetica;sans-serif" w:hAnsi="Arial;Helvetica;sans-serif"/>
          <w:sz w:val="22"/>
        </w:rPr>
        <w:t xml:space="preserve"> of </w:t>
      </w:r>
      <w:r>
        <w:rPr>
          <w:rFonts w:ascii="Arial;Helvetica;sans-serif" w:hAnsi="Arial;Helvetica;sans-serif"/>
          <w:b/>
          <w:sz w:val="22"/>
        </w:rPr>
        <w:t>15</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85" w:after="283"/>
        <w:ind w:left="720" w:right="386" w:hanging="0"/>
        <w:jc w:val="left"/>
        <w:rPr>
          <w:rFonts w:ascii="Aptos" w:hAnsi="Aptos"/>
          <w:sz w:val="24"/>
        </w:rPr>
      </w:pPr>
      <w:r>
        <w:rPr>
          <w:rFonts w:ascii="Arial;Helvetica;sans-serif" w:hAnsi="Arial;Helvetica;sans-serif"/>
          <w:sz w:val="20"/>
        </w:rPr>
        <w:t>kind</w:t>
      </w:r>
      <w:r>
        <w:rPr>
          <w:rFonts w:ascii="Aptos" w:hAnsi="Aptos"/>
          <w:spacing w:val="-2"/>
          <w:sz w:val="24"/>
        </w:rPr>
        <w:t xml:space="preserve"> </w:t>
      </w:r>
      <w:r>
        <w:rPr>
          <w:rFonts w:ascii="Arial;Helvetica;sans-serif" w:hAnsi="Arial;Helvetica;sans-serif"/>
          <w:sz w:val="20"/>
        </w:rPr>
        <w:t>from</w:t>
      </w:r>
      <w:r>
        <w:rPr>
          <w:rFonts w:ascii="Aptos" w:hAnsi="Aptos"/>
          <w:spacing w:val="-3"/>
          <w:sz w:val="24"/>
        </w:rPr>
        <w:t xml:space="preserve"> </w:t>
      </w:r>
      <w:r>
        <w:rPr>
          <w:rFonts w:ascii="Arial;Helvetica;sans-serif" w:hAnsi="Arial;Helvetica;sans-serif"/>
          <w:sz w:val="20"/>
        </w:rPr>
        <w:t>the</w:t>
      </w:r>
      <w:r>
        <w:rPr>
          <w:rFonts w:ascii="Aptos" w:hAnsi="Aptos"/>
          <w:spacing w:val="-2"/>
          <w:sz w:val="24"/>
        </w:rPr>
        <w:t xml:space="preserve"> </w:t>
      </w:r>
      <w:r>
        <w:rPr>
          <w:rFonts w:ascii="Arial;Helvetica;sans-serif" w:hAnsi="Arial;Helvetica;sans-serif"/>
          <w:sz w:val="20"/>
        </w:rPr>
        <w:t>Company</w:t>
      </w:r>
      <w:r>
        <w:rPr>
          <w:rFonts w:ascii="Aptos" w:hAnsi="Aptos"/>
          <w:spacing w:val="-2"/>
          <w:sz w:val="24"/>
        </w:rPr>
        <w:t xml:space="preserve"> </w:t>
      </w:r>
      <w:r>
        <w:rPr>
          <w:rFonts w:ascii="Arial;Helvetica;sans-serif" w:hAnsi="Arial;Helvetica;sans-serif"/>
          <w:sz w:val="20"/>
        </w:rPr>
        <w:t>or</w:t>
      </w:r>
      <w:r>
        <w:rPr>
          <w:rFonts w:ascii="Aptos" w:hAnsi="Aptos"/>
          <w:spacing w:val="-2"/>
          <w:sz w:val="24"/>
        </w:rPr>
        <w:t xml:space="preserve"> </w:t>
      </w:r>
      <w:r>
        <w:rPr>
          <w:rFonts w:ascii="Arial;Helvetica;sans-serif" w:hAnsi="Arial;Helvetica;sans-serif"/>
          <w:sz w:val="20"/>
        </w:rPr>
        <w:t>TTEC</w:t>
      </w:r>
      <w:r>
        <w:rPr>
          <w:rFonts w:ascii="Aptos" w:hAnsi="Aptos"/>
          <w:spacing w:val="-3"/>
          <w:sz w:val="24"/>
        </w:rPr>
        <w:t xml:space="preserve"> </w:t>
      </w:r>
      <w:r>
        <w:rPr>
          <w:rFonts w:ascii="Arial;Helvetica;sans-serif" w:hAnsi="Arial;Helvetica;sans-serif"/>
          <w:sz w:val="20"/>
        </w:rPr>
        <w:t>Parent</w:t>
      </w:r>
      <w:r>
        <w:rPr>
          <w:rFonts w:ascii="Aptos" w:hAnsi="Aptos"/>
          <w:spacing w:val="-2"/>
          <w:sz w:val="24"/>
        </w:rPr>
        <w:t xml:space="preserve"> </w:t>
      </w:r>
      <w:r>
        <w:rPr>
          <w:rFonts w:ascii="Arial;Helvetica;sans-serif" w:hAnsi="Arial;Helvetica;sans-serif"/>
          <w:sz w:val="20"/>
        </w:rPr>
        <w:t>arising</w:t>
      </w:r>
      <w:r>
        <w:rPr>
          <w:rFonts w:ascii="Aptos" w:hAnsi="Aptos"/>
          <w:spacing w:val="-2"/>
          <w:sz w:val="24"/>
        </w:rPr>
        <w:t xml:space="preserve"> </w:t>
      </w:r>
      <w:r>
        <w:rPr>
          <w:rFonts w:ascii="Arial;Helvetica;sans-serif" w:hAnsi="Arial;Helvetica;sans-serif"/>
          <w:sz w:val="20"/>
        </w:rPr>
        <w:t>from</w:t>
      </w:r>
      <w:r>
        <w:rPr>
          <w:rFonts w:ascii="Aptos" w:hAnsi="Aptos"/>
          <w:spacing w:val="-3"/>
          <w:sz w:val="24"/>
        </w:rPr>
        <w:t xml:space="preserve"> </w:t>
      </w:r>
      <w:r>
        <w:rPr>
          <w:rFonts w:ascii="Arial;Helvetica;sans-serif" w:hAnsi="Arial;Helvetica;sans-serif"/>
          <w:sz w:val="20"/>
        </w:rPr>
        <w:t>or</w:t>
      </w:r>
      <w:r>
        <w:rPr>
          <w:rFonts w:ascii="Aptos" w:hAnsi="Aptos"/>
          <w:spacing w:val="-2"/>
          <w:sz w:val="24"/>
        </w:rPr>
        <w:t xml:space="preserve"> </w:t>
      </w:r>
      <w:r>
        <w:rPr>
          <w:rFonts w:ascii="Arial;Helvetica;sans-serif" w:hAnsi="Arial;Helvetica;sans-serif"/>
          <w:sz w:val="20"/>
        </w:rPr>
        <w:t>relating</w:t>
      </w:r>
      <w:r>
        <w:rPr>
          <w:rFonts w:ascii="Aptos" w:hAnsi="Aptos"/>
          <w:spacing w:val="-2"/>
          <w:sz w:val="24"/>
        </w:rPr>
        <w:t xml:space="preserve"> </w:t>
      </w:r>
      <w:r>
        <w:rPr>
          <w:rFonts w:ascii="Arial;Helvetica;sans-serif" w:hAnsi="Arial;Helvetica;sans-serif"/>
          <w:sz w:val="20"/>
        </w:rPr>
        <w:t>in</w:t>
      </w:r>
      <w:r>
        <w:rPr>
          <w:rFonts w:ascii="Aptos" w:hAnsi="Aptos"/>
          <w:spacing w:val="-2"/>
          <w:sz w:val="24"/>
        </w:rPr>
        <w:t xml:space="preserve"> </w:t>
      </w:r>
      <w:r>
        <w:rPr>
          <w:rFonts w:ascii="Arial;Helvetica;sans-serif" w:hAnsi="Arial;Helvetica;sans-serif"/>
          <w:sz w:val="20"/>
        </w:rPr>
        <w:t>whole</w:t>
      </w:r>
      <w:r>
        <w:rPr>
          <w:rFonts w:ascii="Aptos" w:hAnsi="Aptos"/>
          <w:spacing w:val="-2"/>
          <w:sz w:val="24"/>
        </w:rPr>
        <w:t xml:space="preserve"> </w:t>
      </w:r>
      <w:r>
        <w:rPr>
          <w:rFonts w:ascii="Arial;Helvetica;sans-serif" w:hAnsi="Arial;Helvetica;sans-serif"/>
          <w:sz w:val="20"/>
        </w:rPr>
        <w:t>or</w:t>
      </w:r>
      <w:r>
        <w:rPr>
          <w:rFonts w:ascii="Aptos" w:hAnsi="Aptos"/>
          <w:spacing w:val="-2"/>
          <w:sz w:val="24"/>
        </w:rPr>
        <w:t xml:space="preserve"> </w:t>
      </w:r>
      <w:r>
        <w:rPr>
          <w:rFonts w:ascii="Arial;Helvetica;sans-serif" w:hAnsi="Arial;Helvetica;sans-serif"/>
          <w:sz w:val="20"/>
        </w:rPr>
        <w:t>part</w:t>
      </w:r>
      <w:r>
        <w:rPr>
          <w:rFonts w:ascii="Aptos" w:hAnsi="Aptos"/>
          <w:spacing w:val="-2"/>
          <w:sz w:val="24"/>
        </w:rPr>
        <w:t xml:space="preserve"> </w:t>
      </w:r>
      <w:r>
        <w:rPr>
          <w:rFonts w:ascii="Arial;Helvetica;sans-serif" w:hAnsi="Arial;Helvetica;sans-serif"/>
          <w:sz w:val="20"/>
        </w:rPr>
        <w:t>to</w:t>
      </w:r>
      <w:r>
        <w:rPr>
          <w:rFonts w:ascii="Aptos" w:hAnsi="Aptos"/>
          <w:spacing w:val="-2"/>
          <w:sz w:val="24"/>
        </w:rPr>
        <w:t xml:space="preserve"> </w:t>
      </w:r>
      <w:r>
        <w:rPr>
          <w:rFonts w:ascii="Arial;Helvetica;sans-serif" w:hAnsi="Arial;Helvetica;sans-serif"/>
          <w:sz w:val="20"/>
        </w:rPr>
        <w:t>the</w:t>
      </w:r>
      <w:r>
        <w:rPr>
          <w:rFonts w:ascii="Aptos" w:hAnsi="Aptos"/>
          <w:spacing w:val="-2"/>
          <w:sz w:val="24"/>
        </w:rPr>
        <w:t xml:space="preserve"> </w:t>
      </w:r>
      <w:r>
        <w:rPr>
          <w:rFonts w:ascii="Arial;Helvetica;sans-serif" w:hAnsi="Arial;Helvetica;sans-serif"/>
          <w:sz w:val="20"/>
        </w:rPr>
        <w:t>Executive's employment with the Company and/or this Agreement.</w:t>
      </w:r>
    </w:p>
    <w:p>
      <w:pPr>
        <w:pStyle w:val="TextBody"/>
        <w:bidi w:val="0"/>
        <w:spacing w:lineRule="auto" w:line="285" w:before="197" w:after="0"/>
        <w:ind w:left="720" w:right="386" w:hanging="0"/>
        <w:jc w:val="left"/>
        <w:rPr>
          <w:rFonts w:ascii="Aptos" w:hAnsi="Aptos"/>
          <w:sz w:val="20"/>
        </w:rPr>
      </w:pPr>
      <w:r>
        <w:rPr>
          <w:rFonts w:ascii="Arial;Helvetica;sans-serif" w:hAnsi="Arial;Helvetica;sans-serif"/>
          <w:sz w:val="20"/>
        </w:rPr>
        <w:t>If the separation agreement and legal release referenced above are not signed within thirty (30) days from the date that such agreement is presented to Mr. Brown (which the Company shall present</w:t>
      </w:r>
      <w:r>
        <w:rPr>
          <w:rFonts w:ascii="Aptos" w:hAnsi="Aptos"/>
          <w:spacing w:val="-3"/>
          <w:sz w:val="20"/>
        </w:rPr>
        <w:t xml:space="preserve"> </w:t>
      </w:r>
      <w:r>
        <w:rPr>
          <w:rFonts w:ascii="Arial;Helvetica;sans-serif" w:hAnsi="Arial;Helvetica;sans-serif"/>
          <w:sz w:val="20"/>
        </w:rPr>
        <w:t>no</w:t>
      </w:r>
      <w:r>
        <w:rPr>
          <w:rFonts w:ascii="Aptos" w:hAnsi="Aptos"/>
          <w:spacing w:val="-3"/>
          <w:sz w:val="20"/>
        </w:rPr>
        <w:t xml:space="preserve"> </w:t>
      </w:r>
      <w:r>
        <w:rPr>
          <w:rFonts w:ascii="Arial;Helvetica;sans-serif" w:hAnsi="Arial;Helvetica;sans-serif"/>
          <w:sz w:val="20"/>
        </w:rPr>
        <w:t>later</w:t>
      </w:r>
      <w:r>
        <w:rPr>
          <w:rFonts w:ascii="Aptos" w:hAnsi="Aptos"/>
          <w:spacing w:val="-3"/>
          <w:sz w:val="20"/>
        </w:rPr>
        <w:t xml:space="preserve"> </w:t>
      </w:r>
      <w:r>
        <w:rPr>
          <w:rFonts w:ascii="Arial;Helvetica;sans-serif" w:hAnsi="Arial;Helvetica;sans-serif"/>
          <w:sz w:val="20"/>
        </w:rPr>
        <w:t>than</w:t>
      </w:r>
      <w:r>
        <w:rPr>
          <w:rFonts w:ascii="Aptos" w:hAnsi="Aptos"/>
          <w:spacing w:val="-3"/>
          <w:sz w:val="20"/>
        </w:rPr>
        <w:t xml:space="preserve"> </w:t>
      </w:r>
      <w:r>
        <w:rPr>
          <w:rFonts w:ascii="Arial;Helvetica;sans-serif" w:hAnsi="Arial;Helvetica;sans-serif"/>
          <w:sz w:val="20"/>
        </w:rPr>
        <w:t>fifteen</w:t>
      </w:r>
      <w:r>
        <w:rPr>
          <w:rFonts w:ascii="Aptos" w:hAnsi="Aptos"/>
          <w:spacing w:val="-3"/>
          <w:sz w:val="20"/>
        </w:rPr>
        <w:t xml:space="preserve"> </w:t>
      </w:r>
      <w:r>
        <w:rPr>
          <w:rFonts w:ascii="Arial;Helvetica;sans-serif" w:hAnsi="Arial;Helvetica;sans-serif"/>
          <w:sz w:val="20"/>
        </w:rPr>
        <w:t>(15)</w:t>
      </w:r>
      <w:r>
        <w:rPr>
          <w:rFonts w:ascii="Aptos" w:hAnsi="Aptos"/>
          <w:spacing w:val="-3"/>
          <w:sz w:val="20"/>
        </w:rPr>
        <w:t xml:space="preserve"> </w:t>
      </w:r>
      <w:r>
        <w:rPr>
          <w:rFonts w:ascii="Arial;Helvetica;sans-serif" w:hAnsi="Arial;Helvetica;sans-serif"/>
          <w:sz w:val="20"/>
        </w:rPr>
        <w:t>days</w:t>
      </w:r>
      <w:r>
        <w:rPr>
          <w:rFonts w:ascii="Aptos" w:hAnsi="Aptos"/>
          <w:spacing w:val="-3"/>
          <w:sz w:val="20"/>
        </w:rPr>
        <w:t xml:space="preserve"> </w:t>
      </w:r>
      <w:r>
        <w:rPr>
          <w:rFonts w:ascii="Arial;Helvetica;sans-serif" w:hAnsi="Arial;Helvetica;sans-serif"/>
          <w:sz w:val="20"/>
        </w:rPr>
        <w:t>after</w:t>
      </w:r>
      <w:r>
        <w:rPr>
          <w:rFonts w:ascii="Aptos" w:hAnsi="Aptos"/>
          <w:spacing w:val="-3"/>
          <w:sz w:val="20"/>
        </w:rPr>
        <w:t xml:space="preserve"> </w:t>
      </w:r>
      <w:r>
        <w:rPr>
          <w:rFonts w:ascii="Arial;Helvetica;sans-serif" w:hAnsi="Arial;Helvetica;sans-serif"/>
          <w:sz w:val="20"/>
        </w:rPr>
        <w:t>the</w:t>
      </w:r>
      <w:r>
        <w:rPr>
          <w:rFonts w:ascii="Aptos" w:hAnsi="Aptos"/>
          <w:spacing w:val="-3"/>
          <w:sz w:val="20"/>
        </w:rPr>
        <w:t xml:space="preserve"> </w:t>
      </w:r>
      <w:r>
        <w:rPr>
          <w:rFonts w:ascii="Arial;Helvetica;sans-serif" w:hAnsi="Arial;Helvetica;sans-serif"/>
          <w:sz w:val="20"/>
        </w:rPr>
        <w:t>effective</w:t>
      </w:r>
      <w:r>
        <w:rPr>
          <w:rFonts w:ascii="Aptos" w:hAnsi="Aptos"/>
          <w:spacing w:val="-3"/>
          <w:sz w:val="20"/>
        </w:rPr>
        <w:t xml:space="preserve"> </w:t>
      </w:r>
      <w:r>
        <w:rPr>
          <w:rFonts w:ascii="Arial;Helvetica;sans-serif" w:hAnsi="Arial;Helvetica;sans-serif"/>
          <w:sz w:val="20"/>
        </w:rPr>
        <w:t>date</w:t>
      </w:r>
      <w:r>
        <w:rPr>
          <w:rFonts w:ascii="Aptos" w:hAnsi="Aptos"/>
          <w:spacing w:val="-3"/>
          <w:sz w:val="20"/>
        </w:rPr>
        <w:t xml:space="preserve"> </w:t>
      </w:r>
      <w:r>
        <w:rPr>
          <w:rFonts w:ascii="Arial;Helvetica;sans-serif" w:hAnsi="Arial;Helvetica;sans-serif"/>
          <w:sz w:val="20"/>
        </w:rPr>
        <w:t>of</w:t>
      </w:r>
      <w:r>
        <w:rPr>
          <w:rFonts w:ascii="Aptos" w:hAnsi="Aptos"/>
          <w:spacing w:val="-3"/>
          <w:sz w:val="20"/>
        </w:rPr>
        <w:t xml:space="preserve"> </w:t>
      </w:r>
      <w:r>
        <w:rPr>
          <w:rFonts w:ascii="Arial;Helvetica;sans-serif" w:hAnsi="Arial;Helvetica;sans-serif"/>
          <w:sz w:val="20"/>
        </w:rPr>
        <w:t>Executive's</w:t>
      </w:r>
      <w:r>
        <w:rPr>
          <w:rFonts w:ascii="Aptos" w:hAnsi="Aptos"/>
          <w:spacing w:val="-3"/>
          <w:sz w:val="20"/>
        </w:rPr>
        <w:t xml:space="preserve"> </w:t>
      </w:r>
      <w:r>
        <w:rPr>
          <w:rFonts w:ascii="Arial;Helvetica;sans-serif" w:hAnsi="Arial;Helvetica;sans-serif"/>
          <w:sz w:val="20"/>
        </w:rPr>
        <w:t>termination),</w:t>
      </w:r>
      <w:r>
        <w:rPr>
          <w:rFonts w:ascii="Aptos" w:hAnsi="Aptos"/>
          <w:spacing w:val="-3"/>
          <w:sz w:val="20"/>
        </w:rPr>
        <w:t xml:space="preserve"> </w:t>
      </w:r>
      <w:r>
        <w:rPr>
          <w:rFonts w:ascii="Arial;Helvetica;sans-serif" w:hAnsi="Arial;Helvetica;sans-serif"/>
          <w:sz w:val="20"/>
        </w:rPr>
        <w:t>then</w:t>
      </w:r>
      <w:r>
        <w:rPr>
          <w:rFonts w:ascii="Aptos" w:hAnsi="Aptos"/>
          <w:spacing w:val="-3"/>
          <w:sz w:val="20"/>
        </w:rPr>
        <w:t xml:space="preserve"> </w:t>
      </w:r>
      <w:r>
        <w:rPr>
          <w:rFonts w:ascii="Arial;Helvetica;sans-serif" w:hAnsi="Arial;Helvetica;sans-serif"/>
          <w:sz w:val="20"/>
        </w:rPr>
        <w:t>Mr. Brown</w:t>
      </w:r>
      <w:r>
        <w:rPr>
          <w:rFonts w:ascii="Aptos" w:hAnsi="Aptos"/>
          <w:spacing w:val="-1"/>
          <w:sz w:val="20"/>
        </w:rPr>
        <w:t xml:space="preserve"> </w:t>
      </w:r>
      <w:r>
        <w:rPr>
          <w:rFonts w:ascii="Arial;Helvetica;sans-serif" w:hAnsi="Arial;Helvetica;sans-serif"/>
          <w:sz w:val="20"/>
        </w:rPr>
        <w:t>waives</w:t>
      </w:r>
      <w:r>
        <w:rPr>
          <w:rFonts w:ascii="Aptos" w:hAnsi="Aptos"/>
          <w:spacing w:val="-1"/>
          <w:sz w:val="20"/>
        </w:rPr>
        <w:t xml:space="preserve"> </w:t>
      </w:r>
      <w:r>
        <w:rPr>
          <w:rFonts w:ascii="Arial;Helvetica;sans-serif" w:hAnsi="Arial;Helvetica;sans-serif"/>
          <w:sz w:val="20"/>
        </w:rPr>
        <w:t>his</w:t>
      </w:r>
      <w:r>
        <w:rPr>
          <w:rFonts w:ascii="Aptos" w:hAnsi="Aptos"/>
          <w:spacing w:val="-1"/>
          <w:sz w:val="20"/>
        </w:rPr>
        <w:t xml:space="preserve"> </w:t>
      </w:r>
      <w:r>
        <w:rPr>
          <w:rFonts w:ascii="Arial;Helvetica;sans-serif" w:hAnsi="Arial;Helvetica;sans-serif"/>
          <w:sz w:val="20"/>
        </w:rPr>
        <w:t>right</w:t>
      </w:r>
      <w:r>
        <w:rPr>
          <w:rFonts w:ascii="Aptos" w:hAnsi="Aptos"/>
          <w:spacing w:val="-1"/>
          <w:sz w:val="20"/>
        </w:rPr>
        <w:t xml:space="preserve"> </w:t>
      </w:r>
      <w:r>
        <w:rPr>
          <w:rFonts w:ascii="Arial;Helvetica;sans-serif" w:hAnsi="Arial;Helvetica;sans-serif"/>
          <w:sz w:val="20"/>
        </w:rPr>
        <w:t>to</w:t>
      </w:r>
      <w:r>
        <w:rPr>
          <w:rFonts w:ascii="Aptos" w:hAnsi="Aptos"/>
          <w:spacing w:val="-1"/>
          <w:sz w:val="20"/>
        </w:rPr>
        <w:t xml:space="preserve"> </w:t>
      </w:r>
      <w:r>
        <w:rPr>
          <w:rFonts w:ascii="Arial;Helvetica;sans-serif" w:hAnsi="Arial;Helvetica;sans-serif"/>
          <w:sz w:val="20"/>
        </w:rPr>
        <w:t>receive</w:t>
      </w:r>
      <w:r>
        <w:rPr>
          <w:rFonts w:ascii="Aptos" w:hAnsi="Aptos"/>
          <w:spacing w:val="-1"/>
          <w:sz w:val="20"/>
        </w:rPr>
        <w:t xml:space="preserve"> </w:t>
      </w:r>
      <w:r>
        <w:rPr>
          <w:rFonts w:ascii="Arial;Helvetica;sans-serif" w:hAnsi="Arial;Helvetica;sans-serif"/>
          <w:sz w:val="20"/>
        </w:rPr>
        <w:t>any</w:t>
      </w:r>
      <w:r>
        <w:rPr>
          <w:rFonts w:ascii="Aptos" w:hAnsi="Aptos"/>
          <w:spacing w:val="-1"/>
          <w:sz w:val="20"/>
        </w:rPr>
        <w:t xml:space="preserve"> </w:t>
      </w:r>
      <w:r>
        <w:rPr>
          <w:rFonts w:ascii="Arial;Helvetica;sans-serif" w:hAnsi="Arial;Helvetica;sans-serif"/>
          <w:sz w:val="20"/>
        </w:rPr>
        <w:t>severance</w:t>
      </w:r>
      <w:r>
        <w:rPr>
          <w:rFonts w:ascii="Aptos" w:hAnsi="Aptos"/>
          <w:spacing w:val="-1"/>
          <w:sz w:val="20"/>
        </w:rPr>
        <w:t xml:space="preserve"> </w:t>
      </w:r>
      <w:r>
        <w:rPr>
          <w:rFonts w:ascii="Arial;Helvetica;sans-serif" w:hAnsi="Arial;Helvetica;sans-serif"/>
          <w:sz w:val="20"/>
        </w:rPr>
        <w:t>compensation</w:t>
      </w:r>
      <w:r>
        <w:rPr>
          <w:rFonts w:ascii="Aptos" w:hAnsi="Aptos"/>
          <w:spacing w:val="-1"/>
          <w:sz w:val="20"/>
        </w:rPr>
        <w:t xml:space="preserve"> </w:t>
      </w:r>
      <w:r>
        <w:rPr>
          <w:rFonts w:ascii="Arial;Helvetica;sans-serif" w:hAnsi="Arial;Helvetica;sans-serif"/>
          <w:sz w:val="20"/>
        </w:rPr>
        <w:t>pursuant</w:t>
      </w:r>
      <w:r>
        <w:rPr>
          <w:rFonts w:ascii="Aptos" w:hAnsi="Aptos"/>
          <w:spacing w:val="-1"/>
          <w:sz w:val="20"/>
        </w:rPr>
        <w:t xml:space="preserve"> </w:t>
      </w:r>
      <w:r>
        <w:rPr>
          <w:rFonts w:ascii="Arial;Helvetica;sans-serif" w:hAnsi="Arial;Helvetica;sans-serif"/>
          <w:sz w:val="20"/>
        </w:rPr>
        <w:t>to</w:t>
      </w:r>
      <w:r>
        <w:rPr>
          <w:rFonts w:ascii="Aptos" w:hAnsi="Aptos"/>
          <w:spacing w:val="-1"/>
          <w:sz w:val="20"/>
        </w:rPr>
        <w:t xml:space="preserve"> </w:t>
      </w:r>
      <w:r>
        <w:rPr>
          <w:rFonts w:ascii="Arial;Helvetica;sans-serif" w:hAnsi="Arial;Helvetica;sans-serif"/>
          <w:sz w:val="20"/>
        </w:rPr>
        <w:t>this</w:t>
      </w:r>
      <w:r>
        <w:rPr>
          <w:rFonts w:ascii="Aptos" w:hAnsi="Aptos"/>
          <w:spacing w:val="-1"/>
          <w:sz w:val="20"/>
        </w:rPr>
        <w:t xml:space="preserve"> </w:t>
      </w:r>
      <w:r>
        <w:rPr>
          <w:rFonts w:ascii="Arial;Helvetica;sans-serif" w:hAnsi="Arial;Helvetica;sans-serif"/>
          <w:sz w:val="20"/>
        </w:rPr>
        <w:t>Agreement,</w:t>
      </w:r>
      <w:r>
        <w:rPr>
          <w:rFonts w:ascii="Aptos" w:hAnsi="Aptos"/>
          <w:spacing w:val="-1"/>
          <w:sz w:val="20"/>
        </w:rPr>
        <w:t xml:space="preserve"> </w:t>
      </w:r>
      <w:r>
        <w:rPr>
          <w:rFonts w:ascii="Arial;Helvetica;sans-serif" w:hAnsi="Arial;Helvetica;sans-serif"/>
          <w:sz w:val="20"/>
        </w:rPr>
        <w:t>even if Mr. Brown were to successfully litigate any claim against the Company and/or TTEC Parent.</w:t>
      </w:r>
    </w:p>
    <w:p>
      <w:pPr>
        <w:pStyle w:val="TextBody"/>
        <w:bidi w:val="0"/>
        <w:spacing w:lineRule="auto" w:line="285" w:before="0" w:after="0"/>
        <w:ind w:left="360" w:right="566" w:hanging="0"/>
        <w:jc w:val="left"/>
        <w:rPr>
          <w:rFonts w:ascii="Aptos" w:hAnsi="Aptos"/>
          <w:sz w:val="24"/>
        </w:rPr>
      </w:pPr>
      <w:r>
        <w:rPr>
          <w:rFonts w:ascii="Arial;Helvetica;sans-serif" w:hAnsi="Arial;Helvetica;sans-serif"/>
          <w:sz w:val="20"/>
        </w:rPr>
        <w:t>c.</w:t>
      </w:r>
      <w:r>
        <w:rPr>
          <w:rFonts w:ascii="Arial;Helvetica;sans-serif" w:hAnsi="Arial;Helvetica;sans-serif"/>
          <w:b/>
          <w:sz w:val="20"/>
        </w:rPr>
        <w:t>Termination</w:t>
      </w:r>
      <w:r>
        <w:rPr>
          <w:rFonts w:ascii="Aptos" w:hAnsi="Aptos"/>
          <w:spacing w:val="-2"/>
          <w:sz w:val="24"/>
        </w:rPr>
        <w:t xml:space="preserve"> </w:t>
      </w:r>
      <w:r>
        <w:rPr>
          <w:rFonts w:ascii="Arial;Helvetica;sans-serif" w:hAnsi="Arial;Helvetica;sans-serif"/>
          <w:b/>
          <w:sz w:val="20"/>
        </w:rPr>
        <w:t>by</w:t>
      </w:r>
      <w:r>
        <w:rPr>
          <w:rFonts w:ascii="Aptos" w:hAnsi="Aptos"/>
          <w:spacing w:val="-2"/>
          <w:sz w:val="24"/>
        </w:rPr>
        <w:t xml:space="preserve"> </w:t>
      </w:r>
      <w:r>
        <w:rPr>
          <w:rFonts w:ascii="Arial;Helvetica;sans-serif" w:hAnsi="Arial;Helvetica;sans-serif"/>
          <w:b/>
          <w:sz w:val="20"/>
        </w:rPr>
        <w:t>the</w:t>
      </w:r>
      <w:r>
        <w:rPr>
          <w:rFonts w:ascii="Aptos" w:hAnsi="Aptos"/>
          <w:spacing w:val="-2"/>
          <w:sz w:val="24"/>
        </w:rPr>
        <w:t xml:space="preserve"> </w:t>
      </w:r>
      <w:r>
        <w:rPr>
          <w:rFonts w:ascii="Arial;Helvetica;sans-serif" w:hAnsi="Arial;Helvetica;sans-serif"/>
          <w:b/>
          <w:sz w:val="20"/>
        </w:rPr>
        <w:t>Company</w:t>
      </w:r>
      <w:r>
        <w:rPr>
          <w:rFonts w:ascii="Aptos" w:hAnsi="Aptos"/>
          <w:spacing w:val="-2"/>
          <w:sz w:val="24"/>
        </w:rPr>
        <w:t xml:space="preserve"> </w:t>
      </w:r>
      <w:r>
        <w:rPr>
          <w:rFonts w:ascii="Arial;Helvetica;sans-serif" w:hAnsi="Arial;Helvetica;sans-serif"/>
          <w:b/>
          <w:sz w:val="20"/>
        </w:rPr>
        <w:t>for</w:t>
      </w:r>
      <w:r>
        <w:rPr>
          <w:rFonts w:ascii="Aptos" w:hAnsi="Aptos"/>
          <w:spacing w:val="-2"/>
          <w:sz w:val="24"/>
        </w:rPr>
        <w:t xml:space="preserve"> </w:t>
      </w:r>
      <w:r>
        <w:rPr>
          <w:rFonts w:ascii="Arial;Helvetica;sans-serif" w:hAnsi="Arial;Helvetica;sans-serif"/>
          <w:b/>
          <w:sz w:val="20"/>
        </w:rPr>
        <w:t>Cause.</w:t>
      </w:r>
      <w:r>
        <w:rPr>
          <w:rFonts w:ascii="Aptos" w:hAnsi="Aptos"/>
          <w:spacing w:val="-2"/>
          <w:sz w:val="24"/>
        </w:rPr>
        <w:t xml:space="preserve"> </w:t>
      </w:r>
      <w:r>
        <w:rPr>
          <w:rFonts w:ascii="Arial;Helvetica;sans-serif" w:hAnsi="Arial;Helvetica;sans-serif"/>
          <w:sz w:val="20"/>
        </w:rPr>
        <w:t>The</w:t>
      </w:r>
      <w:r>
        <w:rPr>
          <w:rFonts w:ascii="Aptos" w:hAnsi="Aptos"/>
          <w:spacing w:val="-2"/>
          <w:sz w:val="24"/>
        </w:rPr>
        <w:t xml:space="preserve"> </w:t>
      </w:r>
      <w:r>
        <w:rPr>
          <w:rFonts w:ascii="Arial;Helvetica;sans-serif" w:hAnsi="Arial;Helvetica;sans-serif"/>
          <w:sz w:val="20"/>
        </w:rPr>
        <w:t>Company</w:t>
      </w:r>
      <w:r>
        <w:rPr>
          <w:rFonts w:ascii="Aptos" w:hAnsi="Aptos"/>
          <w:spacing w:val="-2"/>
          <w:sz w:val="24"/>
        </w:rPr>
        <w:t xml:space="preserve"> </w:t>
      </w:r>
      <w:r>
        <w:rPr>
          <w:rFonts w:ascii="Arial;Helvetica;sans-serif" w:hAnsi="Arial;Helvetica;sans-serif"/>
          <w:sz w:val="20"/>
        </w:rPr>
        <w:t>may</w:t>
      </w:r>
      <w:r>
        <w:rPr>
          <w:rFonts w:ascii="Aptos" w:hAnsi="Aptos"/>
          <w:spacing w:val="-2"/>
          <w:sz w:val="24"/>
        </w:rPr>
        <w:t xml:space="preserve"> </w:t>
      </w:r>
      <w:r>
        <w:rPr>
          <w:rFonts w:ascii="Arial;Helvetica;sans-serif" w:hAnsi="Arial;Helvetica;sans-serif"/>
          <w:sz w:val="20"/>
        </w:rPr>
        <w:t>terminate</w:t>
      </w:r>
      <w:r>
        <w:rPr>
          <w:rFonts w:ascii="Aptos" w:hAnsi="Aptos"/>
          <w:spacing w:val="-2"/>
          <w:sz w:val="24"/>
        </w:rPr>
        <w:t xml:space="preserve"> </w:t>
      </w:r>
      <w:r>
        <w:rPr>
          <w:rFonts w:ascii="Arial;Helvetica;sans-serif" w:hAnsi="Arial;Helvetica;sans-serif"/>
          <w:sz w:val="20"/>
        </w:rPr>
        <w:t>this</w:t>
      </w:r>
      <w:r>
        <w:rPr>
          <w:rFonts w:ascii="Aptos" w:hAnsi="Aptos"/>
          <w:spacing w:val="-2"/>
          <w:sz w:val="24"/>
        </w:rPr>
        <w:t xml:space="preserve"> </w:t>
      </w:r>
      <w:r>
        <w:rPr>
          <w:rFonts w:ascii="Arial;Helvetica;sans-serif" w:hAnsi="Arial;Helvetica;sans-serif"/>
          <w:sz w:val="20"/>
        </w:rPr>
        <w:t>Agreement</w:t>
      </w:r>
      <w:r>
        <w:rPr>
          <w:rFonts w:ascii="Aptos" w:hAnsi="Aptos"/>
          <w:spacing w:val="-2"/>
          <w:sz w:val="24"/>
        </w:rPr>
        <w:t xml:space="preserve"> </w:t>
      </w:r>
      <w:r>
        <w:rPr>
          <w:rFonts w:ascii="Arial;Helvetica;sans-serif" w:hAnsi="Arial;Helvetica;sans-serif"/>
          <w:sz w:val="20"/>
        </w:rPr>
        <w:t>with</w:t>
      </w:r>
      <w:r>
        <w:rPr>
          <w:rFonts w:ascii="Aptos" w:hAnsi="Aptos"/>
          <w:spacing w:val="-2"/>
          <w:sz w:val="24"/>
        </w:rPr>
        <w:t xml:space="preserve"> </w:t>
      </w:r>
      <w:r>
        <w:rPr>
          <w:rFonts w:ascii="Arial;Helvetica;sans-serif" w:hAnsi="Arial;Helvetica;sans-serif"/>
          <w:sz w:val="20"/>
        </w:rPr>
        <w:t>no notice</w:t>
      </w:r>
      <w:r>
        <w:rPr>
          <w:rFonts w:ascii="Aptos" w:hAnsi="Aptos"/>
          <w:spacing w:val="-3"/>
          <w:sz w:val="24"/>
        </w:rPr>
        <w:t xml:space="preserve"> </w:t>
      </w:r>
      <w:r>
        <w:rPr>
          <w:rFonts w:ascii="Arial;Helvetica;sans-serif" w:hAnsi="Arial;Helvetica;sans-serif"/>
          <w:sz w:val="20"/>
        </w:rPr>
        <w:t>for</w:t>
      </w:r>
      <w:r>
        <w:rPr>
          <w:rFonts w:ascii="Aptos" w:hAnsi="Aptos"/>
          <w:spacing w:val="-3"/>
          <w:sz w:val="24"/>
        </w:rPr>
        <w:t xml:space="preserve"> </w:t>
      </w:r>
      <w:r>
        <w:rPr>
          <w:rFonts w:ascii="Arial;Helvetica;sans-serif" w:hAnsi="Arial;Helvetica;sans-serif"/>
          <w:sz w:val="20"/>
        </w:rPr>
        <w:t>Cause,</w:t>
      </w:r>
      <w:r>
        <w:rPr>
          <w:rFonts w:ascii="Aptos" w:hAnsi="Aptos"/>
          <w:spacing w:val="-3"/>
          <w:sz w:val="24"/>
        </w:rPr>
        <w:t xml:space="preserve"> </w:t>
      </w:r>
      <w:r>
        <w:rPr>
          <w:rFonts w:ascii="Arial;Helvetica;sans-serif" w:hAnsi="Arial;Helvetica;sans-serif"/>
          <w:sz w:val="20"/>
        </w:rPr>
        <w:t>as</w:t>
      </w:r>
      <w:r>
        <w:rPr>
          <w:rFonts w:ascii="Aptos" w:hAnsi="Aptos"/>
          <w:spacing w:val="-3"/>
          <w:sz w:val="24"/>
        </w:rPr>
        <w:t xml:space="preserve"> </w:t>
      </w:r>
      <w:r>
        <w:rPr>
          <w:rFonts w:ascii="Arial;Helvetica;sans-serif" w:hAnsi="Arial;Helvetica;sans-serif"/>
          <w:sz w:val="20"/>
        </w:rPr>
        <w:t>that</w:t>
      </w:r>
      <w:r>
        <w:rPr>
          <w:rFonts w:ascii="Aptos" w:hAnsi="Aptos"/>
          <w:spacing w:val="-3"/>
          <w:sz w:val="24"/>
        </w:rPr>
        <w:t xml:space="preserve"> </w:t>
      </w:r>
      <w:r>
        <w:rPr>
          <w:rFonts w:ascii="Arial;Helvetica;sans-serif" w:hAnsi="Arial;Helvetica;sans-serif"/>
          <w:sz w:val="20"/>
        </w:rPr>
        <w:t>term</w:t>
      </w:r>
      <w:r>
        <w:rPr>
          <w:rFonts w:ascii="Aptos" w:hAnsi="Aptos"/>
          <w:spacing w:val="-4"/>
          <w:sz w:val="24"/>
        </w:rPr>
        <w:t xml:space="preserve"> </w:t>
      </w:r>
      <w:r>
        <w:rPr>
          <w:rFonts w:ascii="Arial;Helvetica;sans-serif" w:hAnsi="Arial;Helvetica;sans-serif"/>
          <w:sz w:val="20"/>
        </w:rPr>
        <w:t>is</w:t>
      </w:r>
      <w:r>
        <w:rPr>
          <w:rFonts w:ascii="Aptos" w:hAnsi="Aptos"/>
          <w:spacing w:val="-3"/>
          <w:sz w:val="24"/>
        </w:rPr>
        <w:t xml:space="preserve"> </w:t>
      </w:r>
      <w:r>
        <w:rPr>
          <w:rFonts w:ascii="Arial;Helvetica;sans-serif" w:hAnsi="Arial;Helvetica;sans-serif"/>
          <w:sz w:val="20"/>
        </w:rPr>
        <w:t>defined</w:t>
      </w:r>
      <w:r>
        <w:rPr>
          <w:rFonts w:ascii="Aptos" w:hAnsi="Aptos"/>
          <w:spacing w:val="-3"/>
          <w:sz w:val="24"/>
        </w:rPr>
        <w:t xml:space="preserve"> </w:t>
      </w:r>
      <w:r>
        <w:rPr>
          <w:rFonts w:ascii="Arial;Helvetica;sans-serif" w:hAnsi="Arial;Helvetica;sans-serif"/>
          <w:sz w:val="20"/>
        </w:rPr>
        <w:t>in</w:t>
      </w:r>
      <w:r>
        <w:rPr>
          <w:rFonts w:ascii="Aptos" w:hAnsi="Aptos"/>
          <w:spacing w:val="-4"/>
          <w:sz w:val="24"/>
        </w:rPr>
        <w:t xml:space="preserve"> </w:t>
      </w:r>
      <w:r>
        <w:rPr>
          <w:rFonts w:ascii="Arial;Helvetica;sans-serif" w:hAnsi="Arial;Helvetica;sans-serif"/>
          <w:sz w:val="20"/>
        </w:rPr>
        <w:t>this</w:t>
      </w:r>
      <w:r>
        <w:rPr>
          <w:rFonts w:ascii="Aptos" w:hAnsi="Aptos"/>
          <w:spacing w:val="-3"/>
          <w:sz w:val="24"/>
        </w:rPr>
        <w:t xml:space="preserve"> </w:t>
      </w:r>
      <w:r>
        <w:rPr>
          <w:rFonts w:ascii="Arial;Helvetica;sans-serif" w:hAnsi="Arial;Helvetica;sans-serif"/>
          <w:sz w:val="20"/>
        </w:rPr>
        <w:t>Section</w:t>
      </w:r>
      <w:r>
        <w:rPr>
          <w:rFonts w:ascii="Aptos" w:hAnsi="Aptos"/>
          <w:spacing w:val="-3"/>
          <w:sz w:val="24"/>
        </w:rPr>
        <w:t xml:space="preserve"> </w:t>
      </w:r>
      <w:r>
        <w:rPr>
          <w:rFonts w:ascii="Arial;Helvetica;sans-serif" w:hAnsi="Arial;Helvetica;sans-serif"/>
          <w:sz w:val="20"/>
        </w:rPr>
        <w:t>4(d),</w:t>
      </w:r>
      <w:r>
        <w:rPr>
          <w:rFonts w:ascii="Aptos" w:hAnsi="Aptos"/>
          <w:spacing w:val="-3"/>
          <w:sz w:val="24"/>
        </w:rPr>
        <w:t xml:space="preserve"> </w:t>
      </w:r>
      <w:r>
        <w:rPr>
          <w:rFonts w:ascii="Arial;Helvetica;sans-serif" w:hAnsi="Arial;Helvetica;sans-serif"/>
          <w:sz w:val="20"/>
        </w:rPr>
        <w:t>with</w:t>
      </w:r>
      <w:r>
        <w:rPr>
          <w:rFonts w:ascii="Aptos" w:hAnsi="Aptos"/>
          <w:spacing w:val="-3"/>
          <w:sz w:val="24"/>
        </w:rPr>
        <w:t xml:space="preserve"> </w:t>
      </w:r>
      <w:r>
        <w:rPr>
          <w:rFonts w:ascii="Arial;Helvetica;sans-serif" w:hAnsi="Arial;Helvetica;sans-serif"/>
          <w:sz w:val="20"/>
        </w:rPr>
        <w:t>the</w:t>
      </w:r>
      <w:r>
        <w:rPr>
          <w:rFonts w:ascii="Aptos" w:hAnsi="Aptos"/>
          <w:spacing w:val="-3"/>
          <w:sz w:val="24"/>
        </w:rPr>
        <w:t xml:space="preserve"> </w:t>
      </w:r>
      <w:r>
        <w:rPr>
          <w:rFonts w:ascii="Arial;Helvetica;sans-serif" w:hAnsi="Arial;Helvetica;sans-serif"/>
          <w:sz w:val="20"/>
        </w:rPr>
        <w:t>Company's</w:t>
      </w:r>
      <w:r>
        <w:rPr>
          <w:rFonts w:ascii="Aptos" w:hAnsi="Aptos"/>
          <w:spacing w:val="-3"/>
          <w:sz w:val="24"/>
        </w:rPr>
        <w:t xml:space="preserve"> </w:t>
      </w:r>
      <w:r>
        <w:rPr>
          <w:rFonts w:ascii="Arial;Helvetica;sans-serif" w:hAnsi="Arial;Helvetica;sans-serif"/>
          <w:sz w:val="20"/>
        </w:rPr>
        <w:t>only</w:t>
      </w:r>
      <w:r>
        <w:rPr>
          <w:rFonts w:ascii="Aptos" w:hAnsi="Aptos"/>
          <w:spacing w:val="-3"/>
          <w:sz w:val="24"/>
        </w:rPr>
        <w:t xml:space="preserve"> </w:t>
      </w:r>
      <w:r>
        <w:rPr>
          <w:rFonts w:ascii="Arial;Helvetica;sans-serif" w:hAnsi="Arial;Helvetica;sans-serif"/>
          <w:sz w:val="20"/>
        </w:rPr>
        <w:t>obligation being the payment of any salary and compensation earned as of the date of termination, reimbursement of any reasonable business expenses incurred by the Executive in accordance with the Company's expense reimbursement policies, and any continuing obligations under the Company benefit plans then in effect, and without liability for severance compensation of any kind, including Severance set forth in Section 4(b)(i).</w:t>
      </w:r>
    </w:p>
    <w:tbl>
      <w:tblPr>
        <w:tblW w:w="9119" w:type="dxa"/>
        <w:jc w:val="left"/>
        <w:tblInd w:w="0" w:type="dxa"/>
        <w:tblLayout w:type="fixed"/>
        <w:tblCellMar>
          <w:top w:w="0" w:type="dxa"/>
          <w:left w:w="0" w:type="dxa"/>
          <w:bottom w:w="0" w:type="dxa"/>
          <w:right w:w="0" w:type="dxa"/>
        </w:tblCellMar>
      </w:tblPr>
      <w:tblGrid>
        <w:gridCol w:w="23"/>
        <w:gridCol w:w="185"/>
        <w:gridCol w:w="8888"/>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w:t>
            </w:r>
          </w:p>
        </w:tc>
        <w:tc>
          <w:tcPr>
            <w:tcW w:w="8888"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u w:val="single"/>
              </w:rPr>
              <w:t>Definition</w:t>
            </w:r>
            <w:r>
              <w:rPr>
                <w:caps w:val="false"/>
                <w:smallCaps w:val="false"/>
                <w:spacing w:val="-3"/>
                <w:u w:val="single"/>
              </w:rPr>
              <w:t xml:space="preserve"> </w:t>
            </w:r>
            <w:r>
              <w:rPr>
                <w:rFonts w:ascii="Arial;Helvetica;sans-serif" w:hAnsi="Arial;Helvetica;sans-serif"/>
                <w:b w:val="false"/>
                <w:i w:val="false"/>
                <w:caps w:val="false"/>
                <w:smallCaps w:val="false"/>
                <w:sz w:val="20"/>
                <w:u w:val="single"/>
              </w:rPr>
              <w:t>of</w:t>
            </w:r>
            <w:r>
              <w:rPr>
                <w:caps w:val="false"/>
                <w:smallCaps w:val="false"/>
                <w:spacing w:val="-3"/>
                <w:u w:val="single"/>
              </w:rPr>
              <w:t xml:space="preserve"> </w:t>
            </w:r>
            <w:r>
              <w:rPr>
                <w:rFonts w:ascii="Arial;Helvetica;sans-serif" w:hAnsi="Arial;Helvetica;sans-serif"/>
                <w:b w:val="false"/>
                <w:i w:val="false"/>
                <w:caps w:val="false"/>
                <w:smallCaps w:val="false"/>
                <w:sz w:val="20"/>
                <w:u w:val="single"/>
              </w:rPr>
              <w:t>term</w:t>
            </w:r>
            <w:r>
              <w:rPr>
                <w:caps w:val="false"/>
                <w:smallCaps w:val="false"/>
                <w:spacing w:val="-4"/>
                <w:u w:val="single"/>
              </w:rPr>
              <w:t xml:space="preserve"> </w:t>
            </w:r>
            <w:r>
              <w:rPr>
                <w:rFonts w:ascii="Arial;Helvetica;sans-serif" w:hAnsi="Arial;Helvetica;sans-serif"/>
                <w:b w:val="false"/>
                <w:i w:val="false"/>
                <w:caps w:val="false"/>
                <w:smallCaps w:val="false"/>
                <w:sz w:val="20"/>
                <w:u w:val="single"/>
              </w:rPr>
              <w:t>"Cause."</w:t>
            </w:r>
            <w:r>
              <w:rPr>
                <w:caps w:val="false"/>
                <w:smallCaps w:val="false"/>
                <w:spacing w:val="40"/>
              </w:rPr>
              <w:t xml:space="preserve"> </w:t>
            </w:r>
            <w:r>
              <w:rPr>
                <w:rFonts w:ascii="Arial;Helvetica;sans-serif" w:hAnsi="Arial;Helvetica;sans-serif"/>
                <w:b w:val="false"/>
                <w:i w:val="false"/>
                <w:caps w:val="false"/>
                <w:smallCaps w:val="false"/>
                <w:sz w:val="20"/>
              </w:rPr>
              <w:t>For</w:t>
            </w:r>
            <w:r>
              <w:rPr>
                <w:caps w:val="false"/>
                <w:smallCaps w:val="false"/>
                <w:spacing w:val="-3"/>
              </w:rPr>
              <w:t xml:space="preserve"> </w:t>
            </w:r>
            <w:r>
              <w:rPr>
                <w:rFonts w:ascii="Arial;Helvetica;sans-serif" w:hAnsi="Arial;Helvetica;sans-serif"/>
                <w:b w:val="false"/>
                <w:i w:val="false"/>
                <w:caps w:val="false"/>
                <w:smallCaps w:val="false"/>
                <w:sz w:val="20"/>
              </w:rPr>
              <w:t>purposes</w:t>
            </w:r>
            <w:r>
              <w:rPr>
                <w:caps w:val="false"/>
                <w:smallCaps w:val="false"/>
                <w:spacing w:val="-3"/>
              </w:rPr>
              <w:t xml:space="preserve"> </w:t>
            </w:r>
            <w:r>
              <w:rPr>
                <w:rFonts w:ascii="Arial;Helvetica;sans-serif" w:hAnsi="Arial;Helvetica;sans-serif"/>
                <w:b w:val="false"/>
                <w:i w:val="false"/>
                <w:caps w:val="false"/>
                <w:smallCaps w:val="false"/>
                <w:sz w:val="20"/>
              </w:rPr>
              <w:t>of</w:t>
            </w:r>
            <w:r>
              <w:rPr>
                <w:caps w:val="false"/>
                <w:smallCaps w:val="false"/>
                <w:spacing w:val="-3"/>
              </w:rPr>
              <w:t xml:space="preserve"> </w:t>
            </w:r>
            <w:r>
              <w:rPr>
                <w:rFonts w:ascii="Arial;Helvetica;sans-serif" w:hAnsi="Arial;Helvetica;sans-serif"/>
                <w:b w:val="false"/>
                <w:i w:val="false"/>
                <w:caps w:val="false"/>
                <w:smallCaps w:val="false"/>
                <w:sz w:val="20"/>
              </w:rPr>
              <w:t>this</w:t>
            </w:r>
            <w:r>
              <w:rPr>
                <w:caps w:val="false"/>
                <w:smallCaps w:val="false"/>
                <w:spacing w:val="-3"/>
              </w:rPr>
              <w:t xml:space="preserve"> </w:t>
            </w:r>
            <w:r>
              <w:rPr>
                <w:rFonts w:ascii="Arial;Helvetica;sans-serif" w:hAnsi="Arial;Helvetica;sans-serif"/>
                <w:b w:val="false"/>
                <w:i w:val="false"/>
                <w:caps w:val="false"/>
                <w:smallCaps w:val="false"/>
                <w:sz w:val="20"/>
              </w:rPr>
              <w:t>Agreement,</w:t>
            </w:r>
            <w:r>
              <w:rPr>
                <w:caps w:val="false"/>
                <w:smallCaps w:val="false"/>
                <w:spacing w:val="-3"/>
              </w:rPr>
              <w:t xml:space="preserve"> </w:t>
            </w:r>
            <w:r>
              <w:rPr>
                <w:rFonts w:ascii="Arial;Helvetica;sans-serif" w:hAnsi="Arial;Helvetica;sans-serif"/>
                <w:b w:val="false"/>
                <w:i w:val="false"/>
                <w:caps w:val="false"/>
                <w:smallCaps w:val="false"/>
                <w:sz w:val="20"/>
              </w:rPr>
              <w:t>"Cause"</w:t>
            </w:r>
            <w:r>
              <w:rPr>
                <w:caps w:val="false"/>
                <w:smallCaps w:val="false"/>
                <w:spacing w:val="-3"/>
              </w:rPr>
              <w:t xml:space="preserve"> </w:t>
            </w:r>
            <w:r>
              <w:rPr>
                <w:rFonts w:ascii="Arial;Helvetica;sans-serif" w:hAnsi="Arial;Helvetica;sans-serif"/>
                <w:b w:val="false"/>
                <w:i w:val="false"/>
                <w:caps w:val="false"/>
                <w:smallCaps w:val="false"/>
                <w:sz w:val="20"/>
              </w:rPr>
              <w:t>shall</w:t>
            </w:r>
            <w:r>
              <w:rPr>
                <w:caps w:val="false"/>
                <w:smallCaps w:val="false"/>
                <w:spacing w:val="-3"/>
              </w:rPr>
              <w:t xml:space="preserve"> </w:t>
            </w:r>
            <w:r>
              <w:rPr>
                <w:rFonts w:ascii="Arial;Helvetica;sans-serif" w:hAnsi="Arial;Helvetica;sans-serif"/>
                <w:b w:val="false"/>
                <w:i w:val="false"/>
                <w:caps w:val="false"/>
                <w:smallCaps w:val="false"/>
                <w:sz w:val="20"/>
              </w:rPr>
              <w:t>have</w:t>
            </w:r>
            <w:r>
              <w:rPr>
                <w:caps w:val="false"/>
                <w:smallCaps w:val="false"/>
                <w:spacing w:val="-3"/>
              </w:rPr>
              <w:t xml:space="preserve"> </w:t>
            </w:r>
            <w:r>
              <w:rPr>
                <w:rFonts w:ascii="Arial;Helvetica;sans-serif" w:hAnsi="Arial;Helvetica;sans-serif"/>
                <w:b w:val="false"/>
                <w:i w:val="false"/>
                <w:caps w:val="false"/>
                <w:smallCaps w:val="false"/>
                <w:sz w:val="20"/>
              </w:rPr>
              <w:t>the</w:t>
            </w:r>
            <w:r>
              <w:rPr>
                <w:caps w:val="false"/>
                <w:smallCaps w:val="false"/>
                <w:spacing w:val="-3"/>
              </w:rPr>
              <w:t xml:space="preserve"> </w:t>
            </w:r>
            <w:r>
              <w:rPr>
                <w:rFonts w:ascii="Arial;Helvetica;sans-serif" w:hAnsi="Arial;Helvetica;sans-serif"/>
                <w:b w:val="false"/>
                <w:i w:val="false"/>
                <w:caps w:val="false"/>
                <w:smallCaps w:val="false"/>
                <w:sz w:val="20"/>
              </w:rPr>
              <w:t xml:space="preserve">following </w:t>
            </w:r>
            <w:r>
              <w:rPr>
                <w:rFonts w:ascii="Arial;Helvetica;sans-serif" w:hAnsi="Arial;Helvetica;sans-serif"/>
                <w:b w:val="false"/>
                <w:i w:val="false"/>
                <w:caps w:val="false"/>
                <w:smallCaps w:val="false"/>
                <w:spacing w:val="-2"/>
                <w:sz w:val="20"/>
              </w:rPr>
              <w:t>meaning:</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ind w:left="720" w:right="355" w:hanging="0"/>
        <w:jc w:val="left"/>
        <w:rPr>
          <w:rFonts w:ascii="Aptos" w:hAnsi="Aptos"/>
          <w:sz w:val="24"/>
        </w:rPr>
      </w:pPr>
      <w:r>
        <w:rPr>
          <w:rFonts w:ascii="Arial;Helvetica;sans-serif" w:hAnsi="Arial;Helvetica;sans-serif"/>
          <w:sz w:val="20"/>
        </w:rPr>
        <w:t>(i)Fraud,</w:t>
      </w:r>
      <w:r>
        <w:rPr>
          <w:rFonts w:ascii="Aptos" w:hAnsi="Aptos"/>
          <w:spacing w:val="-4"/>
          <w:sz w:val="24"/>
        </w:rPr>
        <w:t xml:space="preserve"> </w:t>
      </w:r>
      <w:r>
        <w:rPr>
          <w:rFonts w:ascii="Arial;Helvetica;sans-serif" w:hAnsi="Arial;Helvetica;sans-serif"/>
          <w:sz w:val="20"/>
        </w:rPr>
        <w:t>theft,</w:t>
      </w:r>
      <w:r>
        <w:rPr>
          <w:rFonts w:ascii="Aptos" w:hAnsi="Aptos"/>
          <w:spacing w:val="-4"/>
          <w:sz w:val="24"/>
        </w:rPr>
        <w:t xml:space="preserve"> </w:t>
      </w:r>
      <w:r>
        <w:rPr>
          <w:rFonts w:ascii="Arial;Helvetica;sans-serif" w:hAnsi="Arial;Helvetica;sans-serif"/>
          <w:sz w:val="20"/>
        </w:rPr>
        <w:t>embezzlement</w:t>
      </w:r>
      <w:r>
        <w:rPr>
          <w:rFonts w:ascii="Aptos" w:hAnsi="Aptos"/>
          <w:spacing w:val="-4"/>
          <w:sz w:val="24"/>
        </w:rPr>
        <w:t xml:space="preserve"> </w:t>
      </w:r>
      <w:r>
        <w:rPr>
          <w:rFonts w:ascii="Arial;Helvetica;sans-serif" w:hAnsi="Arial;Helvetica;sans-serif"/>
          <w:sz w:val="20"/>
        </w:rPr>
        <w:t>(or</w:t>
      </w:r>
      <w:r>
        <w:rPr>
          <w:rFonts w:ascii="Aptos" w:hAnsi="Aptos"/>
          <w:spacing w:val="-4"/>
          <w:sz w:val="24"/>
        </w:rPr>
        <w:t xml:space="preserve"> </w:t>
      </w:r>
      <w:r>
        <w:rPr>
          <w:rFonts w:ascii="Arial;Helvetica;sans-serif" w:hAnsi="Arial;Helvetica;sans-serif"/>
          <w:sz w:val="20"/>
        </w:rPr>
        <w:t>attempted</w:t>
      </w:r>
      <w:r>
        <w:rPr>
          <w:rFonts w:ascii="Aptos" w:hAnsi="Aptos"/>
          <w:spacing w:val="-4"/>
          <w:sz w:val="24"/>
        </w:rPr>
        <w:t xml:space="preserve"> </w:t>
      </w:r>
      <w:r>
        <w:rPr>
          <w:rFonts w:ascii="Arial;Helvetica;sans-serif" w:hAnsi="Arial;Helvetica;sans-serif"/>
          <w:sz w:val="20"/>
        </w:rPr>
        <w:t>fraud,</w:t>
      </w:r>
      <w:r>
        <w:rPr>
          <w:rFonts w:ascii="Aptos" w:hAnsi="Aptos"/>
          <w:spacing w:val="-4"/>
          <w:sz w:val="24"/>
        </w:rPr>
        <w:t xml:space="preserve"> </w:t>
      </w:r>
      <w:r>
        <w:rPr>
          <w:rFonts w:ascii="Arial;Helvetica;sans-serif" w:hAnsi="Arial;Helvetica;sans-serif"/>
          <w:sz w:val="20"/>
        </w:rPr>
        <w:t>theft,</w:t>
      </w:r>
      <w:r>
        <w:rPr>
          <w:rFonts w:ascii="Aptos" w:hAnsi="Aptos"/>
          <w:spacing w:val="-4"/>
          <w:sz w:val="24"/>
        </w:rPr>
        <w:t xml:space="preserve"> </w:t>
      </w:r>
      <w:r>
        <w:rPr>
          <w:rFonts w:ascii="Arial;Helvetica;sans-serif" w:hAnsi="Arial;Helvetica;sans-serif"/>
          <w:sz w:val="20"/>
        </w:rPr>
        <w:t>embezzlement),</w:t>
      </w:r>
      <w:r>
        <w:rPr>
          <w:rFonts w:ascii="Aptos" w:hAnsi="Aptos"/>
          <w:spacing w:val="-4"/>
          <w:sz w:val="24"/>
        </w:rPr>
        <w:t xml:space="preserve"> </w:t>
      </w:r>
      <w:r>
        <w:rPr>
          <w:rFonts w:ascii="Arial;Helvetica;sans-serif" w:hAnsi="Arial;Helvetica;sans-serif"/>
          <w:sz w:val="20"/>
        </w:rPr>
        <w:t>dishonest</w:t>
      </w:r>
      <w:r>
        <w:rPr>
          <w:rFonts w:ascii="Aptos" w:hAnsi="Aptos"/>
          <w:spacing w:val="-4"/>
          <w:sz w:val="24"/>
        </w:rPr>
        <w:t xml:space="preserve"> </w:t>
      </w:r>
      <w:r>
        <w:rPr>
          <w:rFonts w:ascii="Arial;Helvetica;sans-serif" w:hAnsi="Arial;Helvetica;sans-serif"/>
          <w:sz w:val="20"/>
        </w:rPr>
        <w:t>acts or illegal conduct;</w:t>
      </w:r>
    </w:p>
    <w:p>
      <w:pPr>
        <w:pStyle w:val="TextBody"/>
        <w:bidi w:val="0"/>
        <w:spacing w:lineRule="auto" w:line="331" w:before="0" w:after="160"/>
        <w:ind w:left="0" w:right="0" w:hanging="0"/>
        <w:jc w:val="left"/>
        <w:rPr/>
      </w:pPr>
      <w:r>
        <w:rPr/>
        <w:t>​</w:t>
      </w:r>
    </w:p>
    <w:p>
      <w:pPr>
        <w:pStyle w:val="TextBody"/>
        <w:bidi w:val="0"/>
        <w:spacing w:lineRule="auto" w:line="285" w:before="0" w:after="0"/>
        <w:ind w:left="720" w:right="568" w:hanging="0"/>
        <w:jc w:val="both"/>
        <w:rPr>
          <w:rFonts w:ascii="Aptos" w:hAnsi="Aptos"/>
          <w:sz w:val="24"/>
        </w:rPr>
      </w:pPr>
      <w:r>
        <w:rPr>
          <w:rFonts w:ascii="Arial;Helvetica;sans-serif" w:hAnsi="Arial;Helvetica;sans-serif"/>
          <w:sz w:val="20"/>
        </w:rPr>
        <w:t>(ii)Other</w:t>
      </w:r>
      <w:r>
        <w:rPr>
          <w:rFonts w:ascii="Aptos" w:hAnsi="Aptos"/>
          <w:spacing w:val="-3"/>
          <w:sz w:val="24"/>
        </w:rPr>
        <w:t xml:space="preserve"> </w:t>
      </w:r>
      <w:r>
        <w:rPr>
          <w:rFonts w:ascii="Arial;Helvetica;sans-serif" w:hAnsi="Arial;Helvetica;sans-serif"/>
          <w:sz w:val="20"/>
        </w:rPr>
        <w:t>similar</w:t>
      </w:r>
      <w:r>
        <w:rPr>
          <w:rFonts w:ascii="Aptos" w:hAnsi="Aptos"/>
          <w:spacing w:val="-3"/>
          <w:sz w:val="24"/>
        </w:rPr>
        <w:t xml:space="preserve"> </w:t>
      </w:r>
      <w:r>
        <w:rPr>
          <w:rFonts w:ascii="Arial;Helvetica;sans-serif" w:hAnsi="Arial;Helvetica;sans-serif"/>
          <w:sz w:val="20"/>
        </w:rPr>
        <w:t>acts</w:t>
      </w:r>
      <w:r>
        <w:rPr>
          <w:rFonts w:ascii="Aptos" w:hAnsi="Aptos"/>
          <w:spacing w:val="-3"/>
          <w:sz w:val="24"/>
        </w:rPr>
        <w:t xml:space="preserve"> </w:t>
      </w:r>
      <w:r>
        <w:rPr>
          <w:rFonts w:ascii="Arial;Helvetica;sans-serif" w:hAnsi="Arial;Helvetica;sans-serif"/>
          <w:sz w:val="20"/>
        </w:rPr>
        <w:t>of</w:t>
      </w:r>
      <w:r>
        <w:rPr>
          <w:rFonts w:ascii="Aptos" w:hAnsi="Aptos"/>
          <w:spacing w:val="-3"/>
          <w:sz w:val="24"/>
        </w:rPr>
        <w:t xml:space="preserve"> </w:t>
      </w:r>
      <w:r>
        <w:rPr>
          <w:rFonts w:ascii="Arial;Helvetica;sans-serif" w:hAnsi="Arial;Helvetica;sans-serif"/>
          <w:sz w:val="20"/>
        </w:rPr>
        <w:t>willful</w:t>
      </w:r>
      <w:r>
        <w:rPr>
          <w:rFonts w:ascii="Aptos" w:hAnsi="Aptos"/>
          <w:spacing w:val="-3"/>
          <w:sz w:val="24"/>
        </w:rPr>
        <w:t xml:space="preserve"> </w:t>
      </w:r>
      <w:r>
        <w:rPr>
          <w:rFonts w:ascii="Arial;Helvetica;sans-serif" w:hAnsi="Arial;Helvetica;sans-serif"/>
          <w:sz w:val="20"/>
        </w:rPr>
        <w:t>misconduct</w:t>
      </w:r>
      <w:r>
        <w:rPr>
          <w:rFonts w:ascii="Aptos" w:hAnsi="Aptos"/>
          <w:spacing w:val="-3"/>
          <w:sz w:val="24"/>
        </w:rPr>
        <w:t xml:space="preserve"> </w:t>
      </w:r>
      <w:r>
        <w:rPr>
          <w:rFonts w:ascii="Arial;Helvetica;sans-serif" w:hAnsi="Arial;Helvetica;sans-serif"/>
          <w:sz w:val="20"/>
        </w:rPr>
        <w:t>on</w:t>
      </w:r>
      <w:r>
        <w:rPr>
          <w:rFonts w:ascii="Aptos" w:hAnsi="Aptos"/>
          <w:spacing w:val="-3"/>
          <w:sz w:val="24"/>
        </w:rPr>
        <w:t xml:space="preserve"> </w:t>
      </w:r>
      <w:r>
        <w:rPr>
          <w:rFonts w:ascii="Arial;Helvetica;sans-serif" w:hAnsi="Arial;Helvetica;sans-serif"/>
          <w:sz w:val="20"/>
        </w:rPr>
        <w:t>the</w:t>
      </w:r>
      <w:r>
        <w:rPr>
          <w:rFonts w:ascii="Aptos" w:hAnsi="Aptos"/>
          <w:spacing w:val="-3"/>
          <w:sz w:val="24"/>
        </w:rPr>
        <w:t xml:space="preserve"> </w:t>
      </w:r>
      <w:r>
        <w:rPr>
          <w:rFonts w:ascii="Arial;Helvetica;sans-serif" w:hAnsi="Arial;Helvetica;sans-serif"/>
          <w:sz w:val="20"/>
        </w:rPr>
        <w:t>part</w:t>
      </w:r>
      <w:r>
        <w:rPr>
          <w:rFonts w:ascii="Aptos" w:hAnsi="Aptos"/>
          <w:spacing w:val="-3"/>
          <w:sz w:val="24"/>
        </w:rPr>
        <w:t xml:space="preserve"> </w:t>
      </w:r>
      <w:r>
        <w:rPr>
          <w:rFonts w:ascii="Arial;Helvetica;sans-serif" w:hAnsi="Arial;Helvetica;sans-serif"/>
          <w:sz w:val="20"/>
        </w:rPr>
        <w:t>of</w:t>
      </w:r>
      <w:r>
        <w:rPr>
          <w:rFonts w:ascii="Aptos" w:hAnsi="Aptos"/>
          <w:spacing w:val="-3"/>
          <w:sz w:val="24"/>
        </w:rPr>
        <w:t xml:space="preserve"> </w:t>
      </w:r>
      <w:r>
        <w:rPr>
          <w:rFonts w:ascii="Arial;Helvetica;sans-serif" w:hAnsi="Arial;Helvetica;sans-serif"/>
          <w:sz w:val="20"/>
        </w:rPr>
        <w:t>Executive</w:t>
      </w:r>
      <w:r>
        <w:rPr>
          <w:rFonts w:ascii="Aptos" w:hAnsi="Aptos"/>
          <w:spacing w:val="-3"/>
          <w:sz w:val="24"/>
        </w:rPr>
        <w:t xml:space="preserve"> </w:t>
      </w:r>
      <w:r>
        <w:rPr>
          <w:rFonts w:ascii="Arial;Helvetica;sans-serif" w:hAnsi="Arial;Helvetica;sans-serif"/>
          <w:sz w:val="20"/>
        </w:rPr>
        <w:t>resulting</w:t>
      </w:r>
      <w:r>
        <w:rPr>
          <w:rFonts w:ascii="Aptos" w:hAnsi="Aptos"/>
          <w:spacing w:val="-3"/>
          <w:sz w:val="24"/>
        </w:rPr>
        <w:t xml:space="preserve"> </w:t>
      </w:r>
      <w:r>
        <w:rPr>
          <w:rFonts w:ascii="Arial;Helvetica;sans-serif" w:hAnsi="Arial;Helvetica;sans-serif"/>
          <w:sz w:val="20"/>
        </w:rPr>
        <w:t>in</w:t>
      </w:r>
      <w:r>
        <w:rPr>
          <w:rFonts w:ascii="Aptos" w:hAnsi="Aptos"/>
          <w:spacing w:val="-3"/>
          <w:sz w:val="24"/>
        </w:rPr>
        <w:t xml:space="preserve"> </w:t>
      </w:r>
      <w:r>
        <w:rPr>
          <w:rFonts w:ascii="Arial;Helvetica;sans-serif" w:hAnsi="Arial;Helvetica;sans-serif"/>
          <w:sz w:val="20"/>
        </w:rPr>
        <w:t>damage to</w:t>
      </w:r>
      <w:r>
        <w:rPr>
          <w:rFonts w:ascii="Aptos" w:hAnsi="Aptos"/>
          <w:spacing w:val="-3"/>
          <w:sz w:val="24"/>
        </w:rPr>
        <w:t xml:space="preserve"> </w:t>
      </w:r>
      <w:r>
        <w:rPr>
          <w:rFonts w:ascii="Arial;Helvetica;sans-serif" w:hAnsi="Arial;Helvetica;sans-serif"/>
          <w:sz w:val="20"/>
        </w:rPr>
        <w:t>TTEC</w:t>
      </w:r>
      <w:r>
        <w:rPr>
          <w:rFonts w:ascii="Aptos" w:hAnsi="Aptos"/>
          <w:spacing w:val="-4"/>
          <w:sz w:val="24"/>
        </w:rPr>
        <w:t xml:space="preserve"> </w:t>
      </w:r>
      <w:r>
        <w:rPr>
          <w:rFonts w:ascii="Arial;Helvetica;sans-serif" w:hAnsi="Arial;Helvetica;sans-serif"/>
          <w:sz w:val="20"/>
        </w:rPr>
        <w:t>Parent</w:t>
      </w:r>
      <w:r>
        <w:rPr>
          <w:rFonts w:ascii="Aptos" w:hAnsi="Aptos"/>
          <w:spacing w:val="-3"/>
          <w:sz w:val="24"/>
        </w:rPr>
        <w:t xml:space="preserve"> </w:t>
      </w:r>
      <w:r>
        <w:rPr>
          <w:rFonts w:ascii="Arial;Helvetica;sans-serif" w:hAnsi="Arial;Helvetica;sans-serif"/>
          <w:sz w:val="20"/>
        </w:rPr>
        <w:t>or</w:t>
      </w:r>
      <w:r>
        <w:rPr>
          <w:rFonts w:ascii="Aptos" w:hAnsi="Aptos"/>
          <w:spacing w:val="-3"/>
          <w:sz w:val="24"/>
        </w:rPr>
        <w:t xml:space="preserve"> </w:t>
      </w:r>
      <w:r>
        <w:rPr>
          <w:rFonts w:ascii="Arial;Helvetica;sans-serif" w:hAnsi="Arial;Helvetica;sans-serif"/>
          <w:sz w:val="20"/>
        </w:rPr>
        <w:t>the</w:t>
      </w:r>
      <w:r>
        <w:rPr>
          <w:rFonts w:ascii="Aptos" w:hAnsi="Aptos"/>
          <w:spacing w:val="-3"/>
          <w:sz w:val="24"/>
        </w:rPr>
        <w:t xml:space="preserve"> </w:t>
      </w:r>
      <w:r>
        <w:rPr>
          <w:rFonts w:ascii="Arial;Helvetica;sans-serif" w:hAnsi="Arial;Helvetica;sans-serif"/>
          <w:sz w:val="20"/>
        </w:rPr>
        <w:t>Company,</w:t>
      </w:r>
      <w:r>
        <w:rPr>
          <w:rFonts w:ascii="Aptos" w:hAnsi="Aptos"/>
          <w:spacing w:val="-3"/>
          <w:sz w:val="24"/>
        </w:rPr>
        <w:t xml:space="preserve"> </w:t>
      </w:r>
      <w:r>
        <w:rPr>
          <w:rFonts w:ascii="Arial;Helvetica;sans-serif" w:hAnsi="Arial;Helvetica;sans-serif"/>
          <w:sz w:val="20"/>
        </w:rPr>
        <w:t>including</w:t>
      </w:r>
      <w:r>
        <w:rPr>
          <w:rFonts w:ascii="Aptos" w:hAnsi="Aptos"/>
          <w:spacing w:val="-3"/>
          <w:sz w:val="24"/>
        </w:rPr>
        <w:t xml:space="preserve"> </w:t>
      </w:r>
      <w:r>
        <w:rPr>
          <w:rFonts w:ascii="Arial;Helvetica;sans-serif" w:hAnsi="Arial;Helvetica;sans-serif"/>
          <w:sz w:val="20"/>
        </w:rPr>
        <w:t>without</w:t>
      </w:r>
      <w:r>
        <w:rPr>
          <w:rFonts w:ascii="Aptos" w:hAnsi="Aptos"/>
          <w:spacing w:val="-3"/>
          <w:sz w:val="24"/>
        </w:rPr>
        <w:t xml:space="preserve"> </w:t>
      </w:r>
      <w:r>
        <w:rPr>
          <w:rFonts w:ascii="Arial;Helvetica;sans-serif" w:hAnsi="Arial;Helvetica;sans-serif"/>
          <w:sz w:val="20"/>
        </w:rPr>
        <w:t>limitation</w:t>
      </w:r>
      <w:r>
        <w:rPr>
          <w:rFonts w:ascii="Aptos" w:hAnsi="Aptos"/>
          <w:spacing w:val="-3"/>
          <w:sz w:val="24"/>
        </w:rPr>
        <w:t xml:space="preserve"> </w:t>
      </w:r>
      <w:r>
        <w:rPr>
          <w:rFonts w:ascii="Arial;Helvetica;sans-serif" w:hAnsi="Arial;Helvetica;sans-serif"/>
          <w:sz w:val="20"/>
        </w:rPr>
        <w:t>a</w:t>
      </w:r>
      <w:r>
        <w:rPr>
          <w:rFonts w:ascii="Aptos" w:hAnsi="Aptos"/>
          <w:spacing w:val="-3"/>
          <w:sz w:val="24"/>
        </w:rPr>
        <w:t xml:space="preserve"> </w:t>
      </w:r>
      <w:r>
        <w:rPr>
          <w:rFonts w:ascii="Arial;Helvetica;sans-serif" w:hAnsi="Arial;Helvetica;sans-serif"/>
          <w:sz w:val="20"/>
        </w:rPr>
        <w:t>material</w:t>
      </w:r>
      <w:r>
        <w:rPr>
          <w:rFonts w:ascii="Aptos" w:hAnsi="Aptos"/>
          <w:spacing w:val="-3"/>
          <w:sz w:val="24"/>
        </w:rPr>
        <w:t xml:space="preserve"> </w:t>
      </w:r>
      <w:r>
        <w:rPr>
          <w:rFonts w:ascii="Arial;Helvetica;sans-serif" w:hAnsi="Arial;Helvetica;sans-serif"/>
          <w:sz w:val="20"/>
        </w:rPr>
        <w:t>breach</w:t>
      </w:r>
      <w:r>
        <w:rPr>
          <w:rFonts w:ascii="Aptos" w:hAnsi="Aptos"/>
          <w:spacing w:val="-3"/>
          <w:sz w:val="24"/>
        </w:rPr>
        <w:t xml:space="preserve"> </w:t>
      </w:r>
      <w:r>
        <w:rPr>
          <w:rFonts w:ascii="Arial;Helvetica;sans-serif" w:hAnsi="Arial;Helvetica;sans-serif"/>
          <w:sz w:val="20"/>
        </w:rPr>
        <w:t>by</w:t>
      </w:r>
      <w:r>
        <w:rPr>
          <w:rFonts w:ascii="Aptos" w:hAnsi="Aptos"/>
          <w:spacing w:val="-3"/>
          <w:sz w:val="24"/>
        </w:rPr>
        <w:t xml:space="preserve"> </w:t>
      </w:r>
      <w:r>
        <w:rPr>
          <w:rFonts w:ascii="Arial;Helvetica;sans-serif" w:hAnsi="Arial;Helvetica;sans-serif"/>
          <w:sz w:val="20"/>
        </w:rPr>
        <w:t>the</w:t>
      </w:r>
      <w:r>
        <w:rPr>
          <w:rFonts w:ascii="Aptos" w:hAnsi="Aptos"/>
          <w:spacing w:val="-3"/>
          <w:sz w:val="24"/>
        </w:rPr>
        <w:t xml:space="preserve"> </w:t>
      </w:r>
      <w:r>
        <w:rPr>
          <w:rFonts w:ascii="Arial;Helvetica;sans-serif" w:hAnsi="Arial;Helvetica;sans-serif"/>
          <w:sz w:val="20"/>
        </w:rPr>
        <w:t>Executive of</w:t>
      </w:r>
      <w:r>
        <w:rPr>
          <w:rFonts w:ascii="Aptos" w:hAnsi="Aptos"/>
          <w:spacing w:val="-2"/>
          <w:sz w:val="24"/>
        </w:rPr>
        <w:t xml:space="preserve"> </w:t>
      </w:r>
      <w:r>
        <w:rPr>
          <w:rFonts w:ascii="Arial;Helvetica;sans-serif" w:hAnsi="Arial;Helvetica;sans-serif"/>
          <w:sz w:val="20"/>
        </w:rPr>
        <w:t>the</w:t>
      </w:r>
      <w:r>
        <w:rPr>
          <w:rFonts w:ascii="Aptos" w:hAnsi="Aptos"/>
          <w:spacing w:val="-2"/>
          <w:sz w:val="24"/>
        </w:rPr>
        <w:t xml:space="preserve"> </w:t>
      </w:r>
      <w:r>
        <w:rPr>
          <w:rFonts w:ascii="Arial;Helvetica;sans-serif" w:hAnsi="Arial;Helvetica;sans-serif"/>
          <w:sz w:val="20"/>
        </w:rPr>
        <w:t>requirements</w:t>
      </w:r>
      <w:r>
        <w:rPr>
          <w:rFonts w:ascii="Aptos" w:hAnsi="Aptos"/>
          <w:spacing w:val="-2"/>
          <w:sz w:val="24"/>
        </w:rPr>
        <w:t xml:space="preserve"> </w:t>
      </w:r>
      <w:r>
        <w:rPr>
          <w:rFonts w:ascii="Arial;Helvetica;sans-serif" w:hAnsi="Arial;Helvetica;sans-serif"/>
          <w:sz w:val="20"/>
        </w:rPr>
        <w:t>of</w:t>
      </w:r>
      <w:r>
        <w:rPr>
          <w:rFonts w:ascii="Aptos" w:hAnsi="Aptos"/>
          <w:spacing w:val="-2"/>
          <w:sz w:val="24"/>
        </w:rPr>
        <w:t xml:space="preserve"> </w:t>
      </w:r>
      <w:r>
        <w:rPr>
          <w:rFonts w:ascii="Arial;Helvetica;sans-serif" w:hAnsi="Arial;Helvetica;sans-serif"/>
          <w:sz w:val="20"/>
        </w:rPr>
        <w:t>the</w:t>
      </w:r>
      <w:r>
        <w:rPr>
          <w:rFonts w:ascii="Aptos" w:hAnsi="Aptos"/>
          <w:spacing w:val="-2"/>
          <w:sz w:val="24"/>
        </w:rPr>
        <w:t xml:space="preserve"> </w:t>
      </w:r>
      <w:r>
        <w:rPr>
          <w:rFonts w:ascii="Arial;Helvetica;sans-serif" w:hAnsi="Arial;Helvetica;sans-serif"/>
          <w:sz w:val="20"/>
        </w:rPr>
        <w:t>TTEC</w:t>
      </w:r>
      <w:r>
        <w:rPr>
          <w:rFonts w:ascii="Aptos" w:hAnsi="Aptos"/>
          <w:spacing w:val="-3"/>
          <w:sz w:val="24"/>
        </w:rPr>
        <w:t xml:space="preserve"> </w:t>
      </w:r>
      <w:r>
        <w:rPr>
          <w:rFonts w:ascii="Arial;Helvetica;sans-serif" w:hAnsi="Arial;Helvetica;sans-serif"/>
          <w:sz w:val="20"/>
        </w:rPr>
        <w:t>Ethics</w:t>
      </w:r>
      <w:r>
        <w:rPr>
          <w:rFonts w:ascii="Aptos" w:hAnsi="Aptos"/>
          <w:spacing w:val="-2"/>
          <w:sz w:val="24"/>
        </w:rPr>
        <w:t xml:space="preserve"> </w:t>
      </w:r>
      <w:r>
        <w:rPr>
          <w:rFonts w:ascii="Arial;Helvetica;sans-serif" w:hAnsi="Arial;Helvetica;sans-serif"/>
          <w:sz w:val="20"/>
        </w:rPr>
        <w:t>Code</w:t>
      </w:r>
      <w:r>
        <w:rPr>
          <w:rFonts w:ascii="Aptos" w:hAnsi="Aptos"/>
          <w:spacing w:val="-2"/>
          <w:sz w:val="24"/>
        </w:rPr>
        <w:t xml:space="preserve"> </w:t>
      </w:r>
      <w:r>
        <w:rPr>
          <w:rFonts w:ascii="Arial;Helvetica;sans-serif" w:hAnsi="Arial;Helvetica;sans-serif"/>
          <w:sz w:val="20"/>
        </w:rPr>
        <w:t>that</w:t>
      </w:r>
      <w:r>
        <w:rPr>
          <w:rFonts w:ascii="Aptos" w:hAnsi="Aptos"/>
          <w:spacing w:val="-2"/>
          <w:sz w:val="24"/>
        </w:rPr>
        <w:t xml:space="preserve"> </w:t>
      </w:r>
      <w:r>
        <w:rPr>
          <w:rFonts w:ascii="Arial;Helvetica;sans-serif" w:hAnsi="Arial;Helvetica;sans-serif"/>
          <w:sz w:val="20"/>
        </w:rPr>
        <w:t>results</w:t>
      </w:r>
      <w:r>
        <w:rPr>
          <w:rFonts w:ascii="Aptos" w:hAnsi="Aptos"/>
          <w:spacing w:val="-2"/>
          <w:sz w:val="24"/>
        </w:rPr>
        <w:t xml:space="preserve"> </w:t>
      </w:r>
      <w:r>
        <w:rPr>
          <w:rFonts w:ascii="Arial;Helvetica;sans-serif" w:hAnsi="Arial;Helvetica;sans-serif"/>
          <w:sz w:val="20"/>
        </w:rPr>
        <w:t>in</w:t>
      </w:r>
      <w:r>
        <w:rPr>
          <w:rFonts w:ascii="Aptos" w:hAnsi="Aptos"/>
          <w:spacing w:val="-2"/>
          <w:sz w:val="24"/>
        </w:rPr>
        <w:t xml:space="preserve"> </w:t>
      </w:r>
      <w:r>
        <w:rPr>
          <w:rFonts w:ascii="Arial;Helvetica;sans-serif" w:hAnsi="Arial;Helvetica;sans-serif"/>
          <w:sz w:val="20"/>
        </w:rPr>
        <w:t>negative</w:t>
      </w:r>
      <w:r>
        <w:rPr>
          <w:rFonts w:ascii="Aptos" w:hAnsi="Aptos"/>
          <w:spacing w:val="-2"/>
          <w:sz w:val="24"/>
        </w:rPr>
        <w:t xml:space="preserve"> </w:t>
      </w:r>
      <w:r>
        <w:rPr>
          <w:rFonts w:ascii="Arial;Helvetica;sans-serif" w:hAnsi="Arial;Helvetica;sans-serif"/>
          <w:sz w:val="20"/>
        </w:rPr>
        <w:t>publicity</w:t>
      </w:r>
      <w:r>
        <w:rPr>
          <w:rFonts w:ascii="Aptos" w:hAnsi="Aptos"/>
          <w:spacing w:val="-2"/>
          <w:sz w:val="24"/>
        </w:rPr>
        <w:t xml:space="preserve"> </w:t>
      </w:r>
      <w:r>
        <w:rPr>
          <w:rFonts w:ascii="Arial;Helvetica;sans-serif" w:hAnsi="Arial;Helvetica;sans-serif"/>
          <w:sz w:val="20"/>
        </w:rPr>
        <w:t>for</w:t>
      </w:r>
      <w:r>
        <w:rPr>
          <w:rFonts w:ascii="Aptos" w:hAnsi="Aptos"/>
          <w:spacing w:val="-2"/>
          <w:sz w:val="24"/>
        </w:rPr>
        <w:t xml:space="preserve"> </w:t>
      </w:r>
      <w:r>
        <w:rPr>
          <w:rFonts w:ascii="Arial;Helvetica;sans-serif" w:hAnsi="Arial;Helvetica;sans-serif"/>
          <w:sz w:val="20"/>
        </w:rPr>
        <w:t>the</w:t>
      </w:r>
      <w:r>
        <w:rPr>
          <w:rFonts w:ascii="Aptos" w:hAnsi="Aptos"/>
          <w:spacing w:val="-2"/>
          <w:sz w:val="24"/>
        </w:rPr>
        <w:t xml:space="preserve"> </w:t>
      </w:r>
      <w:r>
        <w:rPr>
          <w:rFonts w:ascii="Arial;Helvetica;sans-serif" w:hAnsi="Arial;Helvetica;sans-serif"/>
          <w:sz w:val="20"/>
        </w:rPr>
        <w:t>Company, TTEC Parent or any subsidiary thereof;</w:t>
      </w:r>
    </w:p>
    <w:tbl>
      <w:tblPr>
        <w:tblW w:w="5027" w:type="dxa"/>
        <w:jc w:val="left"/>
        <w:tblInd w:w="0" w:type="dxa"/>
        <w:tblLayout w:type="fixed"/>
        <w:tblCellMar>
          <w:top w:w="0" w:type="dxa"/>
          <w:left w:w="0" w:type="dxa"/>
          <w:bottom w:w="0" w:type="dxa"/>
          <w:right w:w="0" w:type="dxa"/>
        </w:tblCellMar>
      </w:tblPr>
      <w:tblGrid>
        <w:gridCol w:w="23"/>
        <w:gridCol w:w="275"/>
        <w:gridCol w:w="4729"/>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(iii)</w:t>
            </w:r>
          </w:p>
        </w:tc>
        <w:tc>
          <w:tcPr>
            <w:tcW w:w="4729"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A</w:t>
            </w:r>
            <w:r>
              <w:rPr>
                <w:caps w:val="false"/>
                <w:smallCaps w:val="false"/>
                <w:spacing w:val="-8"/>
              </w:rPr>
              <w:t xml:space="preserve"> </w:t>
            </w:r>
            <w:r>
              <w:rPr>
                <w:rFonts w:ascii="Arial;Helvetica;sans-serif" w:hAnsi="Arial;Helvetica;sans-serif"/>
                <w:b w:val="false"/>
                <w:i w:val="false"/>
                <w:caps w:val="false"/>
                <w:smallCaps w:val="false"/>
                <w:sz w:val="20"/>
              </w:rPr>
              <w:t>material</w:t>
            </w:r>
            <w:r>
              <w:rPr>
                <w:caps w:val="false"/>
                <w:smallCaps w:val="false"/>
                <w:spacing w:val="-5"/>
              </w:rPr>
              <w:t xml:space="preserve"> </w:t>
            </w:r>
            <w:r>
              <w:rPr>
                <w:rFonts w:ascii="Arial;Helvetica;sans-serif" w:hAnsi="Arial;Helvetica;sans-serif"/>
                <w:b w:val="false"/>
                <w:i w:val="false"/>
                <w:caps w:val="false"/>
                <w:smallCaps w:val="false"/>
                <w:sz w:val="20"/>
              </w:rPr>
              <w:t>breach</w:t>
            </w:r>
            <w:r>
              <w:rPr>
                <w:caps w:val="false"/>
                <w:smallCaps w:val="false"/>
                <w:spacing w:val="-4"/>
              </w:rPr>
              <w:t xml:space="preserve"> </w:t>
            </w:r>
            <w:r>
              <w:rPr>
                <w:rFonts w:ascii="Arial;Helvetica;sans-serif" w:hAnsi="Arial;Helvetica;sans-serif"/>
                <w:b w:val="false"/>
                <w:i w:val="false"/>
                <w:caps w:val="false"/>
                <w:smallCaps w:val="false"/>
                <w:sz w:val="20"/>
              </w:rPr>
              <w:t>by</w:t>
            </w:r>
            <w:r>
              <w:rPr>
                <w:caps w:val="false"/>
                <w:smallCaps w:val="false"/>
                <w:spacing w:val="-5"/>
              </w:rPr>
              <w:t xml:space="preserve"> </w:t>
            </w:r>
            <w:r>
              <w:rPr>
                <w:rFonts w:ascii="Arial;Helvetica;sans-serif" w:hAnsi="Arial;Helvetica;sans-serif"/>
                <w:b w:val="false"/>
                <w:i w:val="false"/>
                <w:caps w:val="false"/>
                <w:smallCaps w:val="false"/>
                <w:sz w:val="20"/>
              </w:rPr>
              <w:t>the</w:t>
            </w:r>
            <w:r>
              <w:rPr>
                <w:caps w:val="false"/>
                <w:smallCaps w:val="false"/>
                <w:spacing w:val="-5"/>
              </w:rPr>
              <w:t xml:space="preserve"> </w:t>
            </w:r>
            <w:r>
              <w:rPr>
                <w:rFonts w:ascii="Arial;Helvetica;sans-serif" w:hAnsi="Arial;Helvetica;sans-serif"/>
                <w:b w:val="false"/>
                <w:i w:val="false"/>
                <w:caps w:val="false"/>
                <w:smallCaps w:val="false"/>
                <w:sz w:val="20"/>
              </w:rPr>
              <w:t>Executive</w:t>
            </w:r>
            <w:r>
              <w:rPr>
                <w:caps w:val="false"/>
                <w:smallCaps w:val="false"/>
                <w:spacing w:val="-4"/>
              </w:rPr>
              <w:t xml:space="preserve"> </w:t>
            </w:r>
            <w:r>
              <w:rPr>
                <w:rFonts w:ascii="Arial;Helvetica;sans-serif" w:hAnsi="Arial;Helvetica;sans-serif"/>
                <w:b w:val="false"/>
                <w:i w:val="false"/>
                <w:caps w:val="false"/>
                <w:smallCaps w:val="false"/>
                <w:sz w:val="20"/>
              </w:rPr>
              <w:t>of</w:t>
            </w:r>
            <w:r>
              <w:rPr>
                <w:caps w:val="false"/>
                <w:smallCaps w:val="false"/>
                <w:spacing w:val="-5"/>
              </w:rPr>
              <w:t xml:space="preserve"> </w:t>
            </w:r>
            <w:r>
              <w:rPr>
                <w:rFonts w:ascii="Arial;Helvetica;sans-serif" w:hAnsi="Arial;Helvetica;sans-serif"/>
                <w:b w:val="false"/>
                <w:i w:val="false"/>
                <w:caps w:val="false"/>
                <w:smallCaps w:val="false"/>
                <w:sz w:val="20"/>
              </w:rPr>
              <w:t>this</w:t>
            </w:r>
            <w:r>
              <w:rPr>
                <w:caps w:val="false"/>
                <w:smallCaps w:val="false"/>
                <w:spacing w:val="-4"/>
              </w:rPr>
              <w:t xml:space="preserve"> </w:t>
            </w:r>
            <w:r>
              <w:rPr>
                <w:rFonts w:ascii="Arial;Helvetica;sans-serif" w:hAnsi="Arial;Helvetica;sans-serif"/>
                <w:b w:val="false"/>
                <w:i w:val="false"/>
                <w:caps w:val="false"/>
                <w:smallCaps w:val="false"/>
                <w:spacing w:val="-2"/>
                <w:sz w:val="20"/>
              </w:rPr>
              <w:t>Agreement;</w:t>
            </w:r>
          </w:p>
        </w:tc>
      </w:tr>
    </w:tbl>
    <w:p>
      <w:pPr>
        <w:pStyle w:val="TextBody"/>
        <w:bidi w:val="0"/>
        <w:spacing w:lineRule="auto" w:line="331" w:before="0" w:after="160"/>
        <w:ind w:left="0" w:right="0" w:hanging="0"/>
        <w:jc w:val="left"/>
        <w:rPr/>
      </w:pPr>
      <w:r>
        <w:rPr/>
        <w:t>​</w:t>
      </w:r>
    </w:p>
    <w:p>
      <w:pPr>
        <w:pStyle w:val="TextBody"/>
        <w:bidi w:val="0"/>
        <w:spacing w:lineRule="auto" w:line="285"/>
        <w:ind w:left="720" w:right="381" w:hanging="0"/>
        <w:jc w:val="left"/>
        <w:rPr>
          <w:rFonts w:ascii="Aptos" w:hAnsi="Aptos"/>
          <w:sz w:val="24"/>
        </w:rPr>
      </w:pPr>
      <w:r>
        <w:rPr>
          <w:rFonts w:ascii="Arial;Helvetica;sans-serif" w:hAnsi="Arial;Helvetica;sans-serif"/>
          <w:sz w:val="20"/>
        </w:rPr>
        <w:t>(iv)Use of any controlled substance or alcohol while performing Executive's duties, except</w:t>
      </w:r>
      <w:r>
        <w:rPr>
          <w:rFonts w:ascii="Aptos" w:hAnsi="Aptos"/>
          <w:spacing w:val="-3"/>
          <w:sz w:val="24"/>
        </w:rPr>
        <w:t xml:space="preserve"> </w:t>
      </w:r>
      <w:r>
        <w:rPr>
          <w:rFonts w:ascii="Arial;Helvetica;sans-serif" w:hAnsi="Arial;Helvetica;sans-serif"/>
          <w:sz w:val="20"/>
        </w:rPr>
        <w:t>as</w:t>
      </w:r>
      <w:r>
        <w:rPr>
          <w:rFonts w:ascii="Aptos" w:hAnsi="Aptos"/>
          <w:spacing w:val="-3"/>
          <w:sz w:val="24"/>
        </w:rPr>
        <w:t xml:space="preserve"> </w:t>
      </w:r>
      <w:r>
        <w:rPr>
          <w:rFonts w:ascii="Arial;Helvetica;sans-serif" w:hAnsi="Arial;Helvetica;sans-serif"/>
          <w:sz w:val="20"/>
        </w:rPr>
        <w:t>part</w:t>
      </w:r>
      <w:r>
        <w:rPr>
          <w:rFonts w:ascii="Aptos" w:hAnsi="Aptos"/>
          <w:spacing w:val="-3"/>
          <w:sz w:val="24"/>
        </w:rPr>
        <w:t xml:space="preserve"> </w:t>
      </w:r>
      <w:r>
        <w:rPr>
          <w:rFonts w:ascii="Arial;Helvetica;sans-serif" w:hAnsi="Arial;Helvetica;sans-serif"/>
          <w:sz w:val="20"/>
        </w:rPr>
        <w:t>of</w:t>
      </w:r>
      <w:r>
        <w:rPr>
          <w:rFonts w:ascii="Aptos" w:hAnsi="Aptos"/>
          <w:spacing w:val="-3"/>
          <w:sz w:val="24"/>
        </w:rPr>
        <w:t xml:space="preserve"> </w:t>
      </w:r>
      <w:r>
        <w:rPr>
          <w:rFonts w:ascii="Arial;Helvetica;sans-serif" w:hAnsi="Arial;Helvetica;sans-serif"/>
          <w:sz w:val="20"/>
        </w:rPr>
        <w:t>a</w:t>
      </w:r>
      <w:r>
        <w:rPr>
          <w:rFonts w:ascii="Aptos" w:hAnsi="Aptos"/>
          <w:spacing w:val="-3"/>
          <w:sz w:val="24"/>
        </w:rPr>
        <w:t xml:space="preserve"> </w:t>
      </w:r>
      <w:r>
        <w:rPr>
          <w:rFonts w:ascii="Arial;Helvetica;sans-serif" w:hAnsi="Arial;Helvetica;sans-serif"/>
          <w:sz w:val="20"/>
        </w:rPr>
        <w:t>TTEC</w:t>
      </w:r>
      <w:r>
        <w:rPr>
          <w:rFonts w:ascii="Aptos" w:hAnsi="Aptos"/>
          <w:spacing w:val="-4"/>
          <w:sz w:val="24"/>
        </w:rPr>
        <w:t xml:space="preserve"> </w:t>
      </w:r>
      <w:r>
        <w:rPr>
          <w:rFonts w:ascii="Arial;Helvetica;sans-serif" w:hAnsi="Arial;Helvetica;sans-serif"/>
          <w:sz w:val="20"/>
        </w:rPr>
        <w:t>Parent</w:t>
      </w:r>
      <w:r>
        <w:rPr>
          <w:rFonts w:ascii="Aptos" w:hAnsi="Aptos"/>
          <w:spacing w:val="-3"/>
          <w:sz w:val="24"/>
        </w:rPr>
        <w:t xml:space="preserve"> </w:t>
      </w:r>
      <w:r>
        <w:rPr>
          <w:rFonts w:ascii="Arial;Helvetica;sans-serif" w:hAnsi="Arial;Helvetica;sans-serif"/>
          <w:sz w:val="20"/>
        </w:rPr>
        <w:t>or</w:t>
      </w:r>
      <w:r>
        <w:rPr>
          <w:rFonts w:ascii="Aptos" w:hAnsi="Aptos"/>
          <w:spacing w:val="-3"/>
          <w:sz w:val="24"/>
        </w:rPr>
        <w:t xml:space="preserve"> </w:t>
      </w:r>
      <w:r>
        <w:rPr>
          <w:rFonts w:ascii="Arial;Helvetica;sans-serif" w:hAnsi="Arial;Helvetica;sans-serif"/>
          <w:sz w:val="20"/>
        </w:rPr>
        <w:t>the</w:t>
      </w:r>
      <w:r>
        <w:rPr>
          <w:rFonts w:ascii="Aptos" w:hAnsi="Aptos"/>
          <w:spacing w:val="-3"/>
          <w:sz w:val="24"/>
        </w:rPr>
        <w:t xml:space="preserve"> </w:t>
      </w:r>
      <w:r>
        <w:rPr>
          <w:rFonts w:ascii="Arial;Helvetica;sans-serif" w:hAnsi="Arial;Helvetica;sans-serif"/>
          <w:sz w:val="20"/>
        </w:rPr>
        <w:t>Company-sponsored</w:t>
      </w:r>
      <w:r>
        <w:rPr>
          <w:rFonts w:ascii="Aptos" w:hAnsi="Aptos"/>
          <w:spacing w:val="-3"/>
          <w:sz w:val="24"/>
        </w:rPr>
        <w:t xml:space="preserve"> </w:t>
      </w:r>
      <w:r>
        <w:rPr>
          <w:rFonts w:ascii="Arial;Helvetica;sans-serif" w:hAnsi="Arial;Helvetica;sans-serif"/>
          <w:sz w:val="20"/>
        </w:rPr>
        <w:t>event</w:t>
      </w:r>
      <w:r>
        <w:rPr>
          <w:rFonts w:ascii="Aptos" w:hAnsi="Aptos"/>
          <w:spacing w:val="-3"/>
          <w:sz w:val="24"/>
        </w:rPr>
        <w:t xml:space="preserve"> </w:t>
      </w:r>
      <w:r>
        <w:rPr>
          <w:rFonts w:ascii="Arial;Helvetica;sans-serif" w:hAnsi="Arial;Helvetica;sans-serif"/>
          <w:sz w:val="20"/>
        </w:rPr>
        <w:t>in</w:t>
      </w:r>
      <w:r>
        <w:rPr>
          <w:rFonts w:ascii="Aptos" w:hAnsi="Aptos"/>
          <w:spacing w:val="-3"/>
          <w:sz w:val="24"/>
        </w:rPr>
        <w:t xml:space="preserve"> </w:t>
      </w:r>
      <w:r>
        <w:rPr>
          <w:rFonts w:ascii="Arial;Helvetica;sans-serif" w:hAnsi="Arial;Helvetica;sans-serif"/>
          <w:sz w:val="20"/>
        </w:rPr>
        <w:t>connection</w:t>
      </w:r>
      <w:r>
        <w:rPr>
          <w:rFonts w:ascii="Aptos" w:hAnsi="Aptos"/>
          <w:spacing w:val="-3"/>
          <w:sz w:val="24"/>
        </w:rPr>
        <w:t xml:space="preserve"> </w:t>
      </w:r>
      <w:r>
        <w:rPr>
          <w:rFonts w:ascii="Arial;Helvetica;sans-serif" w:hAnsi="Arial;Helvetica;sans-serif"/>
          <w:sz w:val="20"/>
        </w:rPr>
        <w:t>with</w:t>
      </w:r>
      <w:r>
        <w:rPr>
          <w:rFonts w:ascii="Aptos" w:hAnsi="Aptos"/>
          <w:spacing w:val="-3"/>
          <w:sz w:val="24"/>
        </w:rPr>
        <w:t xml:space="preserve"> </w:t>
      </w:r>
      <w:r>
        <w:rPr>
          <w:rFonts w:ascii="Arial;Helvetica;sans-serif" w:hAnsi="Arial;Helvetica;sans-serif"/>
          <w:sz w:val="20"/>
        </w:rPr>
        <w:t>a</w:t>
      </w:r>
      <w:r>
        <w:rPr>
          <w:rFonts w:ascii="Aptos" w:hAnsi="Aptos"/>
          <w:spacing w:val="-3"/>
          <w:sz w:val="24"/>
        </w:rPr>
        <w:t xml:space="preserve"> </w:t>
      </w:r>
      <w:r>
        <w:rPr>
          <w:rFonts w:ascii="Arial;Helvetica;sans-serif" w:hAnsi="Arial;Helvetica;sans-serif"/>
          <w:sz w:val="20"/>
        </w:rPr>
        <w:t>business-related social engagement such as a trade conference or customer entertainment, but only in moderation and in a professional manner that reflects positively on TTEC Parent and the Company; with visible inebriation at a business-related social engagement constituting a cause for immediate termination;</w:t>
      </w:r>
    </w:p>
    <w:p>
      <w:pPr>
        <w:pStyle w:val="TextBody"/>
        <w:bidi w:val="0"/>
        <w:spacing w:lineRule="auto" w:line="331" w:before="0" w:after="160"/>
        <w:ind w:left="0" w:right="0" w:hanging="0"/>
        <w:jc w:val="left"/>
        <w:rPr/>
      </w:pPr>
      <w:r>
        <w:rPr/>
        <w:t>​</w:t>
      </w:r>
    </w:p>
    <w:p>
      <w:pPr>
        <w:pStyle w:val="TextBody"/>
        <w:bidi w:val="0"/>
        <w:spacing w:lineRule="auto" w:line="285" w:before="0" w:after="0"/>
        <w:ind w:left="720" w:right="713" w:hanging="0"/>
        <w:jc w:val="left"/>
        <w:rPr>
          <w:rFonts w:ascii="Aptos" w:hAnsi="Aptos"/>
          <w:sz w:val="24"/>
        </w:rPr>
      </w:pPr>
      <w:r>
        <w:rPr>
          <w:rFonts w:ascii="Arial;Helvetica;sans-serif" w:hAnsi="Arial;Helvetica;sans-serif"/>
          <w:sz w:val="20"/>
        </w:rPr>
        <w:t>(v)A</w:t>
      </w:r>
      <w:r>
        <w:rPr>
          <w:rFonts w:ascii="Aptos" w:hAnsi="Aptos"/>
          <w:spacing w:val="-4"/>
          <w:sz w:val="24"/>
        </w:rPr>
        <w:t xml:space="preserve"> </w:t>
      </w:r>
      <w:r>
        <w:rPr>
          <w:rFonts w:ascii="Arial;Helvetica;sans-serif" w:hAnsi="Arial;Helvetica;sans-serif"/>
          <w:sz w:val="20"/>
        </w:rPr>
        <w:t>breach</w:t>
      </w:r>
      <w:r>
        <w:rPr>
          <w:rFonts w:ascii="Aptos" w:hAnsi="Aptos"/>
          <w:spacing w:val="-3"/>
          <w:sz w:val="24"/>
        </w:rPr>
        <w:t xml:space="preserve"> </w:t>
      </w:r>
      <w:r>
        <w:rPr>
          <w:rFonts w:ascii="Arial;Helvetica;sans-serif" w:hAnsi="Arial;Helvetica;sans-serif"/>
          <w:sz w:val="20"/>
        </w:rPr>
        <w:t>of</w:t>
      </w:r>
      <w:r>
        <w:rPr>
          <w:rFonts w:ascii="Aptos" w:hAnsi="Aptos"/>
          <w:spacing w:val="-3"/>
          <w:sz w:val="24"/>
        </w:rPr>
        <w:t xml:space="preserve"> </w:t>
      </w:r>
      <w:r>
        <w:rPr>
          <w:rFonts w:ascii="Arial;Helvetica;sans-serif" w:hAnsi="Arial;Helvetica;sans-serif"/>
          <w:sz w:val="20"/>
        </w:rPr>
        <w:t>fiduciary</w:t>
      </w:r>
      <w:r>
        <w:rPr>
          <w:rFonts w:ascii="Aptos" w:hAnsi="Aptos"/>
          <w:spacing w:val="-3"/>
          <w:sz w:val="24"/>
        </w:rPr>
        <w:t xml:space="preserve"> </w:t>
      </w:r>
      <w:r>
        <w:rPr>
          <w:rFonts w:ascii="Arial;Helvetica;sans-serif" w:hAnsi="Arial;Helvetica;sans-serif"/>
          <w:sz w:val="20"/>
        </w:rPr>
        <w:t>duty</w:t>
      </w:r>
      <w:r>
        <w:rPr>
          <w:rFonts w:ascii="Aptos" w:hAnsi="Aptos"/>
          <w:spacing w:val="-3"/>
          <w:sz w:val="24"/>
        </w:rPr>
        <w:t xml:space="preserve"> </w:t>
      </w:r>
      <w:r>
        <w:rPr>
          <w:rFonts w:ascii="Arial;Helvetica;sans-serif" w:hAnsi="Arial;Helvetica;sans-serif"/>
          <w:sz w:val="20"/>
        </w:rPr>
        <w:t>that</w:t>
      </w:r>
      <w:r>
        <w:rPr>
          <w:rFonts w:ascii="Aptos" w:hAnsi="Aptos"/>
          <w:spacing w:val="-3"/>
          <w:sz w:val="24"/>
        </w:rPr>
        <w:t xml:space="preserve"> </w:t>
      </w:r>
      <w:r>
        <w:rPr>
          <w:rFonts w:ascii="Arial;Helvetica;sans-serif" w:hAnsi="Arial;Helvetica;sans-serif"/>
          <w:sz w:val="20"/>
        </w:rPr>
        <w:t>results</w:t>
      </w:r>
      <w:r>
        <w:rPr>
          <w:rFonts w:ascii="Aptos" w:hAnsi="Aptos"/>
          <w:spacing w:val="-3"/>
          <w:sz w:val="24"/>
        </w:rPr>
        <w:t xml:space="preserve"> </w:t>
      </w:r>
      <w:r>
        <w:rPr>
          <w:rFonts w:ascii="Arial;Helvetica;sans-serif" w:hAnsi="Arial;Helvetica;sans-serif"/>
          <w:sz w:val="20"/>
        </w:rPr>
        <w:t>in</w:t>
      </w:r>
      <w:r>
        <w:rPr>
          <w:rFonts w:ascii="Aptos" w:hAnsi="Aptos"/>
          <w:spacing w:val="-3"/>
          <w:sz w:val="24"/>
        </w:rPr>
        <w:t xml:space="preserve"> </w:t>
      </w:r>
      <w:r>
        <w:rPr>
          <w:rFonts w:ascii="Arial;Helvetica;sans-serif" w:hAnsi="Arial;Helvetica;sans-serif"/>
          <w:sz w:val="20"/>
        </w:rPr>
        <w:t>an</w:t>
      </w:r>
      <w:r>
        <w:rPr>
          <w:rFonts w:ascii="Aptos" w:hAnsi="Aptos"/>
          <w:spacing w:val="-3"/>
          <w:sz w:val="24"/>
        </w:rPr>
        <w:t xml:space="preserve"> </w:t>
      </w:r>
      <w:r>
        <w:rPr>
          <w:rFonts w:ascii="Arial;Helvetica;sans-serif" w:hAnsi="Arial;Helvetica;sans-serif"/>
          <w:sz w:val="20"/>
        </w:rPr>
        <w:t>adverse</w:t>
      </w:r>
      <w:r>
        <w:rPr>
          <w:rFonts w:ascii="Aptos" w:hAnsi="Aptos"/>
          <w:spacing w:val="-3"/>
          <w:sz w:val="24"/>
        </w:rPr>
        <w:t xml:space="preserve"> </w:t>
      </w:r>
      <w:r>
        <w:rPr>
          <w:rFonts w:ascii="Arial;Helvetica;sans-serif" w:hAnsi="Arial;Helvetica;sans-serif"/>
          <w:sz w:val="20"/>
        </w:rPr>
        <w:t>impact</w:t>
      </w:r>
      <w:r>
        <w:rPr>
          <w:rFonts w:ascii="Aptos" w:hAnsi="Aptos"/>
          <w:spacing w:val="-3"/>
          <w:sz w:val="24"/>
        </w:rPr>
        <w:t xml:space="preserve"> </w:t>
      </w:r>
      <w:r>
        <w:rPr>
          <w:rFonts w:ascii="Arial;Helvetica;sans-serif" w:hAnsi="Arial;Helvetica;sans-serif"/>
          <w:sz w:val="20"/>
        </w:rPr>
        <w:t>to</w:t>
      </w:r>
      <w:r>
        <w:rPr>
          <w:rFonts w:ascii="Aptos" w:hAnsi="Aptos"/>
          <w:spacing w:val="-3"/>
          <w:sz w:val="24"/>
        </w:rPr>
        <w:t xml:space="preserve"> </w:t>
      </w:r>
      <w:r>
        <w:rPr>
          <w:rFonts w:ascii="Arial;Helvetica;sans-serif" w:hAnsi="Arial;Helvetica;sans-serif"/>
          <w:sz w:val="20"/>
        </w:rPr>
        <w:t>TTEC</w:t>
      </w:r>
      <w:r>
        <w:rPr>
          <w:rFonts w:ascii="Aptos" w:hAnsi="Aptos"/>
          <w:spacing w:val="-4"/>
          <w:sz w:val="24"/>
        </w:rPr>
        <w:t xml:space="preserve"> </w:t>
      </w:r>
      <w:r>
        <w:rPr>
          <w:rFonts w:ascii="Arial;Helvetica;sans-serif" w:hAnsi="Arial;Helvetica;sans-serif"/>
          <w:sz w:val="20"/>
        </w:rPr>
        <w:t>Parent</w:t>
      </w:r>
      <w:r>
        <w:rPr>
          <w:rFonts w:ascii="Aptos" w:hAnsi="Aptos"/>
          <w:spacing w:val="-3"/>
          <w:sz w:val="24"/>
        </w:rPr>
        <w:t xml:space="preserve"> </w:t>
      </w:r>
      <w:r>
        <w:rPr>
          <w:rFonts w:ascii="Arial;Helvetica;sans-serif" w:hAnsi="Arial;Helvetica;sans-serif"/>
          <w:sz w:val="20"/>
        </w:rPr>
        <w:t>or</w:t>
      </w:r>
      <w:r>
        <w:rPr>
          <w:rFonts w:ascii="Aptos" w:hAnsi="Aptos"/>
          <w:spacing w:val="-3"/>
          <w:sz w:val="24"/>
        </w:rPr>
        <w:t xml:space="preserve"> </w:t>
      </w:r>
      <w:r>
        <w:rPr>
          <w:rFonts w:ascii="Arial;Helvetica;sans-serif" w:hAnsi="Arial;Helvetica;sans-serif"/>
          <w:sz w:val="20"/>
        </w:rPr>
        <w:t>the Company or in personal profit to the Executive (as determined by the Company based on its conflicts of interest policies outlined in the TTEC Ethics Code);</w:t>
      </w:r>
    </w:p>
    <w:p>
      <w:pPr>
        <w:pStyle w:val="TextBody"/>
        <w:bidi w:val="0"/>
        <w:spacing w:lineRule="auto" w:line="285" w:before="226" w:after="283"/>
        <w:ind w:left="720" w:right="805" w:hanging="0"/>
        <w:jc w:val="left"/>
        <w:rPr>
          <w:rFonts w:ascii="Aptos" w:hAnsi="Aptos"/>
          <w:sz w:val="24"/>
        </w:rPr>
      </w:pPr>
      <w:r>
        <w:rPr>
          <w:rFonts w:ascii="Arial;Helvetica;sans-serif" w:hAnsi="Arial;Helvetica;sans-serif"/>
          <w:sz w:val="20"/>
        </w:rPr>
        <w:t>(vi)Use</w:t>
      </w:r>
      <w:r>
        <w:rPr>
          <w:rFonts w:ascii="Aptos" w:hAnsi="Aptos"/>
          <w:spacing w:val="-4"/>
          <w:sz w:val="24"/>
        </w:rPr>
        <w:t xml:space="preserve"> </w:t>
      </w:r>
      <w:r>
        <w:rPr>
          <w:rFonts w:ascii="Arial;Helvetica;sans-serif" w:hAnsi="Arial;Helvetica;sans-serif"/>
          <w:sz w:val="20"/>
        </w:rPr>
        <w:t>of</w:t>
      </w:r>
      <w:r>
        <w:rPr>
          <w:rFonts w:ascii="Aptos" w:hAnsi="Aptos"/>
          <w:spacing w:val="-4"/>
          <w:sz w:val="24"/>
        </w:rPr>
        <w:t xml:space="preserve"> </w:t>
      </w:r>
      <w:r>
        <w:rPr>
          <w:rFonts w:ascii="Arial;Helvetica;sans-serif" w:hAnsi="Arial;Helvetica;sans-serif"/>
          <w:sz w:val="20"/>
        </w:rPr>
        <w:t>trade</w:t>
      </w:r>
      <w:r>
        <w:rPr>
          <w:rFonts w:ascii="Aptos" w:hAnsi="Aptos"/>
          <w:spacing w:val="-4"/>
          <w:sz w:val="24"/>
        </w:rPr>
        <w:t xml:space="preserve"> </w:t>
      </w:r>
      <w:r>
        <w:rPr>
          <w:rFonts w:ascii="Arial;Helvetica;sans-serif" w:hAnsi="Arial;Helvetica;sans-serif"/>
          <w:sz w:val="20"/>
        </w:rPr>
        <w:t>secrets</w:t>
      </w:r>
      <w:r>
        <w:rPr>
          <w:rFonts w:ascii="Aptos" w:hAnsi="Aptos"/>
          <w:spacing w:val="-4"/>
          <w:sz w:val="24"/>
        </w:rPr>
        <w:t xml:space="preserve"> </w:t>
      </w:r>
      <w:r>
        <w:rPr>
          <w:rFonts w:ascii="Arial;Helvetica;sans-serif" w:hAnsi="Arial;Helvetica;sans-serif"/>
          <w:sz w:val="20"/>
        </w:rPr>
        <w:t>or</w:t>
      </w:r>
      <w:r>
        <w:rPr>
          <w:rFonts w:ascii="Aptos" w:hAnsi="Aptos"/>
          <w:spacing w:val="-4"/>
          <w:sz w:val="24"/>
        </w:rPr>
        <w:t xml:space="preserve"> </w:t>
      </w:r>
      <w:r>
        <w:rPr>
          <w:rFonts w:ascii="Arial;Helvetica;sans-serif" w:hAnsi="Arial;Helvetica;sans-serif"/>
          <w:sz w:val="20"/>
        </w:rPr>
        <w:t>confidential</w:t>
      </w:r>
      <w:r>
        <w:rPr>
          <w:rFonts w:ascii="Aptos" w:hAnsi="Aptos"/>
          <w:spacing w:val="-4"/>
          <w:sz w:val="24"/>
        </w:rPr>
        <w:t xml:space="preserve"> </w:t>
      </w:r>
      <w:r>
        <w:rPr>
          <w:rFonts w:ascii="Arial;Helvetica;sans-serif" w:hAnsi="Arial;Helvetica;sans-serif"/>
          <w:sz w:val="20"/>
        </w:rPr>
        <w:t>information</w:t>
      </w:r>
      <w:r>
        <w:rPr>
          <w:rFonts w:ascii="Aptos" w:hAnsi="Aptos"/>
          <w:spacing w:val="-4"/>
          <w:sz w:val="24"/>
        </w:rPr>
        <w:t xml:space="preserve"> </w:t>
      </w:r>
      <w:r>
        <w:rPr>
          <w:rFonts w:ascii="Arial;Helvetica;sans-serif" w:hAnsi="Arial;Helvetica;sans-serif"/>
          <w:sz w:val="20"/>
        </w:rPr>
        <w:t>of</w:t>
      </w:r>
      <w:r>
        <w:rPr>
          <w:rFonts w:ascii="Aptos" w:hAnsi="Aptos"/>
          <w:spacing w:val="-4"/>
          <w:sz w:val="24"/>
        </w:rPr>
        <w:t xml:space="preserve"> </w:t>
      </w:r>
      <w:r>
        <w:rPr>
          <w:rFonts w:ascii="Arial;Helvetica;sans-serif" w:hAnsi="Arial;Helvetica;sans-serif"/>
          <w:sz w:val="20"/>
        </w:rPr>
        <w:t>TTEC</w:t>
      </w:r>
      <w:r>
        <w:rPr>
          <w:rFonts w:ascii="Aptos" w:hAnsi="Aptos"/>
          <w:spacing w:val="-5"/>
          <w:sz w:val="24"/>
        </w:rPr>
        <w:t xml:space="preserve"> </w:t>
      </w:r>
      <w:r>
        <w:rPr>
          <w:rFonts w:ascii="Arial;Helvetica;sans-serif" w:hAnsi="Arial;Helvetica;sans-serif"/>
          <w:sz w:val="20"/>
        </w:rPr>
        <w:t>Parent</w:t>
      </w:r>
      <w:r>
        <w:rPr>
          <w:rFonts w:ascii="Aptos" w:hAnsi="Aptos"/>
          <w:spacing w:val="-4"/>
          <w:sz w:val="24"/>
        </w:rPr>
        <w:t xml:space="preserve"> </w:t>
      </w:r>
      <w:r>
        <w:rPr>
          <w:rFonts w:ascii="Arial;Helvetica;sans-serif" w:hAnsi="Arial;Helvetica;sans-serif"/>
          <w:sz w:val="20"/>
        </w:rPr>
        <w:t>or</w:t>
      </w:r>
      <w:r>
        <w:rPr>
          <w:rFonts w:ascii="Aptos" w:hAnsi="Aptos"/>
          <w:spacing w:val="-4"/>
          <w:sz w:val="24"/>
        </w:rPr>
        <w:t xml:space="preserve"> </w:t>
      </w:r>
      <w:r>
        <w:rPr>
          <w:rFonts w:ascii="Arial;Helvetica;sans-serif" w:hAnsi="Arial;Helvetica;sans-serif"/>
          <w:sz w:val="20"/>
        </w:rPr>
        <w:t>the</w:t>
      </w:r>
      <w:r>
        <w:rPr>
          <w:rFonts w:ascii="Aptos" w:hAnsi="Aptos"/>
          <w:spacing w:val="-4"/>
          <w:sz w:val="24"/>
        </w:rPr>
        <w:t xml:space="preserve"> </w:t>
      </w:r>
      <w:r>
        <w:rPr>
          <w:rFonts w:ascii="Arial;Helvetica;sans-serif" w:hAnsi="Arial;Helvetica;sans-serif"/>
          <w:sz w:val="20"/>
        </w:rPr>
        <w:t>Company, other than in pursuit of the Company’s or TTEC Parent's business;</w:t>
      </w:r>
    </w:p>
    <w:p>
      <w:pPr>
        <w:pStyle w:val="TextBody"/>
        <w:bidi w:val="0"/>
        <w:spacing w:lineRule="auto" w:line="331" w:before="0" w:after="160"/>
        <w:ind w:left="0" w:right="0" w:hanging="0"/>
        <w:jc w:val="left"/>
        <w:rPr/>
      </w:pPr>
      <w:r>
        <w:rPr/>
        <w:t>​</w:t>
      </w:r>
    </w:p>
    <w:p>
      <w:pPr>
        <w:pStyle w:val="TextBody"/>
        <w:bidi w:val="0"/>
        <w:spacing w:lineRule="auto" w:line="285"/>
        <w:ind w:left="720" w:right="680" w:hanging="0"/>
        <w:jc w:val="both"/>
        <w:rPr>
          <w:rFonts w:ascii="Aptos" w:hAnsi="Aptos"/>
          <w:sz w:val="24"/>
        </w:rPr>
      </w:pPr>
      <w:r>
        <w:rPr>
          <w:rFonts w:ascii="Arial;Helvetica;sans-serif" w:hAnsi="Arial;Helvetica;sans-serif"/>
          <w:sz w:val="20"/>
        </w:rPr>
        <w:t>(vii)Aiding</w:t>
      </w:r>
      <w:r>
        <w:rPr>
          <w:rFonts w:ascii="Aptos" w:hAnsi="Aptos"/>
          <w:spacing w:val="-4"/>
          <w:sz w:val="24"/>
        </w:rPr>
        <w:t xml:space="preserve"> </w:t>
      </w:r>
      <w:r>
        <w:rPr>
          <w:rFonts w:ascii="Arial;Helvetica;sans-serif" w:hAnsi="Arial;Helvetica;sans-serif"/>
          <w:sz w:val="20"/>
        </w:rPr>
        <w:t>any</w:t>
      </w:r>
      <w:r>
        <w:rPr>
          <w:rFonts w:ascii="Aptos" w:hAnsi="Aptos"/>
          <w:spacing w:val="-4"/>
          <w:sz w:val="24"/>
        </w:rPr>
        <w:t xml:space="preserve"> </w:t>
      </w:r>
      <w:r>
        <w:rPr>
          <w:rFonts w:ascii="Arial;Helvetica;sans-serif" w:hAnsi="Arial;Helvetica;sans-serif"/>
          <w:sz w:val="20"/>
        </w:rPr>
        <w:t>competitor</w:t>
      </w:r>
      <w:r>
        <w:rPr>
          <w:rFonts w:ascii="Aptos" w:hAnsi="Aptos"/>
          <w:spacing w:val="-4"/>
          <w:sz w:val="24"/>
        </w:rPr>
        <w:t xml:space="preserve"> </w:t>
      </w:r>
      <w:r>
        <w:rPr>
          <w:rFonts w:ascii="Arial;Helvetica;sans-serif" w:hAnsi="Arial;Helvetica;sans-serif"/>
          <w:sz w:val="20"/>
        </w:rPr>
        <w:t>of</w:t>
      </w:r>
      <w:r>
        <w:rPr>
          <w:rFonts w:ascii="Aptos" w:hAnsi="Aptos"/>
          <w:spacing w:val="-4"/>
          <w:sz w:val="24"/>
        </w:rPr>
        <w:t xml:space="preserve"> </w:t>
      </w:r>
      <w:r>
        <w:rPr>
          <w:rFonts w:ascii="Arial;Helvetica;sans-serif" w:hAnsi="Arial;Helvetica;sans-serif"/>
          <w:sz w:val="20"/>
        </w:rPr>
        <w:t>TTEC</w:t>
      </w:r>
      <w:r>
        <w:rPr>
          <w:rFonts w:ascii="Aptos" w:hAnsi="Aptos"/>
          <w:spacing w:val="-4"/>
          <w:sz w:val="24"/>
        </w:rPr>
        <w:t xml:space="preserve"> </w:t>
      </w:r>
      <w:r>
        <w:rPr>
          <w:rFonts w:ascii="Arial;Helvetica;sans-serif" w:hAnsi="Arial;Helvetica;sans-serif"/>
          <w:sz w:val="20"/>
        </w:rPr>
        <w:t>Parent,</w:t>
      </w:r>
      <w:r>
        <w:rPr>
          <w:rFonts w:ascii="Aptos" w:hAnsi="Aptos"/>
          <w:spacing w:val="-4"/>
          <w:sz w:val="24"/>
        </w:rPr>
        <w:t xml:space="preserve"> </w:t>
      </w:r>
      <w:r>
        <w:rPr>
          <w:rFonts w:ascii="Arial;Helvetica;sans-serif" w:hAnsi="Arial;Helvetica;sans-serif"/>
          <w:sz w:val="20"/>
        </w:rPr>
        <w:t>regardless</w:t>
      </w:r>
      <w:r>
        <w:rPr>
          <w:rFonts w:ascii="Aptos" w:hAnsi="Aptos"/>
          <w:spacing w:val="-4"/>
          <w:sz w:val="24"/>
        </w:rPr>
        <w:t xml:space="preserve"> </w:t>
      </w:r>
      <w:r>
        <w:rPr>
          <w:rFonts w:ascii="Arial;Helvetica;sans-serif" w:hAnsi="Arial;Helvetica;sans-serif"/>
          <w:sz w:val="20"/>
        </w:rPr>
        <w:t>of</w:t>
      </w:r>
      <w:r>
        <w:rPr>
          <w:rFonts w:ascii="Aptos" w:hAnsi="Aptos"/>
          <w:spacing w:val="-4"/>
          <w:sz w:val="24"/>
        </w:rPr>
        <w:t xml:space="preserve"> </w:t>
      </w:r>
      <w:r>
        <w:rPr>
          <w:rFonts w:ascii="Arial;Helvetica;sans-serif" w:hAnsi="Arial;Helvetica;sans-serif"/>
          <w:sz w:val="20"/>
        </w:rPr>
        <w:t>business</w:t>
      </w:r>
      <w:r>
        <w:rPr>
          <w:rFonts w:ascii="Aptos" w:hAnsi="Aptos"/>
          <w:spacing w:val="-4"/>
          <w:sz w:val="24"/>
        </w:rPr>
        <w:t xml:space="preserve"> </w:t>
      </w:r>
      <w:r>
        <w:rPr>
          <w:rFonts w:ascii="Arial;Helvetica;sans-serif" w:hAnsi="Arial;Helvetica;sans-serif"/>
          <w:sz w:val="20"/>
        </w:rPr>
        <w:t>segment</w:t>
      </w:r>
      <w:r>
        <w:rPr>
          <w:rFonts w:ascii="Aptos" w:hAnsi="Aptos"/>
          <w:spacing w:val="-4"/>
          <w:sz w:val="24"/>
        </w:rPr>
        <w:t xml:space="preserve"> </w:t>
      </w:r>
      <w:r>
        <w:rPr>
          <w:rFonts w:ascii="Arial;Helvetica;sans-serif" w:hAnsi="Arial;Helvetica;sans-serif"/>
          <w:sz w:val="20"/>
        </w:rPr>
        <w:t>where</w:t>
      </w:r>
      <w:r>
        <w:rPr>
          <w:rFonts w:ascii="Aptos" w:hAnsi="Aptos"/>
          <w:spacing w:val="-4"/>
          <w:sz w:val="24"/>
        </w:rPr>
        <w:t xml:space="preserve"> </w:t>
      </w:r>
      <w:r>
        <w:rPr>
          <w:rFonts w:ascii="Arial;Helvetica;sans-serif" w:hAnsi="Arial;Helvetica;sans-serif"/>
          <w:sz w:val="20"/>
        </w:rPr>
        <w:t>the competition may be relevant;</w:t>
      </w:r>
    </w:p>
    <w:p>
      <w:pPr>
        <w:pStyle w:val="TextBody"/>
        <w:bidi w:val="0"/>
        <w:spacing w:lineRule="auto" w:line="331" w:before="0" w:after="160"/>
        <w:ind w:left="0" w:right="0" w:hanging="0"/>
        <w:jc w:val="left"/>
        <w:rPr/>
      </w:pPr>
      <w:r>
        <w:rPr/>
        <w:t>​</w:t>
      </w:r>
    </w:p>
    <w:p>
      <w:pPr>
        <w:pStyle w:val="TextBody"/>
        <w:bidi w:val="0"/>
        <w:spacing w:lineRule="auto" w:line="285"/>
        <w:ind w:left="720" w:right="563" w:hanging="0"/>
        <w:jc w:val="left"/>
        <w:rPr>
          <w:rFonts w:ascii="Aptos" w:hAnsi="Aptos"/>
          <w:sz w:val="24"/>
        </w:rPr>
      </w:pPr>
      <w:r>
        <w:rPr>
          <w:rFonts w:ascii="Arial;Helvetica;sans-serif" w:hAnsi="Arial;Helvetica;sans-serif"/>
          <w:sz w:val="20"/>
        </w:rPr>
        <w:t>(viii)Failure</w:t>
      </w:r>
      <w:r>
        <w:rPr>
          <w:rFonts w:ascii="Aptos" w:hAnsi="Aptos"/>
          <w:spacing w:val="-3"/>
          <w:sz w:val="24"/>
        </w:rPr>
        <w:t xml:space="preserve"> </w:t>
      </w:r>
      <w:r>
        <w:rPr>
          <w:rFonts w:ascii="Arial;Helvetica;sans-serif" w:hAnsi="Arial;Helvetica;sans-serif"/>
          <w:sz w:val="20"/>
        </w:rPr>
        <w:t>by</w:t>
      </w:r>
      <w:r>
        <w:rPr>
          <w:rFonts w:ascii="Aptos" w:hAnsi="Aptos"/>
          <w:spacing w:val="-3"/>
          <w:sz w:val="24"/>
        </w:rPr>
        <w:t xml:space="preserve"> </w:t>
      </w:r>
      <w:r>
        <w:rPr>
          <w:rFonts w:ascii="Arial;Helvetica;sans-serif" w:hAnsi="Arial;Helvetica;sans-serif"/>
          <w:sz w:val="20"/>
        </w:rPr>
        <w:t>the</w:t>
      </w:r>
      <w:r>
        <w:rPr>
          <w:rFonts w:ascii="Aptos" w:hAnsi="Aptos"/>
          <w:spacing w:val="-3"/>
          <w:sz w:val="24"/>
        </w:rPr>
        <w:t xml:space="preserve"> </w:t>
      </w:r>
      <w:r>
        <w:rPr>
          <w:rFonts w:ascii="Arial;Helvetica;sans-serif" w:hAnsi="Arial;Helvetica;sans-serif"/>
          <w:sz w:val="20"/>
        </w:rPr>
        <w:t>Executive</w:t>
      </w:r>
      <w:r>
        <w:rPr>
          <w:rFonts w:ascii="Aptos" w:hAnsi="Aptos"/>
          <w:spacing w:val="-3"/>
          <w:sz w:val="24"/>
        </w:rPr>
        <w:t xml:space="preserve"> </w:t>
      </w:r>
      <w:r>
        <w:rPr>
          <w:rFonts w:ascii="Arial;Helvetica;sans-serif" w:hAnsi="Arial;Helvetica;sans-serif"/>
          <w:sz w:val="20"/>
        </w:rPr>
        <w:t>in</w:t>
      </w:r>
      <w:r>
        <w:rPr>
          <w:rFonts w:ascii="Aptos" w:hAnsi="Aptos"/>
          <w:spacing w:val="-3"/>
          <w:sz w:val="24"/>
        </w:rPr>
        <w:t xml:space="preserve"> </w:t>
      </w:r>
      <w:r>
        <w:rPr>
          <w:rFonts w:ascii="Arial;Helvetica;sans-serif" w:hAnsi="Arial;Helvetica;sans-serif"/>
          <w:sz w:val="20"/>
        </w:rPr>
        <w:t>the</w:t>
      </w:r>
      <w:r>
        <w:rPr>
          <w:rFonts w:ascii="Aptos" w:hAnsi="Aptos"/>
          <w:spacing w:val="-3"/>
          <w:sz w:val="24"/>
        </w:rPr>
        <w:t xml:space="preserve"> </w:t>
      </w:r>
      <w:r>
        <w:rPr>
          <w:rFonts w:ascii="Arial;Helvetica;sans-serif" w:hAnsi="Arial;Helvetica;sans-serif"/>
          <w:sz w:val="20"/>
        </w:rPr>
        <w:t>performance</w:t>
      </w:r>
      <w:r>
        <w:rPr>
          <w:rFonts w:ascii="Aptos" w:hAnsi="Aptos"/>
          <w:spacing w:val="-3"/>
          <w:sz w:val="24"/>
        </w:rPr>
        <w:t xml:space="preserve"> </w:t>
      </w:r>
      <w:r>
        <w:rPr>
          <w:rFonts w:ascii="Arial;Helvetica;sans-serif" w:hAnsi="Arial;Helvetica;sans-serif"/>
          <w:sz w:val="20"/>
        </w:rPr>
        <w:t>of</w:t>
      </w:r>
      <w:r>
        <w:rPr>
          <w:rFonts w:ascii="Aptos" w:hAnsi="Aptos"/>
          <w:spacing w:val="-3"/>
          <w:sz w:val="24"/>
        </w:rPr>
        <w:t xml:space="preserve"> </w:t>
      </w:r>
      <w:r>
        <w:rPr>
          <w:rFonts w:ascii="Arial;Helvetica;sans-serif" w:hAnsi="Arial;Helvetica;sans-serif"/>
          <w:sz w:val="20"/>
        </w:rPr>
        <w:t>his</w:t>
      </w:r>
      <w:r>
        <w:rPr>
          <w:rFonts w:ascii="Aptos" w:hAnsi="Aptos"/>
          <w:spacing w:val="-3"/>
          <w:sz w:val="24"/>
        </w:rPr>
        <w:t xml:space="preserve"> </w:t>
      </w:r>
      <w:r>
        <w:rPr>
          <w:rFonts w:ascii="Arial;Helvetica;sans-serif" w:hAnsi="Arial;Helvetica;sans-serif"/>
          <w:sz w:val="20"/>
        </w:rPr>
        <w:t>duties</w:t>
      </w:r>
      <w:r>
        <w:rPr>
          <w:rFonts w:ascii="Aptos" w:hAnsi="Aptos"/>
          <w:spacing w:val="-3"/>
          <w:sz w:val="24"/>
        </w:rPr>
        <w:t xml:space="preserve"> </w:t>
      </w:r>
      <w:r>
        <w:rPr>
          <w:rFonts w:ascii="Arial;Helvetica;sans-serif" w:hAnsi="Arial;Helvetica;sans-serif"/>
          <w:sz w:val="20"/>
        </w:rPr>
        <w:t>that</w:t>
      </w:r>
      <w:r>
        <w:rPr>
          <w:rFonts w:ascii="Aptos" w:hAnsi="Aptos"/>
          <w:spacing w:val="-3"/>
          <w:sz w:val="24"/>
        </w:rPr>
        <w:t xml:space="preserve"> </w:t>
      </w:r>
      <w:r>
        <w:rPr>
          <w:rFonts w:ascii="Arial;Helvetica;sans-serif" w:hAnsi="Arial;Helvetica;sans-serif"/>
          <w:sz w:val="20"/>
        </w:rPr>
        <w:t>results</w:t>
      </w:r>
      <w:r>
        <w:rPr>
          <w:rFonts w:ascii="Aptos" w:hAnsi="Aptos"/>
          <w:spacing w:val="-3"/>
          <w:sz w:val="24"/>
        </w:rPr>
        <w:t xml:space="preserve"> </w:t>
      </w:r>
      <w:r>
        <w:rPr>
          <w:rFonts w:ascii="Arial;Helvetica;sans-serif" w:hAnsi="Arial;Helvetica;sans-serif"/>
          <w:sz w:val="20"/>
        </w:rPr>
        <w:t>in</w:t>
      </w:r>
      <w:r>
        <w:rPr>
          <w:rFonts w:ascii="Aptos" w:hAnsi="Aptos"/>
          <w:spacing w:val="-3"/>
          <w:sz w:val="24"/>
        </w:rPr>
        <w:t xml:space="preserve"> </w:t>
      </w:r>
      <w:r>
        <w:rPr>
          <w:rFonts w:ascii="Arial;Helvetica;sans-serif" w:hAnsi="Arial;Helvetica;sans-serif"/>
          <w:sz w:val="20"/>
        </w:rPr>
        <w:t>material adverse effect on the Company, TTEC Parent or TTEC Parent’s subsidiary companies, as formally determined by TTEC Parent Board of Directors.</w:t>
      </w:r>
    </w:p>
    <w:p>
      <w:pPr>
        <w:pStyle w:val="TextBody"/>
        <w:bidi w:val="0"/>
        <w:spacing w:lineRule="auto" w:line="285" w:before="227" w:after="0"/>
        <w:ind w:left="720" w:right="386" w:hanging="0"/>
        <w:jc w:val="left"/>
        <w:rPr>
          <w:rFonts w:ascii="Aptos" w:hAnsi="Aptos"/>
          <w:sz w:val="20"/>
        </w:rPr>
      </w:pPr>
      <w:r>
        <w:rPr>
          <w:rFonts w:ascii="Arial;Helvetica;sans-serif" w:hAnsi="Arial;Helvetica;sans-serif"/>
          <w:sz w:val="20"/>
        </w:rPr>
        <w:t>If the act or acts constituting Cause are susceptible to cure, Company will provide Executive with written notice setting forth the acts constituting Cause and providing that Executive may cure such acts within thirty (30) business days of receipt of such notice. Any recurrence of acts constituting</w:t>
      </w:r>
      <w:r>
        <w:rPr>
          <w:rFonts w:ascii="Aptos" w:hAnsi="Aptos"/>
          <w:spacing w:val="-3"/>
          <w:sz w:val="20"/>
        </w:rPr>
        <w:t xml:space="preserve"> </w:t>
      </w:r>
      <w:r>
        <w:rPr>
          <w:rFonts w:ascii="Arial;Helvetica;sans-serif" w:hAnsi="Arial;Helvetica;sans-serif"/>
          <w:sz w:val="20"/>
        </w:rPr>
        <w:t>Cause</w:t>
      </w:r>
      <w:r>
        <w:rPr>
          <w:rFonts w:ascii="Aptos" w:hAnsi="Aptos"/>
          <w:spacing w:val="-3"/>
          <w:sz w:val="20"/>
        </w:rPr>
        <w:t xml:space="preserve"> </w:t>
      </w:r>
      <w:r>
        <w:rPr>
          <w:rFonts w:ascii="Arial;Helvetica;sans-serif" w:hAnsi="Arial;Helvetica;sans-serif"/>
          <w:sz w:val="20"/>
        </w:rPr>
        <w:t>within</w:t>
      </w:r>
      <w:r>
        <w:rPr>
          <w:rFonts w:ascii="Aptos" w:hAnsi="Aptos"/>
          <w:spacing w:val="-3"/>
          <w:sz w:val="20"/>
        </w:rPr>
        <w:t xml:space="preserve"> </w:t>
      </w:r>
      <w:r>
        <w:rPr>
          <w:rFonts w:ascii="Arial;Helvetica;sans-serif" w:hAnsi="Arial;Helvetica;sans-serif"/>
          <w:sz w:val="20"/>
        </w:rPr>
        <w:t>one</w:t>
      </w:r>
      <w:r>
        <w:rPr>
          <w:rFonts w:ascii="Aptos" w:hAnsi="Aptos"/>
          <w:spacing w:val="-3"/>
          <w:sz w:val="20"/>
        </w:rPr>
        <w:t xml:space="preserve"> </w:t>
      </w:r>
      <w:r>
        <w:rPr>
          <w:rFonts w:ascii="Arial;Helvetica;sans-serif" w:hAnsi="Arial;Helvetica;sans-serif"/>
          <w:sz w:val="20"/>
        </w:rPr>
        <w:t>(1)</w:t>
      </w:r>
      <w:r>
        <w:rPr>
          <w:rFonts w:ascii="Aptos" w:hAnsi="Aptos"/>
          <w:spacing w:val="-3"/>
          <w:sz w:val="20"/>
        </w:rPr>
        <w:t xml:space="preserve"> </w:t>
      </w:r>
      <w:r>
        <w:rPr>
          <w:rFonts w:ascii="Arial;Helvetica;sans-serif" w:hAnsi="Arial;Helvetica;sans-serif"/>
          <w:sz w:val="20"/>
        </w:rPr>
        <w:t>year</w:t>
      </w:r>
      <w:r>
        <w:rPr>
          <w:rFonts w:ascii="Aptos" w:hAnsi="Aptos"/>
          <w:spacing w:val="-3"/>
          <w:sz w:val="20"/>
        </w:rPr>
        <w:t xml:space="preserve"> </w:t>
      </w:r>
      <w:r>
        <w:rPr>
          <w:rFonts w:ascii="Arial;Helvetica;sans-serif" w:hAnsi="Arial;Helvetica;sans-serif"/>
          <w:sz w:val="20"/>
        </w:rPr>
        <w:t>of</w:t>
      </w:r>
      <w:r>
        <w:rPr>
          <w:rFonts w:ascii="Aptos" w:hAnsi="Aptos"/>
          <w:spacing w:val="-3"/>
          <w:sz w:val="20"/>
        </w:rPr>
        <w:t xml:space="preserve"> </w:t>
      </w:r>
      <w:r>
        <w:rPr>
          <w:rFonts w:ascii="Arial;Helvetica;sans-serif" w:hAnsi="Arial;Helvetica;sans-serif"/>
          <w:sz w:val="20"/>
        </w:rPr>
        <w:t>the</w:t>
      </w:r>
      <w:r>
        <w:rPr>
          <w:rFonts w:ascii="Aptos" w:hAnsi="Aptos"/>
          <w:spacing w:val="-3"/>
          <w:sz w:val="20"/>
        </w:rPr>
        <w:t xml:space="preserve"> </w:t>
      </w:r>
      <w:r>
        <w:rPr>
          <w:rFonts w:ascii="Arial;Helvetica;sans-serif" w:hAnsi="Arial;Helvetica;sans-serif"/>
          <w:sz w:val="20"/>
        </w:rPr>
        <w:t>original</w:t>
      </w:r>
      <w:r>
        <w:rPr>
          <w:rFonts w:ascii="Aptos" w:hAnsi="Aptos"/>
          <w:spacing w:val="-3"/>
          <w:sz w:val="20"/>
        </w:rPr>
        <w:t xml:space="preserve"> </w:t>
      </w:r>
      <w:r>
        <w:rPr>
          <w:rFonts w:ascii="Arial;Helvetica;sans-serif" w:hAnsi="Arial;Helvetica;sans-serif"/>
          <w:sz w:val="20"/>
        </w:rPr>
        <w:t>occurrence</w:t>
      </w:r>
      <w:r>
        <w:rPr>
          <w:rFonts w:ascii="Aptos" w:hAnsi="Aptos"/>
          <w:spacing w:val="-3"/>
          <w:sz w:val="20"/>
        </w:rPr>
        <w:t xml:space="preserve"> </w:t>
      </w:r>
      <w:r>
        <w:rPr>
          <w:rFonts w:ascii="Arial;Helvetica;sans-serif" w:hAnsi="Arial;Helvetica;sans-serif"/>
          <w:sz w:val="20"/>
        </w:rPr>
        <w:t>will</w:t>
      </w:r>
      <w:r>
        <w:rPr>
          <w:rFonts w:ascii="Aptos" w:hAnsi="Aptos"/>
          <w:spacing w:val="-3"/>
          <w:sz w:val="20"/>
        </w:rPr>
        <w:t xml:space="preserve"> </w:t>
      </w:r>
      <w:r>
        <w:rPr>
          <w:rFonts w:ascii="Arial;Helvetica;sans-serif" w:hAnsi="Arial;Helvetica;sans-serif"/>
          <w:sz w:val="20"/>
        </w:rPr>
        <w:t>void</w:t>
      </w:r>
      <w:r>
        <w:rPr>
          <w:rFonts w:ascii="Aptos" w:hAnsi="Aptos"/>
          <w:spacing w:val="-3"/>
          <w:sz w:val="20"/>
        </w:rPr>
        <w:t xml:space="preserve"> </w:t>
      </w:r>
      <w:r>
        <w:rPr>
          <w:rFonts w:ascii="Arial;Helvetica;sans-serif" w:hAnsi="Arial;Helvetica;sans-serif"/>
          <w:sz w:val="20"/>
        </w:rPr>
        <w:t>Executive's</w:t>
      </w:r>
      <w:r>
        <w:rPr>
          <w:rFonts w:ascii="Aptos" w:hAnsi="Aptos"/>
          <w:spacing w:val="-3"/>
          <w:sz w:val="20"/>
        </w:rPr>
        <w:t xml:space="preserve"> </w:t>
      </w:r>
      <w:r>
        <w:rPr>
          <w:rFonts w:ascii="Arial;Helvetica;sans-serif" w:hAnsi="Arial;Helvetica;sans-serif"/>
          <w:sz w:val="20"/>
        </w:rPr>
        <w:t>right</w:t>
      </w:r>
      <w:r>
        <w:rPr>
          <w:rFonts w:ascii="Aptos" w:hAnsi="Aptos"/>
          <w:spacing w:val="-3"/>
          <w:sz w:val="20"/>
        </w:rPr>
        <w:t xml:space="preserve"> </w:t>
      </w:r>
      <w:r>
        <w:rPr>
          <w:rFonts w:ascii="Arial;Helvetica;sans-serif" w:hAnsi="Arial;Helvetica;sans-serif"/>
          <w:sz w:val="20"/>
        </w:rPr>
        <w:t>to</w:t>
      </w:r>
      <w:r>
        <w:rPr>
          <w:rFonts w:ascii="Aptos" w:hAnsi="Aptos"/>
          <w:spacing w:val="-3"/>
          <w:sz w:val="20"/>
        </w:rPr>
        <w:t xml:space="preserve"> </w:t>
      </w:r>
      <w:r>
        <w:rPr>
          <w:rFonts w:ascii="Arial;Helvetica;sans-serif" w:hAnsi="Arial;Helvetica;sans-serif"/>
          <w:sz w:val="20"/>
        </w:rPr>
        <w:t>such pre-termination right to cure.</w:t>
      </w:r>
    </w:p>
    <w:p>
      <w:pPr>
        <w:pStyle w:val="TextBody"/>
        <w:bidi w:val="0"/>
        <w:spacing w:lineRule="auto" w:line="285" w:before="0" w:after="0"/>
        <w:ind w:left="0" w:right="0" w:hanging="0"/>
        <w:jc w:val="right"/>
        <w:rPr>
          <w:rFonts w:ascii="Arial;Helvetica;sans-serif" w:hAnsi="Arial;Helvetica;sans-serif"/>
          <w:sz w:val="22"/>
        </w:rPr>
      </w:pPr>
      <w:r>
        <w:rPr>
          <w:rFonts w:ascii="Arial;Helvetica;sans-serif" w:hAnsi="Arial;Helvetica;sans-serif"/>
          <w:sz w:val="22"/>
        </w:rPr>
        <w:t xml:space="preserve">Page </w:t>
      </w:r>
      <w:r>
        <w:rPr>
          <w:rFonts w:ascii="Arial;Helvetica;sans-serif" w:hAnsi="Arial;Helvetica;sans-serif"/>
          <w:b/>
          <w:sz w:val="22"/>
        </w:rPr>
        <w:t>5</w:t>
      </w:r>
      <w:r>
        <w:rPr>
          <w:rFonts w:ascii="Arial;Helvetica;sans-serif" w:hAnsi="Arial;Helvetica;sans-serif"/>
          <w:sz w:val="22"/>
        </w:rPr>
        <w:t xml:space="preserve"> of </w:t>
      </w:r>
      <w:r>
        <w:rPr>
          <w:rFonts w:ascii="Arial;Helvetica;sans-serif" w:hAnsi="Arial;Helvetica;sans-serif"/>
          <w:b/>
          <w:sz w:val="22"/>
        </w:rPr>
        <w:t>15</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360" w:right="504" w:hanging="0"/>
        <w:jc w:val="left"/>
        <w:rPr>
          <w:rFonts w:ascii="Aptos" w:hAnsi="Aptos"/>
          <w:sz w:val="24"/>
        </w:rPr>
      </w:pPr>
      <w:r>
        <w:rPr>
          <w:rFonts w:ascii="Arial;Helvetica;sans-serif" w:hAnsi="Arial;Helvetica;sans-serif"/>
          <w:sz w:val="20"/>
        </w:rPr>
        <w:t>e.</w:t>
      </w:r>
      <w:r>
        <w:rPr>
          <w:rFonts w:ascii="Arial;Helvetica;sans-serif" w:hAnsi="Arial;Helvetica;sans-serif"/>
          <w:b/>
          <w:sz w:val="20"/>
        </w:rPr>
        <w:t xml:space="preserve">Termination upon Executive's Death. </w:t>
      </w:r>
      <w:r>
        <w:rPr>
          <w:rFonts w:ascii="Arial;Helvetica;sans-serif" w:hAnsi="Arial;Helvetica;sans-serif"/>
          <w:sz w:val="20"/>
        </w:rPr>
        <w:t>This Agreement shall terminate immediately upon Executive's death. Thereafter, the Company shall pay to the Executive's estate all compensation fully</w:t>
      </w:r>
      <w:r>
        <w:rPr>
          <w:rFonts w:ascii="Aptos" w:hAnsi="Aptos"/>
          <w:spacing w:val="-3"/>
          <w:sz w:val="24"/>
        </w:rPr>
        <w:t xml:space="preserve"> </w:t>
      </w:r>
      <w:r>
        <w:rPr>
          <w:rFonts w:ascii="Arial;Helvetica;sans-serif" w:hAnsi="Arial;Helvetica;sans-serif"/>
          <w:sz w:val="20"/>
        </w:rPr>
        <w:t>earned,</w:t>
      </w:r>
      <w:r>
        <w:rPr>
          <w:rFonts w:ascii="Aptos" w:hAnsi="Aptos"/>
          <w:spacing w:val="-3"/>
          <w:sz w:val="24"/>
        </w:rPr>
        <w:t xml:space="preserve"> </w:t>
      </w:r>
      <w:r>
        <w:rPr>
          <w:rFonts w:ascii="Arial;Helvetica;sans-serif" w:hAnsi="Arial;Helvetica;sans-serif"/>
          <w:sz w:val="20"/>
        </w:rPr>
        <w:t>and</w:t>
      </w:r>
      <w:r>
        <w:rPr>
          <w:rFonts w:ascii="Aptos" w:hAnsi="Aptos"/>
          <w:spacing w:val="-3"/>
          <w:sz w:val="24"/>
        </w:rPr>
        <w:t xml:space="preserve"> </w:t>
      </w:r>
      <w:r>
        <w:rPr>
          <w:rFonts w:ascii="Arial;Helvetica;sans-serif" w:hAnsi="Arial;Helvetica;sans-serif"/>
          <w:sz w:val="20"/>
        </w:rPr>
        <w:t>benefits</w:t>
      </w:r>
      <w:r>
        <w:rPr>
          <w:rFonts w:ascii="Aptos" w:hAnsi="Aptos"/>
          <w:spacing w:val="-3"/>
          <w:sz w:val="24"/>
        </w:rPr>
        <w:t xml:space="preserve"> </w:t>
      </w:r>
      <w:r>
        <w:rPr>
          <w:rFonts w:ascii="Arial;Helvetica;sans-serif" w:hAnsi="Arial;Helvetica;sans-serif"/>
          <w:sz w:val="20"/>
        </w:rPr>
        <w:t>fully</w:t>
      </w:r>
      <w:r>
        <w:rPr>
          <w:rFonts w:ascii="Aptos" w:hAnsi="Aptos"/>
          <w:spacing w:val="-3"/>
          <w:sz w:val="24"/>
        </w:rPr>
        <w:t xml:space="preserve"> </w:t>
      </w:r>
      <w:r>
        <w:rPr>
          <w:rFonts w:ascii="Arial;Helvetica;sans-serif" w:hAnsi="Arial;Helvetica;sans-serif"/>
          <w:sz w:val="20"/>
        </w:rPr>
        <w:t>vested</w:t>
      </w:r>
      <w:r>
        <w:rPr>
          <w:rFonts w:ascii="Aptos" w:hAnsi="Aptos"/>
          <w:spacing w:val="-3"/>
          <w:sz w:val="24"/>
        </w:rPr>
        <w:t xml:space="preserve"> </w:t>
      </w:r>
      <w:r>
        <w:rPr>
          <w:rFonts w:ascii="Arial;Helvetica;sans-serif" w:hAnsi="Arial;Helvetica;sans-serif"/>
          <w:sz w:val="20"/>
        </w:rPr>
        <w:t>as</w:t>
      </w:r>
      <w:r>
        <w:rPr>
          <w:rFonts w:ascii="Aptos" w:hAnsi="Aptos"/>
          <w:spacing w:val="-3"/>
          <w:sz w:val="24"/>
        </w:rPr>
        <w:t xml:space="preserve"> </w:t>
      </w:r>
      <w:r>
        <w:rPr>
          <w:rFonts w:ascii="Arial;Helvetica;sans-serif" w:hAnsi="Arial;Helvetica;sans-serif"/>
          <w:sz w:val="20"/>
        </w:rPr>
        <w:t>of</w:t>
      </w:r>
      <w:r>
        <w:rPr>
          <w:rFonts w:ascii="Aptos" w:hAnsi="Aptos"/>
          <w:spacing w:val="-3"/>
          <w:sz w:val="24"/>
        </w:rPr>
        <w:t xml:space="preserve"> </w:t>
      </w:r>
      <w:r>
        <w:rPr>
          <w:rFonts w:ascii="Arial;Helvetica;sans-serif" w:hAnsi="Arial;Helvetica;sans-serif"/>
          <w:sz w:val="20"/>
        </w:rPr>
        <w:t>the</w:t>
      </w:r>
      <w:r>
        <w:rPr>
          <w:rFonts w:ascii="Aptos" w:hAnsi="Aptos"/>
          <w:spacing w:val="-3"/>
          <w:sz w:val="24"/>
        </w:rPr>
        <w:t xml:space="preserve"> </w:t>
      </w:r>
      <w:r>
        <w:rPr>
          <w:rFonts w:ascii="Arial;Helvetica;sans-serif" w:hAnsi="Arial;Helvetica;sans-serif"/>
          <w:sz w:val="20"/>
        </w:rPr>
        <w:t>last</w:t>
      </w:r>
      <w:r>
        <w:rPr>
          <w:rFonts w:ascii="Aptos" w:hAnsi="Aptos"/>
          <w:spacing w:val="-3"/>
          <w:sz w:val="24"/>
        </w:rPr>
        <w:t xml:space="preserve"> </w:t>
      </w:r>
      <w:r>
        <w:rPr>
          <w:rFonts w:ascii="Arial;Helvetica;sans-serif" w:hAnsi="Arial;Helvetica;sans-serif"/>
          <w:sz w:val="20"/>
        </w:rPr>
        <w:t>date</w:t>
      </w:r>
      <w:r>
        <w:rPr>
          <w:rFonts w:ascii="Aptos" w:hAnsi="Aptos"/>
          <w:spacing w:val="-3"/>
          <w:sz w:val="24"/>
        </w:rPr>
        <w:t xml:space="preserve"> </w:t>
      </w:r>
      <w:r>
        <w:rPr>
          <w:rFonts w:ascii="Arial;Helvetica;sans-serif" w:hAnsi="Arial;Helvetica;sans-serif"/>
          <w:sz w:val="20"/>
        </w:rPr>
        <w:t>of</w:t>
      </w:r>
      <w:r>
        <w:rPr>
          <w:rFonts w:ascii="Aptos" w:hAnsi="Aptos"/>
          <w:spacing w:val="-3"/>
          <w:sz w:val="24"/>
        </w:rPr>
        <w:t xml:space="preserve"> </w:t>
      </w:r>
      <w:r>
        <w:rPr>
          <w:rFonts w:ascii="Arial;Helvetica;sans-serif" w:hAnsi="Arial;Helvetica;sans-serif"/>
          <w:sz w:val="20"/>
        </w:rPr>
        <w:t>Executive's</w:t>
      </w:r>
      <w:r>
        <w:rPr>
          <w:rFonts w:ascii="Aptos" w:hAnsi="Aptos"/>
          <w:spacing w:val="-3"/>
          <w:sz w:val="24"/>
        </w:rPr>
        <w:t xml:space="preserve"> </w:t>
      </w:r>
      <w:r>
        <w:rPr>
          <w:rFonts w:ascii="Arial;Helvetica;sans-serif" w:hAnsi="Arial;Helvetica;sans-serif"/>
          <w:sz w:val="20"/>
        </w:rPr>
        <w:t>continuous,</w:t>
      </w:r>
      <w:r>
        <w:rPr>
          <w:rFonts w:ascii="Aptos" w:hAnsi="Aptos"/>
          <w:spacing w:val="-3"/>
          <w:sz w:val="24"/>
        </w:rPr>
        <w:t xml:space="preserve"> </w:t>
      </w:r>
      <w:r>
        <w:rPr>
          <w:rFonts w:ascii="Arial;Helvetica;sans-serif" w:hAnsi="Arial;Helvetica;sans-serif"/>
          <w:sz w:val="20"/>
        </w:rPr>
        <w:t>full-time</w:t>
      </w:r>
      <w:r>
        <w:rPr>
          <w:rFonts w:ascii="Aptos" w:hAnsi="Aptos"/>
          <w:spacing w:val="-3"/>
          <w:sz w:val="24"/>
        </w:rPr>
        <w:t xml:space="preserve"> </w:t>
      </w:r>
      <w:r>
        <w:rPr>
          <w:rFonts w:ascii="Arial;Helvetica;sans-serif" w:hAnsi="Arial;Helvetica;sans-serif"/>
          <w:sz w:val="20"/>
        </w:rPr>
        <w:t>active employment with the Company; and will provide the estate with the reimbursement of any reasonable business expenses that the Executive incurred prior to his death in accordance with the Company's expense reimbursement policies. For purposes of this Agreement, continuous, full-time</w:t>
      </w:r>
      <w:r>
        <w:rPr>
          <w:rFonts w:ascii="Aptos" w:hAnsi="Aptos"/>
          <w:spacing w:val="-3"/>
          <w:sz w:val="24"/>
        </w:rPr>
        <w:t xml:space="preserve"> </w:t>
      </w:r>
      <w:r>
        <w:rPr>
          <w:rFonts w:ascii="Arial;Helvetica;sans-serif" w:hAnsi="Arial;Helvetica;sans-serif"/>
          <w:sz w:val="20"/>
        </w:rPr>
        <w:t>active</w:t>
      </w:r>
      <w:r>
        <w:rPr>
          <w:rFonts w:ascii="Aptos" w:hAnsi="Aptos"/>
          <w:spacing w:val="-3"/>
          <w:sz w:val="24"/>
        </w:rPr>
        <w:t xml:space="preserve"> </w:t>
      </w:r>
      <w:r>
        <w:rPr>
          <w:rFonts w:ascii="Arial;Helvetica;sans-serif" w:hAnsi="Arial;Helvetica;sans-serif"/>
          <w:sz w:val="20"/>
        </w:rPr>
        <w:t>employment</w:t>
      </w:r>
      <w:r>
        <w:rPr>
          <w:rFonts w:ascii="Aptos" w:hAnsi="Aptos"/>
          <w:spacing w:val="-3"/>
          <w:sz w:val="24"/>
        </w:rPr>
        <w:t xml:space="preserve"> </w:t>
      </w:r>
      <w:r>
        <w:rPr>
          <w:rFonts w:ascii="Arial;Helvetica;sans-serif" w:hAnsi="Arial;Helvetica;sans-serif"/>
          <w:sz w:val="20"/>
        </w:rPr>
        <w:t>shall</w:t>
      </w:r>
      <w:r>
        <w:rPr>
          <w:rFonts w:ascii="Aptos" w:hAnsi="Aptos"/>
          <w:spacing w:val="-2"/>
          <w:sz w:val="24"/>
        </w:rPr>
        <w:t xml:space="preserve"> </w:t>
      </w:r>
      <w:r>
        <w:rPr>
          <w:rFonts w:ascii="Arial;Helvetica;sans-serif" w:hAnsi="Arial;Helvetica;sans-serif"/>
          <w:sz w:val="20"/>
        </w:rPr>
        <w:t>be</w:t>
      </w:r>
      <w:r>
        <w:rPr>
          <w:rFonts w:ascii="Aptos" w:hAnsi="Aptos"/>
          <w:spacing w:val="-3"/>
          <w:sz w:val="24"/>
        </w:rPr>
        <w:t xml:space="preserve"> </w:t>
      </w:r>
      <w:r>
        <w:rPr>
          <w:rFonts w:ascii="Arial;Helvetica;sans-serif" w:hAnsi="Arial;Helvetica;sans-serif"/>
          <w:sz w:val="20"/>
        </w:rPr>
        <w:t>defined</w:t>
      </w:r>
      <w:r>
        <w:rPr>
          <w:rFonts w:ascii="Aptos" w:hAnsi="Aptos"/>
          <w:spacing w:val="-3"/>
          <w:sz w:val="24"/>
        </w:rPr>
        <w:t xml:space="preserve"> </w:t>
      </w:r>
      <w:r>
        <w:rPr>
          <w:rFonts w:ascii="Arial;Helvetica;sans-serif" w:hAnsi="Arial;Helvetica;sans-serif"/>
          <w:sz w:val="20"/>
        </w:rPr>
        <w:t>as</w:t>
      </w:r>
      <w:r>
        <w:rPr>
          <w:rFonts w:ascii="Aptos" w:hAnsi="Aptos"/>
          <w:spacing w:val="-3"/>
          <w:sz w:val="24"/>
        </w:rPr>
        <w:t xml:space="preserve"> </w:t>
      </w:r>
      <w:r>
        <w:rPr>
          <w:rFonts w:ascii="Arial;Helvetica;sans-serif" w:hAnsi="Arial;Helvetica;sans-serif"/>
          <w:sz w:val="20"/>
        </w:rPr>
        <w:t>the</w:t>
      </w:r>
      <w:r>
        <w:rPr>
          <w:rFonts w:ascii="Aptos" w:hAnsi="Aptos"/>
          <w:spacing w:val="-3"/>
          <w:sz w:val="24"/>
        </w:rPr>
        <w:t xml:space="preserve"> </w:t>
      </w:r>
      <w:r>
        <w:rPr>
          <w:rFonts w:ascii="Arial;Helvetica;sans-serif" w:hAnsi="Arial;Helvetica;sans-serif"/>
          <w:sz w:val="20"/>
        </w:rPr>
        <w:t>last</w:t>
      </w:r>
      <w:r>
        <w:rPr>
          <w:rFonts w:ascii="Aptos" w:hAnsi="Aptos"/>
          <w:spacing w:val="-3"/>
          <w:sz w:val="24"/>
        </w:rPr>
        <w:t xml:space="preserve"> </w:t>
      </w:r>
      <w:r>
        <w:rPr>
          <w:rFonts w:ascii="Arial;Helvetica;sans-serif" w:hAnsi="Arial;Helvetica;sans-serif"/>
          <w:sz w:val="20"/>
        </w:rPr>
        <w:t>date</w:t>
      </w:r>
      <w:r>
        <w:rPr>
          <w:rFonts w:ascii="Aptos" w:hAnsi="Aptos"/>
          <w:spacing w:val="-3"/>
          <w:sz w:val="24"/>
        </w:rPr>
        <w:t xml:space="preserve"> </w:t>
      </w:r>
      <w:r>
        <w:rPr>
          <w:rFonts w:ascii="Arial;Helvetica;sans-serif" w:hAnsi="Arial;Helvetica;sans-serif"/>
          <w:sz w:val="20"/>
        </w:rPr>
        <w:t>upon</w:t>
      </w:r>
      <w:r>
        <w:rPr>
          <w:rFonts w:ascii="Aptos" w:hAnsi="Aptos"/>
          <w:spacing w:val="-3"/>
          <w:sz w:val="24"/>
        </w:rPr>
        <w:t xml:space="preserve"> </w:t>
      </w:r>
      <w:r>
        <w:rPr>
          <w:rFonts w:ascii="Arial;Helvetica;sans-serif" w:hAnsi="Arial;Helvetica;sans-serif"/>
          <w:sz w:val="20"/>
        </w:rPr>
        <w:t>which</w:t>
      </w:r>
      <w:r>
        <w:rPr>
          <w:rFonts w:ascii="Aptos" w:hAnsi="Aptos"/>
          <w:spacing w:val="-3"/>
          <w:sz w:val="24"/>
        </w:rPr>
        <w:t xml:space="preserve"> </w:t>
      </w:r>
      <w:r>
        <w:rPr>
          <w:rFonts w:ascii="Arial;Helvetica;sans-serif" w:hAnsi="Arial;Helvetica;sans-serif"/>
          <w:sz w:val="20"/>
        </w:rPr>
        <w:t>Executive</w:t>
      </w:r>
      <w:r>
        <w:rPr>
          <w:rFonts w:ascii="Aptos" w:hAnsi="Aptos"/>
          <w:spacing w:val="-3"/>
          <w:sz w:val="24"/>
        </w:rPr>
        <w:t xml:space="preserve"> </w:t>
      </w:r>
      <w:r>
        <w:rPr>
          <w:rFonts w:ascii="Arial;Helvetica;sans-serif" w:hAnsi="Arial;Helvetica;sans-serif"/>
          <w:sz w:val="20"/>
        </w:rPr>
        <w:t>continuously performed</w:t>
      </w:r>
      <w:r>
        <w:rPr>
          <w:rFonts w:ascii="Aptos" w:hAnsi="Aptos"/>
          <w:spacing w:val="-1"/>
          <w:sz w:val="24"/>
        </w:rPr>
        <w:t xml:space="preserve"> </w:t>
      </w:r>
      <w:r>
        <w:rPr>
          <w:rFonts w:ascii="Arial;Helvetica;sans-serif" w:hAnsi="Arial;Helvetica;sans-serif"/>
          <w:sz w:val="20"/>
        </w:rPr>
        <w:t>his</w:t>
      </w:r>
      <w:r>
        <w:rPr>
          <w:rFonts w:ascii="Aptos" w:hAnsi="Aptos"/>
          <w:spacing w:val="-1"/>
          <w:sz w:val="24"/>
        </w:rPr>
        <w:t xml:space="preserve"> </w:t>
      </w:r>
      <w:r>
        <w:rPr>
          <w:rFonts w:ascii="Arial;Helvetica;sans-serif" w:hAnsi="Arial;Helvetica;sans-serif"/>
          <w:sz w:val="20"/>
        </w:rPr>
        <w:t>job</w:t>
      </w:r>
      <w:r>
        <w:rPr>
          <w:rFonts w:ascii="Aptos" w:hAnsi="Aptos"/>
          <w:spacing w:val="-1"/>
          <w:sz w:val="24"/>
        </w:rPr>
        <w:t xml:space="preserve"> </w:t>
      </w:r>
      <w:r>
        <w:rPr>
          <w:rFonts w:ascii="Arial;Helvetica;sans-serif" w:hAnsi="Arial;Helvetica;sans-serif"/>
          <w:sz w:val="20"/>
        </w:rPr>
        <w:t>responsibilities</w:t>
      </w:r>
      <w:r>
        <w:rPr>
          <w:rFonts w:ascii="Aptos" w:hAnsi="Aptos"/>
          <w:spacing w:val="-1"/>
          <w:sz w:val="24"/>
        </w:rPr>
        <w:t xml:space="preserve"> </w:t>
      </w:r>
      <w:r>
        <w:rPr>
          <w:rFonts w:ascii="Arial;Helvetica;sans-serif" w:hAnsi="Arial;Helvetica;sans-serif"/>
          <w:sz w:val="20"/>
        </w:rPr>
        <w:t>on</w:t>
      </w:r>
      <w:r>
        <w:rPr>
          <w:rFonts w:ascii="Aptos" w:hAnsi="Aptos"/>
          <w:spacing w:val="-1"/>
          <w:sz w:val="24"/>
        </w:rPr>
        <w:t xml:space="preserve"> </w:t>
      </w:r>
      <w:r>
        <w:rPr>
          <w:rFonts w:ascii="Arial;Helvetica;sans-serif" w:hAnsi="Arial;Helvetica;sans-serif"/>
          <w:sz w:val="20"/>
        </w:rPr>
        <w:t>a</w:t>
      </w:r>
      <w:r>
        <w:rPr>
          <w:rFonts w:ascii="Aptos" w:hAnsi="Aptos"/>
          <w:spacing w:val="-1"/>
          <w:sz w:val="24"/>
        </w:rPr>
        <w:t xml:space="preserve"> </w:t>
      </w:r>
      <w:r>
        <w:rPr>
          <w:rFonts w:ascii="Arial;Helvetica;sans-serif" w:hAnsi="Arial;Helvetica;sans-serif"/>
          <w:sz w:val="20"/>
        </w:rPr>
        <w:t>regular,</w:t>
      </w:r>
      <w:r>
        <w:rPr>
          <w:rFonts w:ascii="Aptos" w:hAnsi="Aptos"/>
          <w:spacing w:val="-1"/>
          <w:sz w:val="24"/>
        </w:rPr>
        <w:t xml:space="preserve"> </w:t>
      </w:r>
      <w:r>
        <w:rPr>
          <w:rFonts w:ascii="Arial;Helvetica;sans-serif" w:hAnsi="Arial;Helvetica;sans-serif"/>
          <w:sz w:val="20"/>
        </w:rPr>
        <w:t>full-time</w:t>
      </w:r>
      <w:r>
        <w:rPr>
          <w:rFonts w:ascii="Aptos" w:hAnsi="Aptos"/>
          <w:spacing w:val="-1"/>
          <w:sz w:val="24"/>
        </w:rPr>
        <w:t xml:space="preserve"> </w:t>
      </w:r>
      <w:r>
        <w:rPr>
          <w:rFonts w:ascii="Arial;Helvetica;sans-serif" w:hAnsi="Arial;Helvetica;sans-serif"/>
          <w:sz w:val="20"/>
        </w:rPr>
        <w:t>basis</w:t>
      </w:r>
      <w:r>
        <w:rPr>
          <w:rFonts w:ascii="Aptos" w:hAnsi="Aptos"/>
          <w:spacing w:val="-1"/>
          <w:sz w:val="24"/>
        </w:rPr>
        <w:t xml:space="preserve"> </w:t>
      </w:r>
      <w:r>
        <w:rPr>
          <w:rFonts w:ascii="Arial;Helvetica;sans-serif" w:hAnsi="Arial;Helvetica;sans-serif"/>
          <w:sz w:val="20"/>
        </w:rPr>
        <w:t>consisting</w:t>
      </w:r>
      <w:r>
        <w:rPr>
          <w:rFonts w:ascii="Aptos" w:hAnsi="Aptos"/>
          <w:spacing w:val="-1"/>
          <w:sz w:val="24"/>
        </w:rPr>
        <w:t xml:space="preserve"> </w:t>
      </w:r>
      <w:r>
        <w:rPr>
          <w:rFonts w:ascii="Arial;Helvetica;sans-serif" w:hAnsi="Arial;Helvetica;sans-serif"/>
          <w:sz w:val="20"/>
        </w:rPr>
        <w:t>of</w:t>
      </w:r>
      <w:r>
        <w:rPr>
          <w:rFonts w:ascii="Aptos" w:hAnsi="Aptos"/>
          <w:spacing w:val="-1"/>
          <w:sz w:val="24"/>
        </w:rPr>
        <w:t xml:space="preserve"> </w:t>
      </w:r>
      <w:r>
        <w:rPr>
          <w:rFonts w:ascii="Arial;Helvetica;sans-serif" w:hAnsi="Arial;Helvetica;sans-serif"/>
          <w:sz w:val="20"/>
        </w:rPr>
        <w:t>at</w:t>
      </w:r>
      <w:r>
        <w:rPr>
          <w:rFonts w:ascii="Aptos" w:hAnsi="Aptos"/>
          <w:spacing w:val="-1"/>
          <w:sz w:val="24"/>
        </w:rPr>
        <w:t xml:space="preserve"> </w:t>
      </w:r>
      <w:r>
        <w:rPr>
          <w:rFonts w:ascii="Arial;Helvetica;sans-serif" w:hAnsi="Arial;Helvetica;sans-serif"/>
          <w:sz w:val="20"/>
        </w:rPr>
        <w:t>least</w:t>
      </w:r>
      <w:r>
        <w:rPr>
          <w:rFonts w:ascii="Aptos" w:hAnsi="Aptos"/>
          <w:spacing w:val="-1"/>
          <w:sz w:val="24"/>
        </w:rPr>
        <w:t xml:space="preserve"> </w:t>
      </w:r>
      <w:r>
        <w:rPr>
          <w:rFonts w:ascii="Arial;Helvetica;sans-serif" w:hAnsi="Arial;Helvetica;sans-serif"/>
          <w:sz w:val="20"/>
        </w:rPr>
        <w:t>35</w:t>
      </w:r>
      <w:r>
        <w:rPr>
          <w:rFonts w:ascii="Aptos" w:hAnsi="Aptos"/>
          <w:spacing w:val="-1"/>
          <w:sz w:val="24"/>
        </w:rPr>
        <w:t xml:space="preserve"> </w:t>
      </w:r>
      <w:r>
        <w:rPr>
          <w:rFonts w:ascii="Arial;Helvetica;sans-serif" w:hAnsi="Arial;Helvetica;sans-serif"/>
          <w:sz w:val="20"/>
        </w:rPr>
        <w:t>hours</w:t>
      </w:r>
      <w:r>
        <w:rPr>
          <w:rFonts w:ascii="Aptos" w:hAnsi="Aptos"/>
          <w:spacing w:val="-1"/>
          <w:sz w:val="24"/>
        </w:rPr>
        <w:t xml:space="preserve"> </w:t>
      </w:r>
      <w:r>
        <w:rPr>
          <w:rFonts w:ascii="Arial;Helvetica;sans-serif" w:hAnsi="Arial;Helvetica;sans-serif"/>
          <w:sz w:val="20"/>
        </w:rPr>
        <w:t>per week, and in the usual course of the Company's business ("Continuous Full-Time Active Employment").</w:t>
      </w:r>
      <w:r>
        <w:rPr>
          <w:rFonts w:ascii="Aptos" w:hAnsi="Aptos"/>
          <w:spacing w:val="-3"/>
          <w:sz w:val="24"/>
        </w:rPr>
        <w:t xml:space="preserve"> </w:t>
      </w:r>
      <w:r>
        <w:rPr>
          <w:rFonts w:ascii="Arial;Helvetica;sans-serif" w:hAnsi="Arial;Helvetica;sans-serif"/>
          <w:sz w:val="20"/>
        </w:rPr>
        <w:t>In</w:t>
      </w:r>
      <w:r>
        <w:rPr>
          <w:rFonts w:ascii="Aptos" w:hAnsi="Aptos"/>
          <w:spacing w:val="-3"/>
          <w:sz w:val="24"/>
        </w:rPr>
        <w:t xml:space="preserve"> </w:t>
      </w:r>
      <w:r>
        <w:rPr>
          <w:rFonts w:ascii="Arial;Helvetica;sans-serif" w:hAnsi="Arial;Helvetica;sans-serif"/>
          <w:sz w:val="20"/>
        </w:rPr>
        <w:t>case</w:t>
      </w:r>
      <w:r>
        <w:rPr>
          <w:rFonts w:ascii="Aptos" w:hAnsi="Aptos"/>
          <w:spacing w:val="-3"/>
          <w:sz w:val="24"/>
        </w:rPr>
        <w:t xml:space="preserve"> </w:t>
      </w:r>
      <w:r>
        <w:rPr>
          <w:rFonts w:ascii="Arial;Helvetica;sans-serif" w:hAnsi="Arial;Helvetica;sans-serif"/>
          <w:sz w:val="20"/>
        </w:rPr>
        <w:t>of</w:t>
      </w:r>
      <w:r>
        <w:rPr>
          <w:rFonts w:ascii="Aptos" w:hAnsi="Aptos"/>
          <w:spacing w:val="-3"/>
          <w:sz w:val="24"/>
        </w:rPr>
        <w:t xml:space="preserve"> </w:t>
      </w:r>
      <w:r>
        <w:rPr>
          <w:rFonts w:ascii="Arial;Helvetica;sans-serif" w:hAnsi="Arial;Helvetica;sans-serif"/>
          <w:sz w:val="20"/>
        </w:rPr>
        <w:t>Executive's</w:t>
      </w:r>
      <w:r>
        <w:rPr>
          <w:rFonts w:ascii="Aptos" w:hAnsi="Aptos"/>
          <w:spacing w:val="-3"/>
          <w:sz w:val="24"/>
        </w:rPr>
        <w:t xml:space="preserve"> </w:t>
      </w:r>
      <w:r>
        <w:rPr>
          <w:rFonts w:ascii="Arial;Helvetica;sans-serif" w:hAnsi="Arial;Helvetica;sans-serif"/>
          <w:sz w:val="20"/>
        </w:rPr>
        <w:t>death,</w:t>
      </w:r>
      <w:r>
        <w:rPr>
          <w:rFonts w:ascii="Aptos" w:hAnsi="Aptos"/>
          <w:spacing w:val="-3"/>
          <w:sz w:val="24"/>
        </w:rPr>
        <w:t xml:space="preserve"> </w:t>
      </w:r>
      <w:r>
        <w:rPr>
          <w:rFonts w:ascii="Arial;Helvetica;sans-serif" w:hAnsi="Arial;Helvetica;sans-serif"/>
          <w:sz w:val="20"/>
        </w:rPr>
        <w:t>the</w:t>
      </w:r>
      <w:r>
        <w:rPr>
          <w:rFonts w:ascii="Aptos" w:hAnsi="Aptos"/>
          <w:spacing w:val="-3"/>
          <w:sz w:val="24"/>
        </w:rPr>
        <w:t xml:space="preserve"> </w:t>
      </w:r>
      <w:r>
        <w:rPr>
          <w:rFonts w:ascii="Arial;Helvetica;sans-serif" w:hAnsi="Arial;Helvetica;sans-serif"/>
          <w:sz w:val="20"/>
        </w:rPr>
        <w:t>Company</w:t>
      </w:r>
      <w:r>
        <w:rPr>
          <w:rFonts w:ascii="Aptos" w:hAnsi="Aptos"/>
          <w:spacing w:val="-3"/>
          <w:sz w:val="24"/>
        </w:rPr>
        <w:t xml:space="preserve"> </w:t>
      </w:r>
      <w:r>
        <w:rPr>
          <w:rFonts w:ascii="Arial;Helvetica;sans-serif" w:hAnsi="Arial;Helvetica;sans-serif"/>
          <w:sz w:val="20"/>
        </w:rPr>
        <w:t>shall</w:t>
      </w:r>
      <w:r>
        <w:rPr>
          <w:rFonts w:ascii="Aptos" w:hAnsi="Aptos"/>
          <w:spacing w:val="-3"/>
          <w:sz w:val="24"/>
        </w:rPr>
        <w:t xml:space="preserve"> </w:t>
      </w:r>
      <w:r>
        <w:rPr>
          <w:rFonts w:ascii="Arial;Helvetica;sans-serif" w:hAnsi="Arial;Helvetica;sans-serif"/>
          <w:sz w:val="20"/>
        </w:rPr>
        <w:t>not</w:t>
      </w:r>
      <w:r>
        <w:rPr>
          <w:rFonts w:ascii="Aptos" w:hAnsi="Aptos"/>
          <w:spacing w:val="-3"/>
          <w:sz w:val="24"/>
        </w:rPr>
        <w:t xml:space="preserve"> </w:t>
      </w:r>
      <w:r>
        <w:rPr>
          <w:rFonts w:ascii="Arial;Helvetica;sans-serif" w:hAnsi="Arial;Helvetica;sans-serif"/>
          <w:sz w:val="20"/>
        </w:rPr>
        <w:t>be</w:t>
      </w:r>
      <w:r>
        <w:rPr>
          <w:rFonts w:ascii="Aptos" w:hAnsi="Aptos"/>
          <w:spacing w:val="-3"/>
          <w:sz w:val="24"/>
        </w:rPr>
        <w:t xml:space="preserve"> </w:t>
      </w:r>
      <w:r>
        <w:rPr>
          <w:rFonts w:ascii="Arial;Helvetica;sans-serif" w:hAnsi="Arial;Helvetica;sans-serif"/>
          <w:sz w:val="20"/>
        </w:rPr>
        <w:t>required</w:t>
      </w:r>
      <w:r>
        <w:rPr>
          <w:rFonts w:ascii="Aptos" w:hAnsi="Aptos"/>
          <w:spacing w:val="-3"/>
          <w:sz w:val="24"/>
        </w:rPr>
        <w:t xml:space="preserve"> </w:t>
      </w:r>
      <w:r>
        <w:rPr>
          <w:rFonts w:ascii="Arial;Helvetica;sans-serif" w:hAnsi="Arial;Helvetica;sans-serif"/>
          <w:sz w:val="20"/>
        </w:rPr>
        <w:t>to</w:t>
      </w:r>
      <w:r>
        <w:rPr>
          <w:rFonts w:ascii="Aptos" w:hAnsi="Aptos"/>
          <w:spacing w:val="-3"/>
          <w:sz w:val="24"/>
        </w:rPr>
        <w:t xml:space="preserve"> </w:t>
      </w:r>
      <w:r>
        <w:rPr>
          <w:rFonts w:ascii="Arial;Helvetica;sans-serif" w:hAnsi="Arial;Helvetica;sans-serif"/>
          <w:sz w:val="20"/>
        </w:rPr>
        <w:t>pay</w:t>
      </w:r>
      <w:r>
        <w:rPr>
          <w:rFonts w:ascii="Aptos" w:hAnsi="Aptos"/>
          <w:spacing w:val="-3"/>
          <w:sz w:val="24"/>
        </w:rPr>
        <w:t xml:space="preserve"> </w:t>
      </w:r>
      <w:r>
        <w:rPr>
          <w:rFonts w:ascii="Arial;Helvetica;sans-serif" w:hAnsi="Arial;Helvetica;sans-serif"/>
          <w:sz w:val="20"/>
        </w:rPr>
        <w:t>any</w:t>
      </w:r>
      <w:r>
        <w:rPr>
          <w:rFonts w:ascii="Aptos" w:hAnsi="Aptos"/>
          <w:spacing w:val="-3"/>
          <w:sz w:val="24"/>
        </w:rPr>
        <w:t xml:space="preserve"> </w:t>
      </w:r>
      <w:r>
        <w:rPr>
          <w:rFonts w:ascii="Arial;Helvetica;sans-serif" w:hAnsi="Arial;Helvetica;sans-serif"/>
          <w:sz w:val="20"/>
        </w:rPr>
        <w:t>form of severance or other compensation concerning or on account of the Executive's employment with the Company or the termination thereof.</w:t>
      </w:r>
    </w:p>
    <w:tbl>
      <w:tblPr>
        <w:tblW w:w="10205" w:type="dxa"/>
        <w:jc w:val="left"/>
        <w:tblInd w:w="0" w:type="dxa"/>
        <w:tblLayout w:type="fixed"/>
        <w:tblCellMar>
          <w:top w:w="0" w:type="dxa"/>
          <w:left w:w="0" w:type="dxa"/>
          <w:bottom w:w="0" w:type="dxa"/>
          <w:right w:w="0" w:type="dxa"/>
        </w:tblCellMar>
      </w:tblPr>
      <w:tblGrid>
        <w:gridCol w:w="23"/>
        <w:gridCol w:w="140"/>
        <w:gridCol w:w="1001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w:t>
            </w:r>
          </w:p>
        </w:tc>
        <w:tc>
          <w:tcPr>
            <w:tcW w:w="10019"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 xml:space="preserve">Termination Due to or Following Disability. </w:t>
            </w:r>
            <w:r>
              <w:rPr>
                <w:rFonts w:ascii="Arial;Helvetica;sans-serif" w:hAnsi="Arial;Helvetica;sans-serif"/>
                <w:b w:val="false"/>
                <w:i w:val="false"/>
                <w:caps w:val="false"/>
                <w:smallCaps w:val="false"/>
                <w:sz w:val="20"/>
              </w:rPr>
              <w:t>During the first ninety (90) calendar days after a mental or physical condition that renders Executive unable to perform the essential functions of his position with reasonable accommodation (the "Initial Disability Period"), Executive shall continue to receive his Base Salary pursuant to Section 2(a) of this Agreement. Thereafter, if Executive</w:t>
            </w:r>
            <w:r>
              <w:rPr>
                <w:caps w:val="false"/>
                <w:smallCaps w:val="false"/>
                <w:spacing w:val="-3"/>
              </w:rPr>
              <w:t xml:space="preserve"> </w:t>
            </w:r>
            <w:r>
              <w:rPr>
                <w:rFonts w:ascii="Arial;Helvetica;sans-serif" w:hAnsi="Arial;Helvetica;sans-serif"/>
                <w:b w:val="false"/>
                <w:i w:val="false"/>
                <w:caps w:val="false"/>
                <w:smallCaps w:val="false"/>
                <w:sz w:val="20"/>
              </w:rPr>
              <w:t>qualifies</w:t>
            </w:r>
            <w:r>
              <w:rPr>
                <w:caps w:val="false"/>
                <w:smallCaps w:val="false"/>
                <w:spacing w:val="-3"/>
              </w:rPr>
              <w:t xml:space="preserve"> </w:t>
            </w:r>
            <w:r>
              <w:rPr>
                <w:rFonts w:ascii="Arial;Helvetica;sans-serif" w:hAnsi="Arial;Helvetica;sans-serif"/>
                <w:b w:val="false"/>
                <w:i w:val="false"/>
                <w:caps w:val="false"/>
                <w:smallCaps w:val="false"/>
                <w:sz w:val="20"/>
              </w:rPr>
              <w:t>for</w:t>
            </w:r>
            <w:r>
              <w:rPr>
                <w:caps w:val="false"/>
                <w:smallCaps w:val="false"/>
                <w:spacing w:val="-3"/>
              </w:rPr>
              <w:t xml:space="preserve"> </w:t>
            </w:r>
            <w:r>
              <w:rPr>
                <w:rFonts w:ascii="Arial;Helvetica;sans-serif" w:hAnsi="Arial;Helvetica;sans-serif"/>
                <w:b w:val="false"/>
                <w:i w:val="false"/>
                <w:caps w:val="false"/>
                <w:smallCaps w:val="false"/>
                <w:sz w:val="20"/>
              </w:rPr>
              <w:t>benefits</w:t>
            </w:r>
            <w:r>
              <w:rPr>
                <w:caps w:val="false"/>
                <w:smallCaps w:val="false"/>
                <w:spacing w:val="-3"/>
              </w:rPr>
              <w:t xml:space="preserve"> </w:t>
            </w:r>
            <w:r>
              <w:rPr>
                <w:rFonts w:ascii="Arial;Helvetica;sans-serif" w:hAnsi="Arial;Helvetica;sans-serif"/>
                <w:b w:val="false"/>
                <w:i w:val="false"/>
                <w:caps w:val="false"/>
                <w:smallCaps w:val="false"/>
                <w:sz w:val="20"/>
              </w:rPr>
              <w:t>under</w:t>
            </w:r>
            <w:r>
              <w:rPr>
                <w:caps w:val="false"/>
                <w:smallCaps w:val="false"/>
                <w:spacing w:val="-3"/>
              </w:rPr>
              <w:t xml:space="preserve"> </w:t>
            </w:r>
            <w:r>
              <w:rPr>
                <w:rFonts w:ascii="Arial;Helvetica;sans-serif" w:hAnsi="Arial;Helvetica;sans-serif"/>
                <w:b w:val="false"/>
                <w:i w:val="false"/>
                <w:caps w:val="false"/>
                <w:smallCaps w:val="false"/>
                <w:sz w:val="20"/>
              </w:rPr>
              <w:t>the</w:t>
            </w:r>
            <w:r>
              <w:rPr>
                <w:caps w:val="false"/>
                <w:smallCaps w:val="false"/>
                <w:spacing w:val="-3"/>
              </w:rPr>
              <w:t xml:space="preserve"> </w:t>
            </w:r>
            <w:r>
              <w:rPr>
                <w:rFonts w:ascii="Arial;Helvetica;sans-serif" w:hAnsi="Arial;Helvetica;sans-serif"/>
                <w:b w:val="false"/>
                <w:i w:val="false"/>
                <w:caps w:val="false"/>
                <w:smallCaps w:val="false"/>
                <w:sz w:val="20"/>
              </w:rPr>
              <w:t>Company's</w:t>
            </w:r>
            <w:r>
              <w:rPr>
                <w:caps w:val="false"/>
                <w:smallCaps w:val="false"/>
                <w:spacing w:val="-3"/>
              </w:rPr>
              <w:t xml:space="preserve"> </w:t>
            </w:r>
            <w:r>
              <w:rPr>
                <w:rFonts w:ascii="Arial;Helvetica;sans-serif" w:hAnsi="Arial;Helvetica;sans-serif"/>
                <w:b w:val="false"/>
                <w:i w:val="false"/>
                <w:caps w:val="false"/>
                <w:smallCaps w:val="false"/>
                <w:sz w:val="20"/>
              </w:rPr>
              <w:t>long-term</w:t>
            </w:r>
            <w:r>
              <w:rPr>
                <w:caps w:val="false"/>
                <w:smallCaps w:val="false"/>
                <w:spacing w:val="-4"/>
              </w:rPr>
              <w:t xml:space="preserve"> </w:t>
            </w:r>
            <w:r>
              <w:rPr>
                <w:rFonts w:ascii="Arial;Helvetica;sans-serif" w:hAnsi="Arial;Helvetica;sans-serif"/>
                <w:b w:val="false"/>
                <w:i w:val="false"/>
                <w:caps w:val="false"/>
                <w:smallCaps w:val="false"/>
                <w:sz w:val="20"/>
              </w:rPr>
              <w:t>disability</w:t>
            </w:r>
            <w:r>
              <w:rPr>
                <w:caps w:val="false"/>
                <w:smallCaps w:val="false"/>
                <w:spacing w:val="-3"/>
              </w:rPr>
              <w:t xml:space="preserve"> </w:t>
            </w:r>
            <w:r>
              <w:rPr>
                <w:rFonts w:ascii="Arial;Helvetica;sans-serif" w:hAnsi="Arial;Helvetica;sans-serif"/>
                <w:b w:val="false"/>
                <w:i w:val="false"/>
                <w:caps w:val="false"/>
                <w:smallCaps w:val="false"/>
                <w:sz w:val="20"/>
              </w:rPr>
              <w:t>insurance</w:t>
            </w:r>
            <w:r>
              <w:rPr>
                <w:caps w:val="false"/>
                <w:smallCaps w:val="false"/>
                <w:spacing w:val="-3"/>
              </w:rPr>
              <w:t xml:space="preserve"> </w:t>
            </w:r>
            <w:r>
              <w:rPr>
                <w:rFonts w:ascii="Arial;Helvetica;sans-serif" w:hAnsi="Arial;Helvetica;sans-serif"/>
                <w:b w:val="false"/>
                <w:i w:val="false"/>
                <w:caps w:val="false"/>
                <w:smallCaps w:val="false"/>
                <w:sz w:val="20"/>
              </w:rPr>
              <w:t>plan</w:t>
            </w:r>
            <w:r>
              <w:rPr>
                <w:caps w:val="false"/>
                <w:smallCaps w:val="false"/>
                <w:spacing w:val="-3"/>
              </w:rPr>
              <w:t xml:space="preserve"> </w:t>
            </w:r>
            <w:r>
              <w:rPr>
                <w:rFonts w:ascii="Arial;Helvetica;sans-serif" w:hAnsi="Arial;Helvetica;sans-serif"/>
                <w:b w:val="false"/>
                <w:i w:val="false"/>
                <w:caps w:val="false"/>
                <w:smallCaps w:val="false"/>
                <w:sz w:val="20"/>
              </w:rPr>
              <w:t>(the</w:t>
            </w:r>
            <w:r>
              <w:rPr>
                <w:caps w:val="false"/>
                <w:smallCaps w:val="false"/>
                <w:spacing w:val="-3"/>
              </w:rPr>
              <w:t xml:space="preserve"> </w:t>
            </w:r>
            <w:r>
              <w:rPr>
                <w:rFonts w:ascii="Arial;Helvetica;sans-serif" w:hAnsi="Arial;Helvetica;sans-serif"/>
                <w:b w:val="false"/>
                <w:i w:val="false"/>
                <w:caps w:val="false"/>
                <w:smallCaps w:val="false"/>
                <w:sz w:val="20"/>
              </w:rPr>
              <w:t>"LTD Plan"),</w:t>
            </w:r>
            <w:r>
              <w:rPr>
                <w:caps w:val="false"/>
                <w:smallCaps w:val="false"/>
                <w:spacing w:val="-2"/>
              </w:rPr>
              <w:t xml:space="preserve"> </w:t>
            </w:r>
            <w:r>
              <w:rPr>
                <w:rFonts w:ascii="Arial;Helvetica;sans-serif" w:hAnsi="Arial;Helvetica;sans-serif"/>
                <w:b w:val="false"/>
                <w:i w:val="false"/>
                <w:caps w:val="false"/>
                <w:smallCaps w:val="false"/>
                <w:sz w:val="20"/>
              </w:rPr>
              <w:t>then</w:t>
            </w:r>
            <w:r>
              <w:rPr>
                <w:caps w:val="false"/>
                <w:smallCaps w:val="false"/>
                <w:spacing w:val="-2"/>
              </w:rPr>
              <w:t xml:space="preserve"> </w:t>
            </w:r>
            <w:r>
              <w:rPr>
                <w:rFonts w:ascii="Arial;Helvetica;sans-serif" w:hAnsi="Arial;Helvetica;sans-serif"/>
                <w:b w:val="false"/>
                <w:i w:val="false"/>
                <w:caps w:val="false"/>
                <w:smallCaps w:val="false"/>
                <w:sz w:val="20"/>
              </w:rPr>
              <w:t>Executive</w:t>
            </w:r>
            <w:r>
              <w:rPr>
                <w:caps w:val="false"/>
                <w:smallCaps w:val="false"/>
                <w:spacing w:val="-2"/>
              </w:rPr>
              <w:t xml:space="preserve"> </w:t>
            </w:r>
            <w:r>
              <w:rPr>
                <w:rFonts w:ascii="Arial;Helvetica;sans-serif" w:hAnsi="Arial;Helvetica;sans-serif"/>
                <w:b w:val="false"/>
                <w:i w:val="false"/>
                <w:caps w:val="false"/>
                <w:smallCaps w:val="false"/>
                <w:sz w:val="20"/>
              </w:rPr>
              <w:t>shall</w:t>
            </w:r>
            <w:r>
              <w:rPr>
                <w:caps w:val="false"/>
                <w:smallCaps w:val="false"/>
                <w:spacing w:val="-2"/>
              </w:rPr>
              <w:t xml:space="preserve"> </w:t>
            </w:r>
            <w:r>
              <w:rPr>
                <w:rFonts w:ascii="Arial;Helvetica;sans-serif" w:hAnsi="Arial;Helvetica;sans-serif"/>
                <w:b w:val="false"/>
                <w:i w:val="false"/>
                <w:caps w:val="false"/>
                <w:smallCaps w:val="false"/>
                <w:sz w:val="20"/>
              </w:rPr>
              <w:t>remain</w:t>
            </w:r>
            <w:r>
              <w:rPr>
                <w:caps w:val="false"/>
                <w:smallCaps w:val="false"/>
                <w:spacing w:val="-2"/>
              </w:rPr>
              <w:t xml:space="preserve"> </w:t>
            </w:r>
            <w:r>
              <w:rPr>
                <w:rFonts w:ascii="Arial;Helvetica;sans-serif" w:hAnsi="Arial;Helvetica;sans-serif"/>
                <w:b w:val="false"/>
                <w:i w:val="false"/>
                <w:caps w:val="false"/>
                <w:smallCaps w:val="false"/>
                <w:sz w:val="20"/>
              </w:rPr>
              <w:t>on</w:t>
            </w:r>
            <w:r>
              <w:rPr>
                <w:caps w:val="false"/>
                <w:smallCaps w:val="false"/>
                <w:spacing w:val="-2"/>
              </w:rPr>
              <w:t xml:space="preserve"> </w:t>
            </w:r>
            <w:r>
              <w:rPr>
                <w:rFonts w:ascii="Arial;Helvetica;sans-serif" w:hAnsi="Arial;Helvetica;sans-serif"/>
                <w:b w:val="false"/>
                <w:i w:val="false"/>
                <w:caps w:val="false"/>
                <w:smallCaps w:val="false"/>
                <w:sz w:val="20"/>
              </w:rPr>
              <w:t>leave</w:t>
            </w:r>
            <w:r>
              <w:rPr>
                <w:caps w:val="false"/>
                <w:smallCaps w:val="false"/>
                <w:spacing w:val="-2"/>
              </w:rPr>
              <w:t xml:space="preserve"> </w:t>
            </w:r>
            <w:r>
              <w:rPr>
                <w:rFonts w:ascii="Arial;Helvetica;sans-serif" w:hAnsi="Arial;Helvetica;sans-serif"/>
                <w:b w:val="false"/>
                <w:i w:val="false"/>
                <w:caps w:val="false"/>
                <w:smallCaps w:val="false"/>
                <w:sz w:val="20"/>
              </w:rPr>
              <w:t>for</w:t>
            </w:r>
            <w:r>
              <w:rPr>
                <w:caps w:val="false"/>
                <w:smallCaps w:val="false"/>
                <w:spacing w:val="-2"/>
              </w:rPr>
              <w:t xml:space="preserve"> </w:t>
            </w:r>
            <w:r>
              <w:rPr>
                <w:rFonts w:ascii="Arial;Helvetica;sans-serif" w:hAnsi="Arial;Helvetica;sans-serif"/>
                <w:b w:val="false"/>
                <w:i w:val="false"/>
                <w:caps w:val="false"/>
                <w:smallCaps w:val="false"/>
                <w:sz w:val="20"/>
              </w:rPr>
              <w:t>as</w:t>
            </w:r>
            <w:r>
              <w:rPr>
                <w:caps w:val="false"/>
                <w:smallCaps w:val="false"/>
                <w:spacing w:val="-2"/>
              </w:rPr>
              <w:t xml:space="preserve"> </w:t>
            </w:r>
            <w:r>
              <w:rPr>
                <w:rFonts w:ascii="Arial;Helvetica;sans-serif" w:hAnsi="Arial;Helvetica;sans-serif"/>
                <w:b w:val="false"/>
                <w:i w:val="false"/>
                <w:caps w:val="false"/>
                <w:smallCaps w:val="false"/>
                <w:sz w:val="20"/>
              </w:rPr>
              <w:t>long</w:t>
            </w:r>
            <w:r>
              <w:rPr>
                <w:caps w:val="false"/>
                <w:smallCaps w:val="false"/>
                <w:spacing w:val="-2"/>
              </w:rPr>
              <w:t xml:space="preserve"> </w:t>
            </w:r>
            <w:r>
              <w:rPr>
                <w:rFonts w:ascii="Arial;Helvetica;sans-serif" w:hAnsi="Arial;Helvetica;sans-serif"/>
                <w:b w:val="false"/>
                <w:i w:val="false"/>
                <w:caps w:val="false"/>
                <w:smallCaps w:val="false"/>
                <w:sz w:val="20"/>
              </w:rPr>
              <w:t>as</w:t>
            </w:r>
            <w:r>
              <w:rPr>
                <w:caps w:val="false"/>
                <w:smallCaps w:val="false"/>
                <w:spacing w:val="-2"/>
              </w:rPr>
              <w:t xml:space="preserve"> </w:t>
            </w:r>
            <w:r>
              <w:rPr>
                <w:rFonts w:ascii="Arial;Helvetica;sans-serif" w:hAnsi="Arial;Helvetica;sans-serif"/>
                <w:b w:val="false"/>
                <w:i w:val="false"/>
                <w:caps w:val="false"/>
                <w:smallCaps w:val="false"/>
                <w:sz w:val="20"/>
              </w:rPr>
              <w:t>Executive</w:t>
            </w:r>
            <w:r>
              <w:rPr>
                <w:caps w:val="false"/>
                <w:smallCaps w:val="false"/>
                <w:spacing w:val="-2"/>
              </w:rPr>
              <w:t xml:space="preserve"> </w:t>
            </w:r>
            <w:r>
              <w:rPr>
                <w:rFonts w:ascii="Arial;Helvetica;sans-serif" w:hAnsi="Arial;Helvetica;sans-serif"/>
                <w:b w:val="false"/>
                <w:i w:val="false"/>
                <w:caps w:val="false"/>
                <w:smallCaps w:val="false"/>
                <w:sz w:val="20"/>
              </w:rPr>
              <w:t>continues</w:t>
            </w:r>
            <w:r>
              <w:rPr>
                <w:caps w:val="false"/>
                <w:smallCaps w:val="false"/>
                <w:spacing w:val="-2"/>
              </w:rPr>
              <w:t xml:space="preserve"> </w:t>
            </w:r>
            <w:r>
              <w:rPr>
                <w:rFonts w:ascii="Arial;Helvetica;sans-serif" w:hAnsi="Arial;Helvetica;sans-serif"/>
                <w:b w:val="false"/>
                <w:i w:val="false"/>
                <w:caps w:val="false"/>
                <w:smallCaps w:val="false"/>
                <w:sz w:val="20"/>
              </w:rPr>
              <w:t>to</w:t>
            </w:r>
            <w:r>
              <w:rPr>
                <w:caps w:val="false"/>
                <w:smallCaps w:val="false"/>
                <w:spacing w:val="-2"/>
              </w:rPr>
              <w:t xml:space="preserve"> </w:t>
            </w:r>
            <w:r>
              <w:rPr>
                <w:rFonts w:ascii="Arial;Helvetica;sans-serif" w:hAnsi="Arial;Helvetica;sans-serif"/>
                <w:b w:val="false"/>
                <w:i w:val="false"/>
                <w:caps w:val="false"/>
                <w:smallCaps w:val="false"/>
                <w:sz w:val="20"/>
              </w:rPr>
              <w:t>qualify</w:t>
            </w:r>
            <w:r>
              <w:rPr>
                <w:caps w:val="false"/>
                <w:smallCaps w:val="false"/>
                <w:spacing w:val="-2"/>
              </w:rPr>
              <w:t xml:space="preserve"> </w:t>
            </w:r>
            <w:r>
              <w:rPr>
                <w:rFonts w:ascii="Arial;Helvetica;sans-serif" w:hAnsi="Arial;Helvetica;sans-serif"/>
                <w:b w:val="false"/>
                <w:i w:val="false"/>
                <w:caps w:val="false"/>
                <w:smallCaps w:val="false"/>
                <w:sz w:val="20"/>
              </w:rPr>
              <w:t>for</w:t>
            </w:r>
            <w:r>
              <w:rPr>
                <w:caps w:val="false"/>
                <w:smallCaps w:val="false"/>
                <w:spacing w:val="-2"/>
              </w:rPr>
              <w:t xml:space="preserve"> </w:t>
            </w:r>
            <w:r>
              <w:rPr>
                <w:rFonts w:ascii="Arial;Helvetica;sans-serif" w:hAnsi="Arial;Helvetica;sans-serif"/>
                <w:b w:val="false"/>
                <w:i w:val="false"/>
                <w:caps w:val="false"/>
                <w:smallCaps w:val="false"/>
                <w:sz w:val="20"/>
              </w:rPr>
              <w:t>such benefits, up to a maximum of 180 consecutive days (the "Long-term Leave Period"). The Long-term Leave Period shall begin on the first day following the end of the Initial Disability Period. During the Long-term Leave Period, Executive shall be entitled to any benefits to which the LTD Plan entitles the Executive, but no additional compensation from the Company in the form of salary, performance bonus, equity grants, allowances, or otherwise. If during or at the end of the Long-term Leave Period Executive remains unable to perform the essential functions of his position, with or without reasonable accommodation, then the Company may terminate this Agreement and/or Executive's employment. If the Company terminates this Agreement or Executive's employment under this Section 4(f), the Company's payment obligation to Executive shall be limited to all compensation fully earned, reimbursement of all reasonable business expenses that the Executive incurred prior to the separation in accordance with the Company's expense reimbursement policies, and benefits fully vested as of the last date of Executive's continuous, full-time active employment with the Company.</w:t>
            </w:r>
          </w:p>
        </w:tc>
        <w:tc>
          <w:tcPr>
            <w:tcW w:w="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3"/>
        <w:gridCol w:w="185"/>
        <w:gridCol w:w="9974"/>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g.</w:t>
            </w:r>
          </w:p>
        </w:tc>
        <w:tc>
          <w:tcPr>
            <w:tcW w:w="9974"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 xml:space="preserve">Continuing Obligations. </w:t>
            </w:r>
            <w:r>
              <w:rPr>
                <w:rFonts w:ascii="Arial;Helvetica;sans-serif" w:hAnsi="Arial;Helvetica;sans-serif"/>
                <w:b w:val="false"/>
                <w:i w:val="false"/>
                <w:caps w:val="false"/>
                <w:smallCaps w:val="false"/>
                <w:sz w:val="20"/>
              </w:rPr>
              <w:t>Mr. Brown shall remain subject to the Agreement to Protect</w:t>
            </w:r>
            <w:r>
              <w:rPr>
                <w:caps w:val="false"/>
                <w:smallCaps w:val="false"/>
                <w:spacing w:val="40"/>
              </w:rPr>
              <w:t xml:space="preserve"> </w:t>
            </w:r>
            <w:r>
              <w:rPr>
                <w:rFonts w:ascii="Arial;Helvetica;sans-serif" w:hAnsi="Arial;Helvetica;sans-serif"/>
                <w:b w:val="false"/>
                <w:i w:val="false"/>
                <w:caps w:val="false"/>
                <w:smallCaps w:val="false"/>
                <w:sz w:val="20"/>
              </w:rPr>
              <w:t>Confidential</w:t>
            </w:r>
            <w:r>
              <w:rPr>
                <w:caps w:val="false"/>
                <w:smallCaps w:val="false"/>
                <w:spacing w:val="-5"/>
              </w:rPr>
              <w:t xml:space="preserve"> </w:t>
            </w:r>
            <w:r>
              <w:rPr>
                <w:rFonts w:ascii="Arial;Helvetica;sans-serif" w:hAnsi="Arial;Helvetica;sans-serif"/>
                <w:b w:val="false"/>
                <w:i w:val="false"/>
                <w:caps w:val="false"/>
                <w:smallCaps w:val="false"/>
                <w:sz w:val="20"/>
              </w:rPr>
              <w:t>Information,</w:t>
            </w:r>
            <w:r>
              <w:rPr>
                <w:caps w:val="false"/>
                <w:smallCaps w:val="false"/>
                <w:spacing w:val="-5"/>
              </w:rPr>
              <w:t xml:space="preserve"> </w:t>
            </w:r>
            <w:r>
              <w:rPr>
                <w:rFonts w:ascii="Arial;Helvetica;sans-serif" w:hAnsi="Arial;Helvetica;sans-serif"/>
                <w:b w:val="false"/>
                <w:i w:val="false"/>
                <w:caps w:val="false"/>
                <w:smallCaps w:val="false"/>
                <w:sz w:val="20"/>
              </w:rPr>
              <w:t>Assign</w:t>
            </w:r>
            <w:r>
              <w:rPr>
                <w:caps w:val="false"/>
                <w:smallCaps w:val="false"/>
                <w:spacing w:val="-5"/>
              </w:rPr>
              <w:t xml:space="preserve"> </w:t>
            </w:r>
            <w:r>
              <w:rPr>
                <w:rFonts w:ascii="Arial;Helvetica;sans-serif" w:hAnsi="Arial;Helvetica;sans-serif"/>
                <w:b w:val="false"/>
                <w:i w:val="false"/>
                <w:caps w:val="false"/>
                <w:smallCaps w:val="false"/>
                <w:sz w:val="20"/>
              </w:rPr>
              <w:t>Inventions</w:t>
            </w:r>
            <w:r>
              <w:rPr>
                <w:caps w:val="false"/>
                <w:smallCaps w:val="false"/>
                <w:spacing w:val="-5"/>
              </w:rPr>
              <w:t xml:space="preserve"> </w:t>
            </w:r>
            <w:r>
              <w:rPr>
                <w:rFonts w:ascii="Arial;Helvetica;sans-serif" w:hAnsi="Arial;Helvetica;sans-serif"/>
                <w:b w:val="false"/>
                <w:i w:val="false"/>
                <w:caps w:val="false"/>
                <w:smallCaps w:val="false"/>
                <w:sz w:val="20"/>
              </w:rPr>
              <w:t>and</w:t>
            </w:r>
            <w:r>
              <w:rPr>
                <w:caps w:val="false"/>
                <w:smallCaps w:val="false"/>
                <w:spacing w:val="-5"/>
              </w:rPr>
              <w:t xml:space="preserve"> </w:t>
            </w:r>
            <w:r>
              <w:rPr>
                <w:rFonts w:ascii="Arial;Helvetica;sans-serif" w:hAnsi="Arial;Helvetica;sans-serif"/>
                <w:b w:val="false"/>
                <w:i w:val="false"/>
                <w:caps w:val="false"/>
                <w:smallCaps w:val="false"/>
                <w:sz w:val="20"/>
              </w:rPr>
              <w:t>Prevent</w:t>
            </w:r>
            <w:r>
              <w:rPr>
                <w:caps w:val="false"/>
                <w:smallCaps w:val="false"/>
                <w:spacing w:val="-5"/>
              </w:rPr>
              <w:t xml:space="preserve"> </w:t>
            </w:r>
            <w:r>
              <w:rPr>
                <w:rFonts w:ascii="Arial;Helvetica;sans-serif" w:hAnsi="Arial;Helvetica;sans-serif"/>
                <w:b w:val="false"/>
                <w:i w:val="false"/>
                <w:caps w:val="false"/>
                <w:smallCaps w:val="false"/>
                <w:sz w:val="20"/>
              </w:rPr>
              <w:t>Unfair</w:t>
            </w:r>
            <w:r>
              <w:rPr>
                <w:caps w:val="false"/>
                <w:smallCaps w:val="false"/>
                <w:spacing w:val="-5"/>
              </w:rPr>
              <w:t xml:space="preserve"> </w:t>
            </w:r>
            <w:r>
              <w:rPr>
                <w:rFonts w:ascii="Arial;Helvetica;sans-serif" w:hAnsi="Arial;Helvetica;sans-serif"/>
                <w:b w:val="false"/>
                <w:i w:val="false"/>
                <w:caps w:val="false"/>
                <w:smallCaps w:val="false"/>
                <w:sz w:val="20"/>
              </w:rPr>
              <w:t>Competition</w:t>
            </w:r>
            <w:r>
              <w:rPr>
                <w:caps w:val="false"/>
                <w:smallCaps w:val="false"/>
                <w:spacing w:val="-5"/>
              </w:rPr>
              <w:t xml:space="preserve"> </w:t>
            </w:r>
            <w:r>
              <w:rPr>
                <w:rFonts w:ascii="Arial;Helvetica;sans-serif" w:hAnsi="Arial;Helvetica;sans-serif"/>
                <w:b w:val="false"/>
                <w:i w:val="false"/>
                <w:caps w:val="false"/>
                <w:smallCaps w:val="false"/>
                <w:sz w:val="20"/>
              </w:rPr>
              <w:t>and</w:t>
            </w:r>
            <w:r>
              <w:rPr>
                <w:caps w:val="false"/>
                <w:smallCaps w:val="false"/>
                <w:spacing w:val="-5"/>
              </w:rPr>
              <w:t xml:space="preserve"> </w:t>
            </w:r>
            <w:r>
              <w:rPr>
                <w:rFonts w:ascii="Arial;Helvetica;sans-serif" w:hAnsi="Arial;Helvetica;sans-serif"/>
                <w:b w:val="false"/>
                <w:i w:val="false"/>
                <w:caps w:val="false"/>
                <w:smallCaps w:val="false"/>
                <w:sz w:val="20"/>
              </w:rPr>
              <w:t>Unfair</w:t>
            </w:r>
            <w:r>
              <w:rPr>
                <w:caps w:val="false"/>
                <w:smallCaps w:val="false"/>
                <w:spacing w:val="-5"/>
              </w:rPr>
              <w:t xml:space="preserve"> </w:t>
            </w:r>
            <w:r>
              <w:rPr>
                <w:rFonts w:ascii="Arial;Helvetica;sans-serif" w:hAnsi="Arial;Helvetica;sans-serif"/>
                <w:b w:val="false"/>
                <w:i w:val="false"/>
                <w:caps w:val="false"/>
                <w:smallCaps w:val="false"/>
                <w:sz w:val="20"/>
              </w:rPr>
              <w:t>Solicitation ("Confidentiality Agreements"), the non-disclosure, non-solicitation, and non-competition undertakings in this Agreement and in any Incentive Agreements, and any other similar agreements executed at any time during his employment, including without limitation this Agreement, all of which survive termination of employment.</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200" w:after="0"/>
        <w:ind w:left="360" w:right="369" w:hanging="0"/>
        <w:jc w:val="left"/>
        <w:rPr>
          <w:rFonts w:ascii="Aptos" w:hAnsi="Aptos"/>
          <w:sz w:val="24"/>
        </w:rPr>
      </w:pPr>
      <w:r>
        <w:rPr>
          <w:rFonts w:ascii="Arial;Helvetica;sans-serif" w:hAnsi="Arial;Helvetica;sans-serif"/>
          <w:sz w:val="20"/>
        </w:rPr>
        <w:t>h.</w:t>
      </w:r>
      <w:r>
        <w:rPr>
          <w:rFonts w:ascii="Arial;Helvetica;sans-serif" w:hAnsi="Arial;Helvetica;sans-serif"/>
          <w:b/>
          <w:sz w:val="20"/>
        </w:rPr>
        <w:t xml:space="preserve">Termination by Company in Connection with Change in Control Event. </w:t>
      </w:r>
      <w:r>
        <w:rPr>
          <w:rFonts w:ascii="Arial;Helvetica;sans-serif" w:hAnsi="Arial;Helvetica;sans-serif"/>
          <w:sz w:val="20"/>
        </w:rPr>
        <w:t>If a Change in Control event occurs, and at any time within eighteen (18) months of such Change in Control event's effective</w:t>
      </w:r>
      <w:r>
        <w:rPr>
          <w:rFonts w:ascii="Aptos" w:hAnsi="Aptos"/>
          <w:spacing w:val="-3"/>
          <w:sz w:val="24"/>
        </w:rPr>
        <w:t xml:space="preserve"> </w:t>
      </w:r>
      <w:r>
        <w:rPr>
          <w:rFonts w:ascii="Arial;Helvetica;sans-serif" w:hAnsi="Arial;Helvetica;sans-serif"/>
          <w:sz w:val="20"/>
        </w:rPr>
        <w:t>date</w:t>
      </w:r>
      <w:r>
        <w:rPr>
          <w:rFonts w:ascii="Aptos" w:hAnsi="Aptos"/>
          <w:spacing w:val="-3"/>
          <w:sz w:val="24"/>
        </w:rPr>
        <w:t xml:space="preserve"> </w:t>
      </w:r>
      <w:r>
        <w:rPr>
          <w:rFonts w:ascii="Arial;Helvetica;sans-serif" w:hAnsi="Arial;Helvetica;sans-serif"/>
          <w:sz w:val="20"/>
        </w:rPr>
        <w:t>("CIC</w:t>
      </w:r>
      <w:r>
        <w:rPr>
          <w:rFonts w:ascii="Aptos" w:hAnsi="Aptos"/>
          <w:spacing w:val="-4"/>
          <w:sz w:val="24"/>
        </w:rPr>
        <w:t xml:space="preserve"> </w:t>
      </w:r>
      <w:r>
        <w:rPr>
          <w:rFonts w:ascii="Arial;Helvetica;sans-serif" w:hAnsi="Arial;Helvetica;sans-serif"/>
          <w:sz w:val="20"/>
        </w:rPr>
        <w:t>Period"),</w:t>
      </w:r>
      <w:r>
        <w:rPr>
          <w:rFonts w:ascii="Aptos" w:hAnsi="Aptos"/>
          <w:spacing w:val="-3"/>
          <w:sz w:val="24"/>
        </w:rPr>
        <w:t xml:space="preserve"> </w:t>
      </w:r>
      <w:r>
        <w:rPr>
          <w:rFonts w:ascii="Arial;Helvetica;sans-serif" w:hAnsi="Arial;Helvetica;sans-serif"/>
          <w:sz w:val="20"/>
        </w:rPr>
        <w:t>the</w:t>
      </w:r>
      <w:r>
        <w:rPr>
          <w:rFonts w:ascii="Aptos" w:hAnsi="Aptos"/>
          <w:spacing w:val="-3"/>
          <w:sz w:val="24"/>
        </w:rPr>
        <w:t xml:space="preserve"> </w:t>
      </w:r>
      <w:r>
        <w:rPr>
          <w:rFonts w:ascii="Arial;Helvetica;sans-serif" w:hAnsi="Arial;Helvetica;sans-serif"/>
          <w:sz w:val="20"/>
        </w:rPr>
        <w:t>Company,</w:t>
      </w:r>
      <w:r>
        <w:rPr>
          <w:rFonts w:ascii="Aptos" w:hAnsi="Aptos"/>
          <w:spacing w:val="-3"/>
          <w:sz w:val="24"/>
        </w:rPr>
        <w:t xml:space="preserve"> </w:t>
      </w:r>
      <w:r>
        <w:rPr>
          <w:rFonts w:ascii="Arial;Helvetica;sans-serif" w:hAnsi="Arial;Helvetica;sans-serif"/>
          <w:sz w:val="20"/>
        </w:rPr>
        <w:t>TTEC</w:t>
      </w:r>
      <w:r>
        <w:rPr>
          <w:rFonts w:ascii="Aptos" w:hAnsi="Aptos"/>
          <w:spacing w:val="-4"/>
          <w:sz w:val="24"/>
        </w:rPr>
        <w:t xml:space="preserve"> </w:t>
      </w:r>
      <w:r>
        <w:rPr>
          <w:rFonts w:ascii="Arial;Helvetica;sans-serif" w:hAnsi="Arial;Helvetica;sans-serif"/>
          <w:sz w:val="20"/>
        </w:rPr>
        <w:t>Parent,</w:t>
      </w:r>
      <w:r>
        <w:rPr>
          <w:rFonts w:ascii="Aptos" w:hAnsi="Aptos"/>
          <w:spacing w:val="-3"/>
          <w:sz w:val="24"/>
        </w:rPr>
        <w:t xml:space="preserve"> </w:t>
      </w:r>
      <w:r>
        <w:rPr>
          <w:rFonts w:ascii="Arial;Helvetica;sans-serif" w:hAnsi="Arial;Helvetica;sans-serif"/>
          <w:sz w:val="20"/>
        </w:rPr>
        <w:t>or</w:t>
      </w:r>
      <w:r>
        <w:rPr>
          <w:rFonts w:ascii="Aptos" w:hAnsi="Aptos"/>
          <w:spacing w:val="-3"/>
          <w:sz w:val="24"/>
        </w:rPr>
        <w:t xml:space="preserve"> </w:t>
      </w:r>
      <w:r>
        <w:rPr>
          <w:rFonts w:ascii="Arial;Helvetica;sans-serif" w:hAnsi="Arial;Helvetica;sans-serif"/>
          <w:sz w:val="20"/>
        </w:rPr>
        <w:t>its</w:t>
      </w:r>
      <w:r>
        <w:rPr>
          <w:rFonts w:ascii="Aptos" w:hAnsi="Aptos"/>
          <w:spacing w:val="-3"/>
          <w:sz w:val="24"/>
        </w:rPr>
        <w:t xml:space="preserve"> </w:t>
      </w:r>
      <w:r>
        <w:rPr>
          <w:rFonts w:ascii="Arial;Helvetica;sans-serif" w:hAnsi="Arial;Helvetica;sans-serif"/>
          <w:sz w:val="20"/>
        </w:rPr>
        <w:t>successor</w:t>
      </w:r>
      <w:r>
        <w:rPr>
          <w:rFonts w:ascii="Aptos" w:hAnsi="Aptos"/>
          <w:spacing w:val="-3"/>
          <w:sz w:val="24"/>
        </w:rPr>
        <w:t xml:space="preserve"> </w:t>
      </w:r>
      <w:r>
        <w:rPr>
          <w:rFonts w:ascii="Arial;Helvetica;sans-serif" w:hAnsi="Arial;Helvetica;sans-serif"/>
          <w:sz w:val="20"/>
        </w:rPr>
        <w:t>terminates</w:t>
      </w:r>
      <w:r>
        <w:rPr>
          <w:rFonts w:ascii="Aptos" w:hAnsi="Aptos"/>
          <w:spacing w:val="-3"/>
          <w:sz w:val="24"/>
        </w:rPr>
        <w:t xml:space="preserve"> </w:t>
      </w:r>
      <w:r>
        <w:rPr>
          <w:rFonts w:ascii="Arial;Helvetica;sans-serif" w:hAnsi="Arial;Helvetica;sans-serif"/>
          <w:sz w:val="20"/>
        </w:rPr>
        <w:t>Executive's employment without Cause (as that term is defined in Section 4(d)), the Executive shall be</w:t>
      </w:r>
      <w:r>
        <w:rPr>
          <w:rFonts w:ascii="Aptos" w:hAnsi="Aptos"/>
          <w:spacing w:val="40"/>
          <w:sz w:val="24"/>
        </w:rPr>
        <w:t xml:space="preserve"> </w:t>
      </w:r>
      <w:r>
        <w:rPr>
          <w:rFonts w:ascii="Arial;Helvetica;sans-serif" w:hAnsi="Arial;Helvetica;sans-serif"/>
          <w:sz w:val="20"/>
        </w:rPr>
        <w:t>entitled to, and the Company, TTEC Parent or its successor shall cause the following to occur:</w:t>
      </w:r>
    </w:p>
    <w:p>
      <w:pPr>
        <w:pStyle w:val="TextBody"/>
        <w:bidi w:val="0"/>
        <w:spacing w:lineRule="auto" w:line="285"/>
        <w:ind w:left="630" w:right="386" w:hanging="0"/>
        <w:jc w:val="left"/>
        <w:rPr>
          <w:rFonts w:ascii="Aptos" w:hAnsi="Aptos"/>
          <w:sz w:val="24"/>
        </w:rPr>
      </w:pPr>
      <w:r>
        <w:rPr>
          <w:rFonts w:ascii="Arial;Helvetica;sans-serif" w:hAnsi="Arial;Helvetica;sans-serif"/>
          <w:sz w:val="20"/>
        </w:rPr>
        <w:t>(i)</w:t>
      </w:r>
      <w:r>
        <w:rPr>
          <w:rFonts w:ascii="Arial;Helvetica;sans-serif" w:hAnsi="Arial;Helvetica;sans-serif"/>
          <w:sz w:val="20"/>
          <w:u w:val="single"/>
        </w:rPr>
        <w:t>Severance.</w:t>
      </w:r>
      <w:r>
        <w:rPr>
          <w:rFonts w:ascii="Aptos" w:hAnsi="Aptos"/>
          <w:spacing w:val="-4"/>
          <w:sz w:val="24"/>
        </w:rPr>
        <w:t xml:space="preserve"> </w:t>
      </w:r>
      <w:r>
        <w:rPr>
          <w:rFonts w:ascii="Arial;Helvetica;sans-serif" w:hAnsi="Arial;Helvetica;sans-serif"/>
          <w:sz w:val="20"/>
        </w:rPr>
        <w:t>If</w:t>
      </w:r>
      <w:r>
        <w:rPr>
          <w:rFonts w:ascii="Aptos" w:hAnsi="Aptos"/>
          <w:spacing w:val="-4"/>
          <w:sz w:val="24"/>
        </w:rPr>
        <w:t xml:space="preserve"> </w:t>
      </w:r>
      <w:r>
        <w:rPr>
          <w:rFonts w:ascii="Arial;Helvetica;sans-serif" w:hAnsi="Arial;Helvetica;sans-serif"/>
          <w:sz w:val="20"/>
        </w:rPr>
        <w:t>Executive</w:t>
      </w:r>
      <w:r>
        <w:rPr>
          <w:rFonts w:ascii="Aptos" w:hAnsi="Aptos"/>
          <w:spacing w:val="-4"/>
          <w:sz w:val="24"/>
        </w:rPr>
        <w:t xml:space="preserve"> </w:t>
      </w:r>
      <w:r>
        <w:rPr>
          <w:rFonts w:ascii="Arial;Helvetica;sans-serif" w:hAnsi="Arial;Helvetica;sans-serif"/>
          <w:sz w:val="20"/>
        </w:rPr>
        <w:t>executes</w:t>
      </w:r>
      <w:r>
        <w:rPr>
          <w:rFonts w:ascii="Aptos" w:hAnsi="Aptos"/>
          <w:spacing w:val="-4"/>
          <w:sz w:val="24"/>
        </w:rPr>
        <w:t xml:space="preserve"> </w:t>
      </w:r>
      <w:r>
        <w:rPr>
          <w:rFonts w:ascii="Arial;Helvetica;sans-serif" w:hAnsi="Arial;Helvetica;sans-serif"/>
          <w:sz w:val="20"/>
        </w:rPr>
        <w:t>a</w:t>
      </w:r>
      <w:r>
        <w:rPr>
          <w:rFonts w:ascii="Aptos" w:hAnsi="Aptos"/>
          <w:spacing w:val="-4"/>
          <w:sz w:val="24"/>
        </w:rPr>
        <w:t xml:space="preserve"> </w:t>
      </w:r>
      <w:r>
        <w:rPr>
          <w:rFonts w:ascii="Arial;Helvetica;sans-serif" w:hAnsi="Arial;Helvetica;sans-serif"/>
          <w:sz w:val="20"/>
        </w:rPr>
        <w:t>separation</w:t>
      </w:r>
      <w:r>
        <w:rPr>
          <w:rFonts w:ascii="Aptos" w:hAnsi="Aptos"/>
          <w:spacing w:val="-4"/>
          <w:sz w:val="24"/>
        </w:rPr>
        <w:t xml:space="preserve"> </w:t>
      </w:r>
      <w:r>
        <w:rPr>
          <w:rFonts w:ascii="Arial;Helvetica;sans-serif" w:hAnsi="Arial;Helvetica;sans-serif"/>
          <w:sz w:val="20"/>
        </w:rPr>
        <w:t>agreement</w:t>
      </w:r>
      <w:r>
        <w:rPr>
          <w:rFonts w:ascii="Aptos" w:hAnsi="Aptos"/>
          <w:spacing w:val="-4"/>
          <w:sz w:val="24"/>
        </w:rPr>
        <w:t xml:space="preserve"> </w:t>
      </w:r>
      <w:r>
        <w:rPr>
          <w:rFonts w:ascii="Arial;Helvetica;sans-serif" w:hAnsi="Arial;Helvetica;sans-serif"/>
          <w:sz w:val="20"/>
        </w:rPr>
        <w:t>in</w:t>
      </w:r>
      <w:r>
        <w:rPr>
          <w:rFonts w:ascii="Aptos" w:hAnsi="Aptos"/>
          <w:spacing w:val="-4"/>
          <w:sz w:val="24"/>
        </w:rPr>
        <w:t xml:space="preserve"> </w:t>
      </w:r>
      <w:r>
        <w:rPr>
          <w:rFonts w:ascii="Arial;Helvetica;sans-serif" w:hAnsi="Arial;Helvetica;sans-serif"/>
          <w:sz w:val="20"/>
        </w:rPr>
        <w:t>a</w:t>
      </w:r>
      <w:r>
        <w:rPr>
          <w:rFonts w:ascii="Aptos" w:hAnsi="Aptos"/>
          <w:spacing w:val="-4"/>
          <w:sz w:val="24"/>
        </w:rPr>
        <w:t xml:space="preserve"> </w:t>
      </w:r>
      <w:r>
        <w:rPr>
          <w:rFonts w:ascii="Arial;Helvetica;sans-serif" w:hAnsi="Arial;Helvetica;sans-serif"/>
          <w:sz w:val="20"/>
        </w:rPr>
        <w:t>form</w:t>
      </w:r>
      <w:r>
        <w:rPr>
          <w:rFonts w:ascii="Aptos" w:hAnsi="Aptos"/>
          <w:spacing w:val="-5"/>
          <w:sz w:val="24"/>
        </w:rPr>
        <w:t xml:space="preserve"> </w:t>
      </w:r>
      <w:r>
        <w:rPr>
          <w:rFonts w:ascii="Arial;Helvetica;sans-serif" w:hAnsi="Arial;Helvetica;sans-serif"/>
          <w:sz w:val="20"/>
        </w:rPr>
        <w:t>substantially</w:t>
      </w:r>
      <w:r>
        <w:rPr>
          <w:rFonts w:ascii="Aptos" w:hAnsi="Aptos"/>
          <w:spacing w:val="-4"/>
          <w:sz w:val="24"/>
        </w:rPr>
        <w:t xml:space="preserve"> </w:t>
      </w:r>
      <w:r>
        <w:rPr>
          <w:rFonts w:ascii="Arial;Helvetica;sans-serif" w:hAnsi="Arial;Helvetica;sans-serif"/>
          <w:sz w:val="20"/>
        </w:rPr>
        <w:t>similar to</w:t>
      </w:r>
      <w:r>
        <w:rPr>
          <w:rFonts w:ascii="Aptos" w:hAnsi="Aptos"/>
          <w:spacing w:val="-2"/>
          <w:sz w:val="24"/>
        </w:rPr>
        <w:t xml:space="preserve"> </w:t>
      </w:r>
      <w:r>
        <w:rPr>
          <w:rFonts w:ascii="Arial;Helvetica;sans-serif" w:hAnsi="Arial;Helvetica;sans-serif"/>
          <w:sz w:val="20"/>
        </w:rPr>
        <w:t>the</w:t>
      </w:r>
      <w:r>
        <w:rPr>
          <w:rFonts w:ascii="Aptos" w:hAnsi="Aptos"/>
          <w:spacing w:val="-2"/>
          <w:sz w:val="24"/>
        </w:rPr>
        <w:t xml:space="preserve"> </w:t>
      </w:r>
      <w:r>
        <w:rPr>
          <w:rFonts w:ascii="Arial;Helvetica;sans-serif" w:hAnsi="Arial;Helvetica;sans-serif"/>
          <w:sz w:val="20"/>
        </w:rPr>
        <w:t>agreement</w:t>
      </w:r>
      <w:r>
        <w:rPr>
          <w:rFonts w:ascii="Aptos" w:hAnsi="Aptos"/>
          <w:spacing w:val="-2"/>
          <w:sz w:val="24"/>
        </w:rPr>
        <w:t xml:space="preserve"> </w:t>
      </w:r>
      <w:r>
        <w:rPr>
          <w:rFonts w:ascii="Arial;Helvetica;sans-serif" w:hAnsi="Arial;Helvetica;sans-serif"/>
          <w:sz w:val="20"/>
        </w:rPr>
        <w:t>set</w:t>
      </w:r>
      <w:r>
        <w:rPr>
          <w:rFonts w:ascii="Aptos" w:hAnsi="Aptos"/>
          <w:spacing w:val="-2"/>
          <w:sz w:val="24"/>
        </w:rPr>
        <w:t xml:space="preserve"> </w:t>
      </w:r>
      <w:r>
        <w:rPr>
          <w:rFonts w:ascii="Arial;Helvetica;sans-serif" w:hAnsi="Arial;Helvetica;sans-serif"/>
          <w:sz w:val="20"/>
        </w:rPr>
        <w:t>forth</w:t>
      </w:r>
      <w:r>
        <w:rPr>
          <w:rFonts w:ascii="Aptos" w:hAnsi="Aptos"/>
          <w:spacing w:val="-2"/>
          <w:sz w:val="24"/>
        </w:rPr>
        <w:t xml:space="preserve"> </w:t>
      </w:r>
      <w:r>
        <w:rPr>
          <w:rFonts w:ascii="Arial;Helvetica;sans-serif" w:hAnsi="Arial;Helvetica;sans-serif"/>
          <w:sz w:val="20"/>
        </w:rPr>
        <w:t>in</w:t>
      </w:r>
      <w:r>
        <w:rPr>
          <w:rFonts w:ascii="Aptos" w:hAnsi="Aptos"/>
          <w:spacing w:val="-2"/>
          <w:sz w:val="24"/>
        </w:rPr>
        <w:t xml:space="preserve"> </w:t>
      </w:r>
      <w:r>
        <w:rPr>
          <w:rFonts w:ascii="Arial;Helvetica;sans-serif" w:hAnsi="Arial;Helvetica;sans-serif"/>
          <w:i/>
          <w:sz w:val="20"/>
        </w:rPr>
        <w:t>Exhibit</w:t>
      </w:r>
      <w:r>
        <w:rPr>
          <w:rFonts w:ascii="Aptos" w:hAnsi="Aptos"/>
          <w:spacing w:val="-2"/>
          <w:sz w:val="24"/>
        </w:rPr>
        <w:t xml:space="preserve"> </w:t>
      </w:r>
      <w:r>
        <w:rPr>
          <w:rFonts w:ascii="Arial;Helvetica;sans-serif" w:hAnsi="Arial;Helvetica;sans-serif"/>
          <w:i/>
          <w:sz w:val="20"/>
        </w:rPr>
        <w:t>E</w:t>
      </w:r>
      <w:r>
        <w:rPr>
          <w:rFonts w:ascii="Aptos" w:hAnsi="Aptos"/>
          <w:spacing w:val="-3"/>
          <w:sz w:val="24"/>
        </w:rPr>
        <w:t xml:space="preserve"> </w:t>
      </w:r>
      <w:r>
        <w:rPr>
          <w:rFonts w:ascii="Arial;Helvetica;sans-serif" w:hAnsi="Arial;Helvetica;sans-serif"/>
          <w:sz w:val="20"/>
        </w:rPr>
        <w:t>(attached</w:t>
      </w:r>
      <w:r>
        <w:rPr>
          <w:rFonts w:ascii="Aptos" w:hAnsi="Aptos"/>
          <w:spacing w:val="-2"/>
          <w:sz w:val="24"/>
        </w:rPr>
        <w:t xml:space="preserve"> </w:t>
      </w:r>
      <w:r>
        <w:rPr>
          <w:rFonts w:ascii="Arial;Helvetica;sans-serif" w:hAnsi="Arial;Helvetica;sans-serif"/>
          <w:sz w:val="20"/>
        </w:rPr>
        <w:t>hereto),</w:t>
      </w:r>
      <w:r>
        <w:rPr>
          <w:rFonts w:ascii="Aptos" w:hAnsi="Aptos"/>
          <w:spacing w:val="-2"/>
          <w:sz w:val="24"/>
        </w:rPr>
        <w:t xml:space="preserve"> </w:t>
      </w:r>
      <w:r>
        <w:rPr>
          <w:rFonts w:ascii="Arial;Helvetica;sans-serif" w:hAnsi="Arial;Helvetica;sans-serif"/>
          <w:sz w:val="20"/>
        </w:rPr>
        <w:t>releasing</w:t>
      </w:r>
      <w:r>
        <w:rPr>
          <w:rFonts w:ascii="Aptos" w:hAnsi="Aptos"/>
          <w:spacing w:val="-2"/>
          <w:sz w:val="24"/>
        </w:rPr>
        <w:t xml:space="preserve"> </w:t>
      </w:r>
      <w:r>
        <w:rPr>
          <w:rFonts w:ascii="Arial;Helvetica;sans-serif" w:hAnsi="Arial;Helvetica;sans-serif"/>
          <w:sz w:val="20"/>
        </w:rPr>
        <w:t>all</w:t>
      </w:r>
      <w:r>
        <w:rPr>
          <w:rFonts w:ascii="Aptos" w:hAnsi="Aptos"/>
          <w:spacing w:val="-2"/>
          <w:sz w:val="24"/>
        </w:rPr>
        <w:t xml:space="preserve"> </w:t>
      </w:r>
      <w:r>
        <w:rPr>
          <w:rFonts w:ascii="Arial;Helvetica;sans-serif" w:hAnsi="Arial;Helvetica;sans-serif"/>
          <w:sz w:val="20"/>
        </w:rPr>
        <w:t>legal</w:t>
      </w:r>
      <w:r>
        <w:rPr>
          <w:rFonts w:ascii="Aptos" w:hAnsi="Aptos"/>
          <w:spacing w:val="-2"/>
          <w:sz w:val="24"/>
        </w:rPr>
        <w:t xml:space="preserve"> </w:t>
      </w:r>
      <w:r>
        <w:rPr>
          <w:rFonts w:ascii="Arial;Helvetica;sans-serif" w:hAnsi="Arial;Helvetica;sans-serif"/>
          <w:sz w:val="20"/>
        </w:rPr>
        <w:t>claims</w:t>
      </w:r>
      <w:r>
        <w:rPr>
          <w:rFonts w:ascii="Aptos" w:hAnsi="Aptos"/>
          <w:spacing w:val="-2"/>
          <w:sz w:val="24"/>
        </w:rPr>
        <w:t xml:space="preserve"> </w:t>
      </w:r>
      <w:r>
        <w:rPr>
          <w:rFonts w:ascii="Arial;Helvetica;sans-serif" w:hAnsi="Arial;Helvetica;sans-serif"/>
          <w:sz w:val="20"/>
        </w:rPr>
        <w:t>except</w:t>
      </w:r>
      <w:r>
        <w:rPr>
          <w:rFonts w:ascii="Aptos" w:hAnsi="Aptos"/>
          <w:spacing w:val="-2"/>
          <w:sz w:val="24"/>
        </w:rPr>
        <w:t xml:space="preserve"> </w:t>
      </w:r>
      <w:r>
        <w:rPr>
          <w:rFonts w:ascii="Arial;Helvetica;sans-serif" w:hAnsi="Arial;Helvetica;sans-serif"/>
          <w:sz w:val="20"/>
        </w:rPr>
        <w:t>for</w:t>
      </w:r>
      <w:r>
        <w:rPr>
          <w:rFonts w:ascii="Aptos" w:hAnsi="Aptos"/>
          <w:spacing w:val="-2"/>
          <w:sz w:val="24"/>
        </w:rPr>
        <w:t xml:space="preserve"> </w:t>
      </w:r>
      <w:r>
        <w:rPr>
          <w:rFonts w:ascii="Arial;Helvetica;sans-serif" w:hAnsi="Arial;Helvetica;sans-serif"/>
          <w:sz w:val="20"/>
        </w:rPr>
        <w:t>those that cannot legally be released and agreeing to continue to comply with all terms of such separation agreement, and any other agreements signed by the Executive with the Company or successor,</w:t>
      </w:r>
      <w:r>
        <w:rPr>
          <w:rFonts w:ascii="Aptos" w:hAnsi="Aptos"/>
          <w:spacing w:val="-1"/>
          <w:sz w:val="24"/>
        </w:rPr>
        <w:t xml:space="preserve"> </w:t>
      </w:r>
      <w:r>
        <w:rPr>
          <w:rFonts w:ascii="Arial;Helvetica;sans-serif" w:hAnsi="Arial;Helvetica;sans-serif"/>
          <w:sz w:val="20"/>
        </w:rPr>
        <w:t>then</w:t>
      </w:r>
      <w:r>
        <w:rPr>
          <w:rFonts w:ascii="Aptos" w:hAnsi="Aptos"/>
          <w:spacing w:val="-1"/>
          <w:sz w:val="24"/>
        </w:rPr>
        <w:t xml:space="preserve"> </w:t>
      </w:r>
      <w:r>
        <w:rPr>
          <w:rFonts w:ascii="Arial;Helvetica;sans-serif" w:hAnsi="Arial;Helvetica;sans-serif"/>
          <w:sz w:val="20"/>
        </w:rPr>
        <w:t>the</w:t>
      </w:r>
      <w:r>
        <w:rPr>
          <w:rFonts w:ascii="Aptos" w:hAnsi="Aptos"/>
          <w:spacing w:val="-1"/>
          <w:sz w:val="24"/>
        </w:rPr>
        <w:t xml:space="preserve"> </w:t>
      </w:r>
      <w:r>
        <w:rPr>
          <w:rFonts w:ascii="Arial;Helvetica;sans-serif" w:hAnsi="Arial;Helvetica;sans-serif"/>
          <w:sz w:val="20"/>
        </w:rPr>
        <w:t>Company</w:t>
      </w:r>
      <w:r>
        <w:rPr>
          <w:rFonts w:ascii="Aptos" w:hAnsi="Aptos"/>
          <w:spacing w:val="-1"/>
          <w:sz w:val="24"/>
        </w:rPr>
        <w:t xml:space="preserve"> </w:t>
      </w:r>
      <w:r>
        <w:rPr>
          <w:rFonts w:ascii="Arial;Helvetica;sans-serif" w:hAnsi="Arial;Helvetica;sans-serif"/>
          <w:sz w:val="20"/>
        </w:rPr>
        <w:t>shall</w:t>
      </w:r>
      <w:r>
        <w:rPr>
          <w:rFonts w:ascii="Aptos" w:hAnsi="Aptos"/>
          <w:spacing w:val="-1"/>
          <w:sz w:val="24"/>
        </w:rPr>
        <w:t xml:space="preserve"> </w:t>
      </w:r>
      <w:r>
        <w:rPr>
          <w:rFonts w:ascii="Arial;Helvetica;sans-serif" w:hAnsi="Arial;Helvetica;sans-serif"/>
          <w:sz w:val="20"/>
        </w:rPr>
        <w:t>pay</w:t>
      </w:r>
      <w:r>
        <w:rPr>
          <w:rFonts w:ascii="Aptos" w:hAnsi="Aptos"/>
          <w:spacing w:val="-1"/>
          <w:sz w:val="24"/>
        </w:rPr>
        <w:t xml:space="preserve"> </w:t>
      </w:r>
      <w:r>
        <w:rPr>
          <w:rFonts w:ascii="Arial;Helvetica;sans-serif" w:hAnsi="Arial;Helvetica;sans-serif"/>
          <w:sz w:val="20"/>
        </w:rPr>
        <w:t>the</w:t>
      </w:r>
      <w:r>
        <w:rPr>
          <w:rFonts w:ascii="Aptos" w:hAnsi="Aptos"/>
          <w:spacing w:val="-1"/>
          <w:sz w:val="24"/>
        </w:rPr>
        <w:t xml:space="preserve"> </w:t>
      </w:r>
      <w:r>
        <w:rPr>
          <w:rFonts w:ascii="Arial;Helvetica;sans-serif" w:hAnsi="Arial;Helvetica;sans-serif"/>
          <w:sz w:val="20"/>
        </w:rPr>
        <w:t>Executive</w:t>
      </w:r>
      <w:r>
        <w:rPr>
          <w:rFonts w:ascii="Aptos" w:hAnsi="Aptos"/>
          <w:spacing w:val="-1"/>
          <w:sz w:val="24"/>
        </w:rPr>
        <w:t xml:space="preserve"> </w:t>
      </w:r>
      <w:r>
        <w:rPr>
          <w:rFonts w:ascii="Arial;Helvetica;sans-serif" w:hAnsi="Arial;Helvetica;sans-serif"/>
          <w:sz w:val="20"/>
        </w:rPr>
        <w:t>a</w:t>
      </w:r>
      <w:r>
        <w:rPr>
          <w:rFonts w:ascii="Aptos" w:hAnsi="Aptos"/>
          <w:spacing w:val="-1"/>
          <w:sz w:val="24"/>
        </w:rPr>
        <w:t xml:space="preserve"> </w:t>
      </w:r>
      <w:r>
        <w:rPr>
          <w:rFonts w:ascii="Arial;Helvetica;sans-serif" w:hAnsi="Arial;Helvetica;sans-serif"/>
          <w:sz w:val="20"/>
        </w:rPr>
        <w:t>lump-sum</w:t>
      </w:r>
      <w:r>
        <w:rPr>
          <w:rFonts w:ascii="Aptos" w:hAnsi="Aptos"/>
          <w:spacing w:val="-2"/>
          <w:sz w:val="24"/>
        </w:rPr>
        <w:t xml:space="preserve"> </w:t>
      </w:r>
      <w:r>
        <w:rPr>
          <w:rFonts w:ascii="Arial;Helvetica;sans-serif" w:hAnsi="Arial;Helvetica;sans-serif"/>
          <w:sz w:val="20"/>
        </w:rPr>
        <w:t>severance</w:t>
      </w:r>
      <w:r>
        <w:rPr>
          <w:rFonts w:ascii="Aptos" w:hAnsi="Aptos"/>
          <w:spacing w:val="-1"/>
          <w:sz w:val="24"/>
        </w:rPr>
        <w:t xml:space="preserve"> </w:t>
      </w:r>
      <w:r>
        <w:rPr>
          <w:rFonts w:ascii="Arial;Helvetica;sans-serif" w:hAnsi="Arial;Helvetica;sans-serif"/>
          <w:sz w:val="20"/>
        </w:rPr>
        <w:t>compensation</w:t>
      </w:r>
      <w:r>
        <w:rPr>
          <w:rFonts w:ascii="Aptos" w:hAnsi="Aptos"/>
          <w:spacing w:val="-1"/>
          <w:sz w:val="24"/>
        </w:rPr>
        <w:t xml:space="preserve"> </w:t>
      </w:r>
      <w:r>
        <w:rPr>
          <w:rFonts w:ascii="Arial;Helvetica;sans-serif" w:hAnsi="Arial;Helvetica;sans-serif"/>
          <w:sz w:val="20"/>
        </w:rPr>
        <w:t>equal to</w:t>
      </w:r>
      <w:r>
        <w:rPr>
          <w:rFonts w:ascii="Aptos" w:hAnsi="Aptos"/>
          <w:spacing w:val="40"/>
          <w:sz w:val="24"/>
        </w:rPr>
        <w:t xml:space="preserve"> </w:t>
      </w:r>
      <w:r>
        <w:rPr>
          <w:rFonts w:ascii="Arial;Helvetica;sans-serif" w:hAnsi="Arial;Helvetica;sans-serif"/>
          <w:sz w:val="20"/>
        </w:rPr>
        <w:t>two times (2x) Executive's Base Salary in effect at the time of such termination ("CIC Severance") within ten (10) business days of the effective date of such Change in Control related termination; provided, however, if the CIC Severance payment is due prior to the date that the Company or successor receives a signed and effective separation agreement and release, the payment</w:t>
      </w:r>
      <w:r>
        <w:rPr>
          <w:rFonts w:ascii="Aptos" w:hAnsi="Aptos"/>
          <w:spacing w:val="-3"/>
          <w:sz w:val="24"/>
        </w:rPr>
        <w:t xml:space="preserve"> </w:t>
      </w:r>
      <w:r>
        <w:rPr>
          <w:rFonts w:ascii="Arial;Helvetica;sans-serif" w:hAnsi="Arial;Helvetica;sans-serif"/>
          <w:sz w:val="20"/>
        </w:rPr>
        <w:t>shall</w:t>
      </w:r>
      <w:r>
        <w:rPr>
          <w:rFonts w:ascii="Aptos" w:hAnsi="Aptos"/>
          <w:spacing w:val="-3"/>
          <w:sz w:val="24"/>
        </w:rPr>
        <w:t xml:space="preserve"> </w:t>
      </w:r>
      <w:r>
        <w:rPr>
          <w:rFonts w:ascii="Arial;Helvetica;sans-serif" w:hAnsi="Arial;Helvetica;sans-serif"/>
          <w:sz w:val="20"/>
        </w:rPr>
        <w:t>be</w:t>
      </w:r>
      <w:r>
        <w:rPr>
          <w:rFonts w:ascii="Aptos" w:hAnsi="Aptos"/>
          <w:spacing w:val="-3"/>
          <w:sz w:val="24"/>
        </w:rPr>
        <w:t xml:space="preserve"> </w:t>
      </w:r>
      <w:r>
        <w:rPr>
          <w:rFonts w:ascii="Arial;Helvetica;sans-serif" w:hAnsi="Arial;Helvetica;sans-serif"/>
          <w:sz w:val="20"/>
        </w:rPr>
        <w:t>suspended</w:t>
      </w:r>
      <w:r>
        <w:rPr>
          <w:rFonts w:ascii="Aptos" w:hAnsi="Aptos"/>
          <w:spacing w:val="-3"/>
          <w:sz w:val="24"/>
        </w:rPr>
        <w:t xml:space="preserve"> </w:t>
      </w:r>
      <w:r>
        <w:rPr>
          <w:rFonts w:ascii="Arial;Helvetica;sans-serif" w:hAnsi="Arial;Helvetica;sans-serif"/>
          <w:sz w:val="20"/>
        </w:rPr>
        <w:t>until</w:t>
      </w:r>
      <w:r>
        <w:rPr>
          <w:rFonts w:ascii="Aptos" w:hAnsi="Aptos"/>
          <w:spacing w:val="-3"/>
          <w:sz w:val="24"/>
        </w:rPr>
        <w:t xml:space="preserve"> </w:t>
      </w:r>
      <w:r>
        <w:rPr>
          <w:rFonts w:ascii="Arial;Helvetica;sans-serif" w:hAnsi="Arial;Helvetica;sans-serif"/>
          <w:sz w:val="20"/>
        </w:rPr>
        <w:t>the</w:t>
      </w:r>
      <w:r>
        <w:rPr>
          <w:rFonts w:ascii="Aptos" w:hAnsi="Aptos"/>
          <w:spacing w:val="-3"/>
          <w:sz w:val="24"/>
        </w:rPr>
        <w:t xml:space="preserve"> </w:t>
      </w:r>
      <w:r>
        <w:rPr>
          <w:rFonts w:ascii="Arial;Helvetica;sans-serif" w:hAnsi="Arial;Helvetica;sans-serif"/>
          <w:sz w:val="20"/>
        </w:rPr>
        <w:t>receipt</w:t>
      </w:r>
      <w:r>
        <w:rPr>
          <w:rFonts w:ascii="Aptos" w:hAnsi="Aptos"/>
          <w:spacing w:val="-3"/>
          <w:sz w:val="24"/>
        </w:rPr>
        <w:t xml:space="preserve"> </w:t>
      </w:r>
      <w:r>
        <w:rPr>
          <w:rFonts w:ascii="Arial;Helvetica;sans-serif" w:hAnsi="Arial;Helvetica;sans-serif"/>
          <w:sz w:val="20"/>
        </w:rPr>
        <w:t>of</w:t>
      </w:r>
      <w:r>
        <w:rPr>
          <w:rFonts w:ascii="Aptos" w:hAnsi="Aptos"/>
          <w:spacing w:val="-3"/>
          <w:sz w:val="24"/>
        </w:rPr>
        <w:t xml:space="preserve"> </w:t>
      </w:r>
      <w:r>
        <w:rPr>
          <w:rFonts w:ascii="Arial;Helvetica;sans-serif" w:hAnsi="Arial;Helvetica;sans-serif"/>
          <w:sz w:val="20"/>
        </w:rPr>
        <w:t>such</w:t>
      </w:r>
      <w:r>
        <w:rPr>
          <w:rFonts w:ascii="Aptos" w:hAnsi="Aptos"/>
          <w:spacing w:val="-3"/>
          <w:sz w:val="24"/>
        </w:rPr>
        <w:t xml:space="preserve"> </w:t>
      </w:r>
      <w:r>
        <w:rPr>
          <w:rFonts w:ascii="Arial;Helvetica;sans-serif" w:hAnsi="Arial;Helvetica;sans-serif"/>
          <w:sz w:val="20"/>
        </w:rPr>
        <w:t>signed</w:t>
      </w:r>
      <w:r>
        <w:rPr>
          <w:rFonts w:ascii="Aptos" w:hAnsi="Aptos"/>
          <w:spacing w:val="-3"/>
          <w:sz w:val="24"/>
        </w:rPr>
        <w:t xml:space="preserve"> </w:t>
      </w:r>
      <w:r>
        <w:rPr>
          <w:rFonts w:ascii="Arial;Helvetica;sans-serif" w:hAnsi="Arial;Helvetica;sans-serif"/>
          <w:sz w:val="20"/>
        </w:rPr>
        <w:t>separation</w:t>
      </w:r>
      <w:r>
        <w:rPr>
          <w:rFonts w:ascii="Aptos" w:hAnsi="Aptos"/>
          <w:spacing w:val="-3"/>
          <w:sz w:val="24"/>
        </w:rPr>
        <w:t xml:space="preserve"> </w:t>
      </w:r>
      <w:r>
        <w:rPr>
          <w:rFonts w:ascii="Arial;Helvetica;sans-serif" w:hAnsi="Arial;Helvetica;sans-serif"/>
          <w:sz w:val="20"/>
        </w:rPr>
        <w:t>agreement,</w:t>
      </w:r>
      <w:r>
        <w:rPr>
          <w:rFonts w:ascii="Aptos" w:hAnsi="Aptos"/>
          <w:spacing w:val="-3"/>
          <w:sz w:val="24"/>
        </w:rPr>
        <w:t xml:space="preserve"> </w:t>
      </w:r>
      <w:r>
        <w:rPr>
          <w:rFonts w:ascii="Arial;Helvetica;sans-serif" w:hAnsi="Arial;Helvetica;sans-serif"/>
          <w:sz w:val="20"/>
        </w:rPr>
        <w:t>and</w:t>
      </w:r>
      <w:r>
        <w:rPr>
          <w:rFonts w:ascii="Aptos" w:hAnsi="Aptos"/>
          <w:spacing w:val="-3"/>
          <w:sz w:val="24"/>
        </w:rPr>
        <w:t xml:space="preserve"> </w:t>
      </w:r>
      <w:r>
        <w:rPr>
          <w:rFonts w:ascii="Arial;Helvetica;sans-serif" w:hAnsi="Arial;Helvetica;sans-serif"/>
          <w:sz w:val="20"/>
        </w:rPr>
        <w:t>then</w:t>
      </w:r>
      <w:r>
        <w:rPr>
          <w:rFonts w:ascii="Aptos" w:hAnsi="Aptos"/>
          <w:spacing w:val="-3"/>
          <w:sz w:val="24"/>
        </w:rPr>
        <w:t xml:space="preserve"> </w:t>
      </w:r>
      <w:r>
        <w:rPr>
          <w:rFonts w:ascii="Arial;Helvetica;sans-serif" w:hAnsi="Arial;Helvetica;sans-serif"/>
          <w:sz w:val="20"/>
        </w:rPr>
        <w:t>paid as soon as reasonable but in no event later than ten (10) business days after such receipt.</w:t>
      </w:r>
    </w:p>
    <w:p>
      <w:pPr>
        <w:pStyle w:val="TextBody"/>
        <w:bidi w:val="0"/>
        <w:spacing w:lineRule="auto" w:line="285" w:before="0" w:after="0"/>
        <w:ind w:left="0" w:right="0" w:hanging="0"/>
        <w:jc w:val="right"/>
        <w:rPr>
          <w:rFonts w:ascii="Arial;Helvetica;sans-serif" w:hAnsi="Arial;Helvetica;sans-serif"/>
          <w:sz w:val="22"/>
        </w:rPr>
      </w:pPr>
      <w:r>
        <w:rPr>
          <w:rFonts w:ascii="Arial;Helvetica;sans-serif" w:hAnsi="Arial;Helvetica;sans-serif"/>
          <w:sz w:val="22"/>
        </w:rPr>
        <w:t xml:space="preserve">Page </w:t>
      </w:r>
      <w:r>
        <w:rPr>
          <w:rFonts w:ascii="Arial;Helvetica;sans-serif" w:hAnsi="Arial;Helvetica;sans-serif"/>
          <w:b/>
          <w:sz w:val="22"/>
        </w:rPr>
        <w:t>6</w:t>
      </w:r>
      <w:r>
        <w:rPr>
          <w:rFonts w:ascii="Arial;Helvetica;sans-serif" w:hAnsi="Arial;Helvetica;sans-serif"/>
          <w:sz w:val="22"/>
        </w:rPr>
        <w:t xml:space="preserve"> of </w:t>
      </w:r>
      <w:r>
        <w:rPr>
          <w:rFonts w:ascii="Arial;Helvetica;sans-serif" w:hAnsi="Arial;Helvetica;sans-serif"/>
          <w:b/>
          <w:sz w:val="22"/>
        </w:rPr>
        <w:t>15</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197" w:after="0"/>
        <w:ind w:left="720" w:right="360" w:hanging="0"/>
        <w:jc w:val="left"/>
        <w:rPr>
          <w:rFonts w:ascii="Aptos" w:hAnsi="Aptos"/>
          <w:sz w:val="24"/>
        </w:rPr>
      </w:pPr>
      <w:r>
        <w:rPr>
          <w:rFonts w:ascii="Arial;Helvetica;sans-serif" w:hAnsi="Arial;Helvetica;sans-serif"/>
          <w:sz w:val="20"/>
        </w:rPr>
        <w:t>(ii)</w:t>
      </w:r>
      <w:r>
        <w:rPr>
          <w:rFonts w:ascii="Arial;Helvetica;sans-serif" w:hAnsi="Arial;Helvetica;sans-serif"/>
          <w:sz w:val="20"/>
          <w:u w:val="single"/>
        </w:rPr>
        <w:t>Continuation of Benefits</w:t>
      </w:r>
      <w:r>
        <w:rPr>
          <w:rFonts w:ascii="Arial;Helvetica;sans-serif" w:hAnsi="Arial;Helvetica;sans-serif"/>
          <w:b/>
          <w:sz w:val="20"/>
        </w:rPr>
        <w:t xml:space="preserve">. </w:t>
      </w:r>
      <w:r>
        <w:rPr>
          <w:rFonts w:ascii="Arial;Helvetica;sans-serif" w:hAnsi="Arial;Helvetica;sans-serif"/>
          <w:sz w:val="20"/>
        </w:rPr>
        <w:t>In addition to CIC Severance, the Company, TTEC Parent,</w:t>
      </w:r>
      <w:r>
        <w:rPr>
          <w:rFonts w:ascii="Aptos" w:hAnsi="Aptos"/>
          <w:spacing w:val="40"/>
          <w:sz w:val="24"/>
        </w:rPr>
        <w:t xml:space="preserve"> </w:t>
      </w:r>
      <w:r>
        <w:rPr>
          <w:rFonts w:ascii="Arial;Helvetica;sans-serif" w:hAnsi="Arial;Helvetica;sans-serif"/>
          <w:sz w:val="20"/>
        </w:rPr>
        <w:t>or successor shall continue to provide to Executive and to the Executive's eligible dependents with the same level of welfare and health benefits, including without limitation medical, dental, vision,</w:t>
      </w:r>
      <w:r>
        <w:rPr>
          <w:rFonts w:ascii="Aptos" w:hAnsi="Aptos"/>
          <w:spacing w:val="-3"/>
          <w:sz w:val="24"/>
        </w:rPr>
        <w:t xml:space="preserve"> </w:t>
      </w:r>
      <w:r>
        <w:rPr>
          <w:rFonts w:ascii="Arial;Helvetica;sans-serif" w:hAnsi="Arial;Helvetica;sans-serif"/>
          <w:sz w:val="20"/>
        </w:rPr>
        <w:t>accident,</w:t>
      </w:r>
      <w:r>
        <w:rPr>
          <w:rFonts w:ascii="Aptos" w:hAnsi="Aptos"/>
          <w:spacing w:val="-3"/>
          <w:sz w:val="24"/>
        </w:rPr>
        <w:t xml:space="preserve"> </w:t>
      </w:r>
      <w:r>
        <w:rPr>
          <w:rFonts w:ascii="Arial;Helvetica;sans-serif" w:hAnsi="Arial;Helvetica;sans-serif"/>
          <w:sz w:val="20"/>
        </w:rPr>
        <w:t>disability,</w:t>
      </w:r>
      <w:r>
        <w:rPr>
          <w:rFonts w:ascii="Aptos" w:hAnsi="Aptos"/>
          <w:spacing w:val="-3"/>
          <w:sz w:val="24"/>
        </w:rPr>
        <w:t xml:space="preserve"> </w:t>
      </w:r>
      <w:r>
        <w:rPr>
          <w:rFonts w:ascii="Arial;Helvetica;sans-serif" w:hAnsi="Arial;Helvetica;sans-serif"/>
          <w:sz w:val="20"/>
        </w:rPr>
        <w:t>life</w:t>
      </w:r>
      <w:r>
        <w:rPr>
          <w:rFonts w:ascii="Aptos" w:hAnsi="Aptos"/>
          <w:spacing w:val="-3"/>
          <w:sz w:val="24"/>
        </w:rPr>
        <w:t xml:space="preserve"> </w:t>
      </w:r>
      <w:r>
        <w:rPr>
          <w:rFonts w:ascii="Arial;Helvetica;sans-serif" w:hAnsi="Arial;Helvetica;sans-serif"/>
          <w:sz w:val="20"/>
        </w:rPr>
        <w:t>insurance,</w:t>
      </w:r>
      <w:r>
        <w:rPr>
          <w:rFonts w:ascii="Aptos" w:hAnsi="Aptos"/>
          <w:spacing w:val="-3"/>
          <w:sz w:val="24"/>
        </w:rPr>
        <w:t xml:space="preserve"> </w:t>
      </w:r>
      <w:r>
        <w:rPr>
          <w:rFonts w:ascii="Arial;Helvetica;sans-serif" w:hAnsi="Arial;Helvetica;sans-serif"/>
          <w:sz w:val="20"/>
        </w:rPr>
        <w:t>and</w:t>
      </w:r>
      <w:r>
        <w:rPr>
          <w:rFonts w:ascii="Aptos" w:hAnsi="Aptos"/>
          <w:spacing w:val="-3"/>
          <w:sz w:val="24"/>
        </w:rPr>
        <w:t xml:space="preserve"> </w:t>
      </w:r>
      <w:r>
        <w:rPr>
          <w:rFonts w:ascii="Arial;Helvetica;sans-serif" w:hAnsi="Arial;Helvetica;sans-serif"/>
          <w:sz w:val="20"/>
        </w:rPr>
        <w:t>other</w:t>
      </w:r>
      <w:r>
        <w:rPr>
          <w:rFonts w:ascii="Aptos" w:hAnsi="Aptos"/>
          <w:spacing w:val="-3"/>
          <w:sz w:val="24"/>
        </w:rPr>
        <w:t xml:space="preserve"> </w:t>
      </w:r>
      <w:r>
        <w:rPr>
          <w:rFonts w:ascii="Arial;Helvetica;sans-serif" w:hAnsi="Arial;Helvetica;sans-serif"/>
          <w:sz w:val="20"/>
        </w:rPr>
        <w:t>welfare</w:t>
      </w:r>
      <w:r>
        <w:rPr>
          <w:rFonts w:ascii="Aptos" w:hAnsi="Aptos"/>
          <w:spacing w:val="-3"/>
          <w:sz w:val="24"/>
        </w:rPr>
        <w:t xml:space="preserve"> </w:t>
      </w:r>
      <w:r>
        <w:rPr>
          <w:rFonts w:ascii="Arial;Helvetica;sans-serif" w:hAnsi="Arial;Helvetica;sans-serif"/>
          <w:sz w:val="20"/>
        </w:rPr>
        <w:t>benefits</w:t>
      </w:r>
      <w:r>
        <w:rPr>
          <w:rFonts w:ascii="Aptos" w:hAnsi="Aptos"/>
          <w:spacing w:val="-3"/>
          <w:sz w:val="24"/>
        </w:rPr>
        <w:t xml:space="preserve"> </w:t>
      </w:r>
      <w:r>
        <w:rPr>
          <w:rFonts w:ascii="Arial;Helvetica;sans-serif" w:hAnsi="Arial;Helvetica;sans-serif"/>
          <w:sz w:val="20"/>
        </w:rPr>
        <w:t>in</w:t>
      </w:r>
      <w:r>
        <w:rPr>
          <w:rFonts w:ascii="Aptos" w:hAnsi="Aptos"/>
          <w:spacing w:val="-3"/>
          <w:sz w:val="24"/>
        </w:rPr>
        <w:t xml:space="preserve"> </w:t>
      </w:r>
      <w:r>
        <w:rPr>
          <w:rFonts w:ascii="Arial;Helvetica;sans-serif" w:hAnsi="Arial;Helvetica;sans-serif"/>
          <w:sz w:val="20"/>
        </w:rPr>
        <w:t>place</w:t>
      </w:r>
      <w:r>
        <w:rPr>
          <w:rFonts w:ascii="Aptos" w:hAnsi="Aptos"/>
          <w:spacing w:val="-3"/>
          <w:sz w:val="24"/>
        </w:rPr>
        <w:t xml:space="preserve"> </w:t>
      </w:r>
      <w:r>
        <w:rPr>
          <w:rFonts w:ascii="Arial;Helvetica;sans-serif" w:hAnsi="Arial;Helvetica;sans-serif"/>
          <w:sz w:val="20"/>
        </w:rPr>
        <w:t>prior</w:t>
      </w:r>
      <w:r>
        <w:rPr>
          <w:rFonts w:ascii="Aptos" w:hAnsi="Aptos"/>
          <w:spacing w:val="-3"/>
          <w:sz w:val="24"/>
        </w:rPr>
        <w:t xml:space="preserve"> </w:t>
      </w:r>
      <w:r>
        <w:rPr>
          <w:rFonts w:ascii="Arial;Helvetica;sans-serif" w:hAnsi="Arial;Helvetica;sans-serif"/>
          <w:sz w:val="20"/>
        </w:rPr>
        <w:t>to</w:t>
      </w:r>
      <w:r>
        <w:rPr>
          <w:rFonts w:ascii="Aptos" w:hAnsi="Aptos"/>
          <w:spacing w:val="-3"/>
          <w:sz w:val="24"/>
        </w:rPr>
        <w:t xml:space="preserve"> </w:t>
      </w:r>
      <w:r>
        <w:rPr>
          <w:rFonts w:ascii="Arial;Helvetica;sans-serif" w:hAnsi="Arial;Helvetica;sans-serif"/>
          <w:sz w:val="20"/>
        </w:rPr>
        <w:t>termination</w:t>
      </w:r>
      <w:r>
        <w:rPr>
          <w:rFonts w:ascii="Aptos" w:hAnsi="Aptos"/>
          <w:spacing w:val="-3"/>
          <w:sz w:val="24"/>
        </w:rPr>
        <w:t xml:space="preserve"> </w:t>
      </w:r>
      <w:r>
        <w:rPr>
          <w:rFonts w:ascii="Arial;Helvetica;sans-serif" w:hAnsi="Arial;Helvetica;sans-serif"/>
          <w:sz w:val="20"/>
        </w:rPr>
        <w:t>of employment, for a period of twelve (12) months after the effective date of such termination, on substantially the same terms and conditions (including contributions required by</w:t>
      </w:r>
      <w:r>
        <w:rPr>
          <w:rFonts w:ascii="Aptos" w:hAnsi="Aptos"/>
          <w:spacing w:val="-2"/>
          <w:sz w:val="24"/>
        </w:rPr>
        <w:t xml:space="preserve"> </w:t>
      </w:r>
      <w:r>
        <w:rPr>
          <w:rFonts w:ascii="Arial;Helvetica;sans-serif" w:hAnsi="Arial;Helvetica;sans-serif"/>
          <w:sz w:val="20"/>
        </w:rPr>
        <w:t>the Executive for such benefits) as existed immediately prior to termination; provided that, if Executive cannot continue to participate in TTEC Parent's or successor's benefit plans, TTEC Parent or successor shall otherwise provide such benefits (via lump sum compensation or in-kind) on the same after-tax basis as if continued participation had been permitted.</w:t>
      </w:r>
    </w:p>
    <w:p>
      <w:pPr>
        <w:pStyle w:val="TextBody"/>
        <w:bidi w:val="0"/>
        <w:spacing w:lineRule="auto" w:line="285" w:before="201" w:after="0"/>
        <w:ind w:left="720" w:right="458" w:hanging="0"/>
        <w:jc w:val="left"/>
        <w:rPr>
          <w:rFonts w:ascii="Aptos" w:hAnsi="Aptos"/>
          <w:sz w:val="24"/>
        </w:rPr>
      </w:pPr>
      <w:r>
        <w:rPr>
          <w:rFonts w:ascii="Arial;Helvetica;sans-serif" w:hAnsi="Arial;Helvetica;sans-serif"/>
          <w:sz w:val="20"/>
        </w:rPr>
        <w:t>(iii)</w:t>
      </w:r>
      <w:r>
        <w:rPr>
          <w:rFonts w:ascii="Arial;Helvetica;sans-serif" w:hAnsi="Arial;Helvetica;sans-serif"/>
          <w:sz w:val="20"/>
          <w:u w:val="single"/>
        </w:rPr>
        <w:t>Equity Vesting on Change in Control (double trigger</w:t>
      </w:r>
      <w:r>
        <w:rPr>
          <w:rFonts w:ascii="Arial;Helvetica;sans-serif" w:hAnsi="Arial;Helvetica;sans-serif"/>
          <w:b/>
          <w:sz w:val="20"/>
        </w:rPr>
        <w:t xml:space="preserve">). </w:t>
      </w:r>
      <w:r>
        <w:rPr>
          <w:rFonts w:ascii="Arial;Helvetica;sans-serif" w:hAnsi="Arial;Helvetica;sans-serif"/>
          <w:sz w:val="20"/>
        </w:rPr>
        <w:t>Notwithstanding any vesting schedule provisions contained in Incentive Agreements that Executive may hold, any unvested equity</w:t>
      </w:r>
      <w:r>
        <w:rPr>
          <w:rFonts w:ascii="Aptos" w:hAnsi="Aptos"/>
          <w:spacing w:val="-3"/>
          <w:sz w:val="24"/>
        </w:rPr>
        <w:t xml:space="preserve"> </w:t>
      </w:r>
      <w:r>
        <w:rPr>
          <w:rFonts w:ascii="Arial;Helvetica;sans-serif" w:hAnsi="Arial;Helvetica;sans-serif"/>
          <w:sz w:val="20"/>
        </w:rPr>
        <w:t>that</w:t>
      </w:r>
      <w:r>
        <w:rPr>
          <w:rFonts w:ascii="Aptos" w:hAnsi="Aptos"/>
          <w:spacing w:val="-3"/>
          <w:sz w:val="24"/>
        </w:rPr>
        <w:t xml:space="preserve"> </w:t>
      </w:r>
      <w:r>
        <w:rPr>
          <w:rFonts w:ascii="Arial;Helvetica;sans-serif" w:hAnsi="Arial;Helvetica;sans-serif"/>
          <w:sz w:val="20"/>
        </w:rPr>
        <w:t>would</w:t>
      </w:r>
      <w:r>
        <w:rPr>
          <w:rFonts w:ascii="Aptos" w:hAnsi="Aptos"/>
          <w:spacing w:val="-3"/>
          <w:sz w:val="24"/>
        </w:rPr>
        <w:t xml:space="preserve"> </w:t>
      </w:r>
      <w:r>
        <w:rPr>
          <w:rFonts w:ascii="Arial;Helvetica;sans-serif" w:hAnsi="Arial;Helvetica;sans-serif"/>
          <w:sz w:val="20"/>
        </w:rPr>
        <w:t>vest</w:t>
      </w:r>
      <w:r>
        <w:rPr>
          <w:rFonts w:ascii="Aptos" w:hAnsi="Aptos"/>
          <w:spacing w:val="-3"/>
          <w:sz w:val="24"/>
        </w:rPr>
        <w:t xml:space="preserve"> </w:t>
      </w:r>
      <w:r>
        <w:rPr>
          <w:rFonts w:ascii="Arial;Helvetica;sans-serif" w:hAnsi="Arial;Helvetica;sans-serif"/>
          <w:sz w:val="20"/>
        </w:rPr>
        <w:t>pursuant</w:t>
      </w:r>
      <w:r>
        <w:rPr>
          <w:rFonts w:ascii="Aptos" w:hAnsi="Aptos"/>
          <w:spacing w:val="-3"/>
          <w:sz w:val="24"/>
        </w:rPr>
        <w:t xml:space="preserve"> </w:t>
      </w:r>
      <w:r>
        <w:rPr>
          <w:rFonts w:ascii="Arial;Helvetica;sans-serif" w:hAnsi="Arial;Helvetica;sans-serif"/>
          <w:sz w:val="20"/>
        </w:rPr>
        <w:t>to</w:t>
      </w:r>
      <w:r>
        <w:rPr>
          <w:rFonts w:ascii="Aptos" w:hAnsi="Aptos"/>
          <w:spacing w:val="-3"/>
          <w:sz w:val="24"/>
        </w:rPr>
        <w:t xml:space="preserve"> </w:t>
      </w:r>
      <w:r>
        <w:rPr>
          <w:rFonts w:ascii="Arial;Helvetica;sans-serif" w:hAnsi="Arial;Helvetica;sans-serif"/>
          <w:sz w:val="20"/>
        </w:rPr>
        <w:t>these</w:t>
      </w:r>
      <w:r>
        <w:rPr>
          <w:rFonts w:ascii="Aptos" w:hAnsi="Aptos"/>
          <w:spacing w:val="-3"/>
          <w:sz w:val="24"/>
        </w:rPr>
        <w:t xml:space="preserve"> </w:t>
      </w:r>
      <w:r>
        <w:rPr>
          <w:rFonts w:ascii="Arial;Helvetica;sans-serif" w:hAnsi="Arial;Helvetica;sans-serif"/>
          <w:sz w:val="20"/>
        </w:rPr>
        <w:t>awards</w:t>
      </w:r>
      <w:r>
        <w:rPr>
          <w:rFonts w:ascii="Aptos" w:hAnsi="Aptos"/>
          <w:spacing w:val="-3"/>
          <w:sz w:val="24"/>
        </w:rPr>
        <w:t xml:space="preserve"> </w:t>
      </w:r>
      <w:r>
        <w:rPr>
          <w:rFonts w:ascii="Arial;Helvetica;sans-serif" w:hAnsi="Arial;Helvetica;sans-serif"/>
          <w:sz w:val="20"/>
        </w:rPr>
        <w:t>on</w:t>
      </w:r>
      <w:r>
        <w:rPr>
          <w:rFonts w:ascii="Aptos" w:hAnsi="Aptos"/>
          <w:spacing w:val="-3"/>
          <w:sz w:val="24"/>
        </w:rPr>
        <w:t xml:space="preserve"> </w:t>
      </w:r>
      <w:r>
        <w:rPr>
          <w:rFonts w:ascii="Arial;Helvetica;sans-serif" w:hAnsi="Arial;Helvetica;sans-serif"/>
          <w:sz w:val="20"/>
        </w:rPr>
        <w:t>or</w:t>
      </w:r>
      <w:r>
        <w:rPr>
          <w:rFonts w:ascii="Aptos" w:hAnsi="Aptos"/>
          <w:spacing w:val="-3"/>
          <w:sz w:val="24"/>
        </w:rPr>
        <w:t xml:space="preserve"> </w:t>
      </w:r>
      <w:r>
        <w:rPr>
          <w:rFonts w:ascii="Arial;Helvetica;sans-serif" w:hAnsi="Arial;Helvetica;sans-serif"/>
          <w:sz w:val="20"/>
        </w:rPr>
        <w:t>after</w:t>
      </w:r>
      <w:r>
        <w:rPr>
          <w:rFonts w:ascii="Aptos" w:hAnsi="Aptos"/>
          <w:spacing w:val="-3"/>
          <w:sz w:val="24"/>
        </w:rPr>
        <w:t xml:space="preserve"> </w:t>
      </w:r>
      <w:r>
        <w:rPr>
          <w:rFonts w:ascii="Arial;Helvetica;sans-serif" w:hAnsi="Arial;Helvetica;sans-serif"/>
          <w:sz w:val="20"/>
        </w:rPr>
        <w:t>the</w:t>
      </w:r>
      <w:r>
        <w:rPr>
          <w:rFonts w:ascii="Aptos" w:hAnsi="Aptos"/>
          <w:spacing w:val="-3"/>
          <w:sz w:val="24"/>
        </w:rPr>
        <w:t xml:space="preserve"> </w:t>
      </w:r>
      <w:r>
        <w:rPr>
          <w:rFonts w:ascii="Arial;Helvetica;sans-serif" w:hAnsi="Arial;Helvetica;sans-serif"/>
          <w:sz w:val="20"/>
        </w:rPr>
        <w:t>Change</w:t>
      </w:r>
      <w:r>
        <w:rPr>
          <w:rFonts w:ascii="Aptos" w:hAnsi="Aptos"/>
          <w:spacing w:val="-3"/>
          <w:sz w:val="24"/>
        </w:rPr>
        <w:t xml:space="preserve"> </w:t>
      </w:r>
      <w:r>
        <w:rPr>
          <w:rFonts w:ascii="Arial;Helvetica;sans-serif" w:hAnsi="Arial;Helvetica;sans-serif"/>
          <w:sz w:val="20"/>
        </w:rPr>
        <w:t>in</w:t>
      </w:r>
      <w:r>
        <w:rPr>
          <w:rFonts w:ascii="Aptos" w:hAnsi="Aptos"/>
          <w:spacing w:val="-3"/>
          <w:sz w:val="24"/>
        </w:rPr>
        <w:t xml:space="preserve"> </w:t>
      </w:r>
      <w:r>
        <w:rPr>
          <w:rFonts w:ascii="Arial;Helvetica;sans-serif" w:hAnsi="Arial;Helvetica;sans-serif"/>
          <w:sz w:val="20"/>
        </w:rPr>
        <w:t>Control</w:t>
      </w:r>
      <w:r>
        <w:rPr>
          <w:rFonts w:ascii="Aptos" w:hAnsi="Aptos"/>
          <w:spacing w:val="-3"/>
          <w:sz w:val="24"/>
        </w:rPr>
        <w:t xml:space="preserve"> </w:t>
      </w:r>
      <w:r>
        <w:rPr>
          <w:rFonts w:ascii="Arial;Helvetica;sans-serif" w:hAnsi="Arial;Helvetica;sans-serif"/>
          <w:sz w:val="20"/>
        </w:rPr>
        <w:t>event</w:t>
      </w:r>
      <w:r>
        <w:rPr>
          <w:rFonts w:ascii="Aptos" w:hAnsi="Aptos"/>
          <w:spacing w:val="-3"/>
          <w:sz w:val="24"/>
        </w:rPr>
        <w:t xml:space="preserve"> </w:t>
      </w:r>
      <w:r>
        <w:rPr>
          <w:rFonts w:ascii="Arial;Helvetica;sans-serif" w:hAnsi="Arial;Helvetica;sans-serif"/>
          <w:sz w:val="20"/>
        </w:rPr>
        <w:t>effective date and would otherwise forfeit on termination of employment, shall vest in full as of the employment termination date, if such termination occurs during the CIC Period.</w:t>
      </w:r>
    </w:p>
    <w:p>
      <w:pPr>
        <w:pStyle w:val="TextBody"/>
        <w:bidi w:val="0"/>
        <w:spacing w:lineRule="auto" w:line="285" w:before="199" w:after="0"/>
        <w:ind w:left="720" w:right="479" w:hanging="0"/>
        <w:jc w:val="left"/>
        <w:rPr>
          <w:rFonts w:ascii="Aptos" w:hAnsi="Aptos"/>
          <w:sz w:val="24"/>
        </w:rPr>
      </w:pPr>
      <w:r>
        <w:rPr>
          <w:rFonts w:ascii="Arial;Helvetica;sans-serif" w:hAnsi="Arial;Helvetica;sans-serif"/>
          <w:sz w:val="20"/>
        </w:rPr>
        <w:t>(iv)</w:t>
      </w:r>
      <w:r>
        <w:rPr>
          <w:rFonts w:ascii="Arial;Helvetica;sans-serif" w:hAnsi="Arial;Helvetica;sans-serif"/>
          <w:sz w:val="20"/>
          <w:u w:val="single"/>
        </w:rPr>
        <w:t>Termination Ahead of Change in Control Event</w:t>
      </w:r>
      <w:r>
        <w:rPr>
          <w:rFonts w:ascii="Arial;Helvetica;sans-serif" w:hAnsi="Arial;Helvetica;sans-serif"/>
          <w:b/>
          <w:sz w:val="20"/>
        </w:rPr>
        <w:t xml:space="preserve">. </w:t>
      </w:r>
      <w:r>
        <w:rPr>
          <w:rFonts w:ascii="Arial;Helvetica;sans-serif" w:hAnsi="Arial;Helvetica;sans-serif"/>
          <w:sz w:val="20"/>
        </w:rPr>
        <w:t>Notwithstanding anything in this Agreement to the contrary, if Executive's employment is terminated within three (3) months before</w:t>
      </w:r>
      <w:r>
        <w:rPr>
          <w:rFonts w:ascii="Aptos" w:hAnsi="Aptos"/>
          <w:spacing w:val="-3"/>
          <w:sz w:val="24"/>
        </w:rPr>
        <w:t xml:space="preserve"> </w:t>
      </w:r>
      <w:r>
        <w:rPr>
          <w:rFonts w:ascii="Arial;Helvetica;sans-serif" w:hAnsi="Arial;Helvetica;sans-serif"/>
          <w:sz w:val="20"/>
        </w:rPr>
        <w:t>a</w:t>
      </w:r>
      <w:r>
        <w:rPr>
          <w:rFonts w:ascii="Aptos" w:hAnsi="Aptos"/>
          <w:spacing w:val="-3"/>
          <w:sz w:val="24"/>
        </w:rPr>
        <w:t xml:space="preserve"> </w:t>
      </w:r>
      <w:r>
        <w:rPr>
          <w:rFonts w:ascii="Arial;Helvetica;sans-serif" w:hAnsi="Arial;Helvetica;sans-serif"/>
          <w:sz w:val="20"/>
        </w:rPr>
        <w:t>Change</w:t>
      </w:r>
      <w:r>
        <w:rPr>
          <w:rFonts w:ascii="Aptos" w:hAnsi="Aptos"/>
          <w:spacing w:val="-3"/>
          <w:sz w:val="24"/>
        </w:rPr>
        <w:t xml:space="preserve"> </w:t>
      </w:r>
      <w:r>
        <w:rPr>
          <w:rFonts w:ascii="Arial;Helvetica;sans-serif" w:hAnsi="Arial;Helvetica;sans-serif"/>
          <w:sz w:val="20"/>
        </w:rPr>
        <w:t>in</w:t>
      </w:r>
      <w:r>
        <w:rPr>
          <w:rFonts w:ascii="Aptos" w:hAnsi="Aptos"/>
          <w:spacing w:val="-3"/>
          <w:sz w:val="24"/>
        </w:rPr>
        <w:t xml:space="preserve"> </w:t>
      </w:r>
      <w:r>
        <w:rPr>
          <w:rFonts w:ascii="Arial;Helvetica;sans-serif" w:hAnsi="Arial;Helvetica;sans-serif"/>
          <w:sz w:val="20"/>
        </w:rPr>
        <w:t>Control</w:t>
      </w:r>
      <w:r>
        <w:rPr>
          <w:rFonts w:ascii="Aptos" w:hAnsi="Aptos"/>
          <w:spacing w:val="-3"/>
          <w:sz w:val="24"/>
        </w:rPr>
        <w:t xml:space="preserve"> </w:t>
      </w:r>
      <w:r>
        <w:rPr>
          <w:rFonts w:ascii="Arial;Helvetica;sans-serif" w:hAnsi="Arial;Helvetica;sans-serif"/>
          <w:sz w:val="20"/>
        </w:rPr>
        <w:t>event</w:t>
      </w:r>
      <w:r>
        <w:rPr>
          <w:rFonts w:ascii="Aptos" w:hAnsi="Aptos"/>
          <w:spacing w:val="-3"/>
          <w:sz w:val="24"/>
        </w:rPr>
        <w:t xml:space="preserve"> </w:t>
      </w:r>
      <w:r>
        <w:rPr>
          <w:rFonts w:ascii="Arial;Helvetica;sans-serif" w:hAnsi="Arial;Helvetica;sans-serif"/>
          <w:sz w:val="20"/>
        </w:rPr>
        <w:t>occurs,</w:t>
      </w:r>
      <w:r>
        <w:rPr>
          <w:rFonts w:ascii="Aptos" w:hAnsi="Aptos"/>
          <w:spacing w:val="-3"/>
          <w:sz w:val="24"/>
        </w:rPr>
        <w:t xml:space="preserve"> </w:t>
      </w:r>
      <w:r>
        <w:rPr>
          <w:rFonts w:ascii="Arial;Helvetica;sans-serif" w:hAnsi="Arial;Helvetica;sans-serif"/>
          <w:sz w:val="20"/>
        </w:rPr>
        <w:t>then</w:t>
      </w:r>
      <w:r>
        <w:rPr>
          <w:rFonts w:ascii="Aptos" w:hAnsi="Aptos"/>
          <w:spacing w:val="-3"/>
          <w:sz w:val="24"/>
        </w:rPr>
        <w:t xml:space="preserve"> </w:t>
      </w:r>
      <w:r>
        <w:rPr>
          <w:rFonts w:ascii="Arial;Helvetica;sans-serif" w:hAnsi="Arial;Helvetica;sans-serif"/>
          <w:sz w:val="20"/>
        </w:rPr>
        <w:t>for</w:t>
      </w:r>
      <w:r>
        <w:rPr>
          <w:rFonts w:ascii="Aptos" w:hAnsi="Aptos"/>
          <w:spacing w:val="-3"/>
          <w:sz w:val="24"/>
        </w:rPr>
        <w:t xml:space="preserve"> </w:t>
      </w:r>
      <w:r>
        <w:rPr>
          <w:rFonts w:ascii="Arial;Helvetica;sans-serif" w:hAnsi="Arial;Helvetica;sans-serif"/>
          <w:sz w:val="20"/>
        </w:rPr>
        <w:t>purposes</w:t>
      </w:r>
      <w:r>
        <w:rPr>
          <w:rFonts w:ascii="Aptos" w:hAnsi="Aptos"/>
          <w:spacing w:val="-3"/>
          <w:sz w:val="24"/>
        </w:rPr>
        <w:t xml:space="preserve"> </w:t>
      </w:r>
      <w:r>
        <w:rPr>
          <w:rFonts w:ascii="Arial;Helvetica;sans-serif" w:hAnsi="Arial;Helvetica;sans-serif"/>
          <w:sz w:val="20"/>
        </w:rPr>
        <w:t>of</w:t>
      </w:r>
      <w:r>
        <w:rPr>
          <w:rFonts w:ascii="Aptos" w:hAnsi="Aptos"/>
          <w:spacing w:val="-3"/>
          <w:sz w:val="24"/>
        </w:rPr>
        <w:t xml:space="preserve"> </w:t>
      </w:r>
      <w:r>
        <w:rPr>
          <w:rFonts w:ascii="Arial;Helvetica;sans-serif" w:hAnsi="Arial;Helvetica;sans-serif"/>
          <w:sz w:val="20"/>
        </w:rPr>
        <w:t>this</w:t>
      </w:r>
      <w:r>
        <w:rPr>
          <w:rFonts w:ascii="Aptos" w:hAnsi="Aptos"/>
          <w:spacing w:val="-3"/>
          <w:sz w:val="24"/>
        </w:rPr>
        <w:t xml:space="preserve"> </w:t>
      </w:r>
      <w:r>
        <w:rPr>
          <w:rFonts w:ascii="Arial;Helvetica;sans-serif" w:hAnsi="Arial;Helvetica;sans-serif"/>
          <w:sz w:val="20"/>
        </w:rPr>
        <w:t>Agreement,</w:t>
      </w:r>
      <w:r>
        <w:rPr>
          <w:rFonts w:ascii="Aptos" w:hAnsi="Aptos"/>
          <w:spacing w:val="-3"/>
          <w:sz w:val="24"/>
        </w:rPr>
        <w:t xml:space="preserve"> </w:t>
      </w:r>
      <w:r>
        <w:rPr>
          <w:rFonts w:ascii="Arial;Helvetica;sans-serif" w:hAnsi="Arial;Helvetica;sans-serif"/>
          <w:sz w:val="20"/>
        </w:rPr>
        <w:t>the</w:t>
      </w:r>
      <w:r>
        <w:rPr>
          <w:rFonts w:ascii="Aptos" w:hAnsi="Aptos"/>
          <w:spacing w:val="-3"/>
          <w:sz w:val="24"/>
        </w:rPr>
        <w:t xml:space="preserve"> </w:t>
      </w:r>
      <w:r>
        <w:rPr>
          <w:rFonts w:ascii="Arial;Helvetica;sans-serif" w:hAnsi="Arial;Helvetica;sans-serif"/>
          <w:sz w:val="20"/>
        </w:rPr>
        <w:t>effective</w:t>
      </w:r>
      <w:r>
        <w:rPr>
          <w:rFonts w:ascii="Aptos" w:hAnsi="Aptos"/>
          <w:spacing w:val="-3"/>
          <w:sz w:val="24"/>
        </w:rPr>
        <w:t xml:space="preserve"> </w:t>
      </w:r>
      <w:r>
        <w:rPr>
          <w:rFonts w:ascii="Arial;Helvetica;sans-serif" w:hAnsi="Arial;Helvetica;sans-serif"/>
          <w:sz w:val="20"/>
        </w:rPr>
        <w:t>date of the Change in Control event shall be deemed to be the date immediately prior to the date of such termination of employment.</w:t>
      </w:r>
    </w:p>
    <w:p>
      <w:pPr>
        <w:pStyle w:val="TextBody"/>
        <w:bidi w:val="0"/>
        <w:spacing w:lineRule="auto" w:line="285" w:before="204" w:after="0"/>
        <w:ind w:left="720" w:right="829" w:hanging="0"/>
        <w:jc w:val="left"/>
        <w:rPr>
          <w:rFonts w:ascii="Aptos" w:hAnsi="Aptos"/>
          <w:sz w:val="24"/>
        </w:rPr>
      </w:pPr>
      <w:r>
        <w:rPr>
          <w:rFonts w:ascii="Arial;Helvetica;sans-serif" w:hAnsi="Arial;Helvetica;sans-serif"/>
          <w:sz w:val="20"/>
        </w:rPr>
        <w:t>(v)</w:t>
      </w:r>
      <w:r>
        <w:rPr>
          <w:rFonts w:ascii="Arial;Helvetica;sans-serif" w:hAnsi="Arial;Helvetica;sans-serif"/>
          <w:sz w:val="20"/>
          <w:u w:val="single"/>
        </w:rPr>
        <w:t>Definition</w:t>
      </w:r>
      <w:r>
        <w:rPr>
          <w:rFonts w:ascii="Aptos" w:hAnsi="Aptos"/>
          <w:spacing w:val="-3"/>
          <w:sz w:val="24"/>
          <w:u w:val="single"/>
        </w:rPr>
        <w:t xml:space="preserve"> </w:t>
      </w:r>
      <w:r>
        <w:rPr>
          <w:rFonts w:ascii="Arial;Helvetica;sans-serif" w:hAnsi="Arial;Helvetica;sans-serif"/>
          <w:sz w:val="20"/>
          <w:u w:val="single"/>
        </w:rPr>
        <w:t>of</w:t>
      </w:r>
      <w:r>
        <w:rPr>
          <w:rFonts w:ascii="Aptos" w:hAnsi="Aptos"/>
          <w:spacing w:val="-3"/>
          <w:sz w:val="24"/>
          <w:u w:val="single"/>
        </w:rPr>
        <w:t xml:space="preserve"> </w:t>
      </w:r>
      <w:r>
        <w:rPr>
          <w:rFonts w:ascii="Aptos" w:hAnsi="Aptos"/>
          <w:sz w:val="24"/>
          <w:u w:val="single"/>
        </w:rPr>
        <w:t>“</w:t>
      </w:r>
      <w:r>
        <w:rPr>
          <w:rFonts w:ascii="Arial;Helvetica;sans-serif" w:hAnsi="Arial;Helvetica;sans-serif"/>
          <w:sz w:val="20"/>
          <w:u w:val="single"/>
        </w:rPr>
        <w:t>Change</w:t>
      </w:r>
      <w:r>
        <w:rPr>
          <w:rFonts w:ascii="Aptos" w:hAnsi="Aptos"/>
          <w:spacing w:val="-3"/>
          <w:sz w:val="24"/>
          <w:u w:val="single"/>
        </w:rPr>
        <w:t xml:space="preserve"> </w:t>
      </w:r>
      <w:r>
        <w:rPr>
          <w:rFonts w:ascii="Arial;Helvetica;sans-serif" w:hAnsi="Arial;Helvetica;sans-serif"/>
          <w:sz w:val="20"/>
          <w:u w:val="single"/>
        </w:rPr>
        <w:t>in</w:t>
      </w:r>
      <w:r>
        <w:rPr>
          <w:rFonts w:ascii="Aptos" w:hAnsi="Aptos"/>
          <w:spacing w:val="-3"/>
          <w:sz w:val="24"/>
          <w:u w:val="single"/>
        </w:rPr>
        <w:t xml:space="preserve"> </w:t>
      </w:r>
      <w:r>
        <w:rPr>
          <w:rFonts w:ascii="Arial;Helvetica;sans-serif" w:hAnsi="Arial;Helvetica;sans-serif"/>
          <w:sz w:val="20"/>
          <w:u w:val="single"/>
        </w:rPr>
        <w:t>Control”</w:t>
      </w:r>
      <w:r>
        <w:rPr>
          <w:rFonts w:ascii="Aptos" w:hAnsi="Aptos"/>
          <w:spacing w:val="-3"/>
          <w:sz w:val="24"/>
          <w:u w:val="single"/>
        </w:rPr>
        <w:t xml:space="preserve"> </w:t>
      </w:r>
      <w:r>
        <w:rPr>
          <w:rFonts w:ascii="Arial;Helvetica;sans-serif" w:hAnsi="Arial;Helvetica;sans-serif"/>
          <w:sz w:val="20"/>
          <w:u w:val="single"/>
        </w:rPr>
        <w:t>event</w:t>
      </w:r>
      <w:r>
        <w:rPr>
          <w:rFonts w:ascii="Arial;Helvetica;sans-serif" w:hAnsi="Arial;Helvetica;sans-serif"/>
          <w:sz w:val="20"/>
        </w:rPr>
        <w:t>.</w:t>
      </w:r>
      <w:r>
        <w:rPr>
          <w:rFonts w:ascii="Aptos" w:hAnsi="Aptos"/>
          <w:spacing w:val="-3"/>
          <w:sz w:val="24"/>
        </w:rPr>
        <w:t xml:space="preserve"> </w:t>
      </w:r>
      <w:r>
        <w:rPr>
          <w:rFonts w:ascii="Arial;Helvetica;sans-serif" w:hAnsi="Arial;Helvetica;sans-serif"/>
          <w:sz w:val="20"/>
        </w:rPr>
        <w:t>For</w:t>
      </w:r>
      <w:r>
        <w:rPr>
          <w:rFonts w:ascii="Aptos" w:hAnsi="Aptos"/>
          <w:spacing w:val="-3"/>
          <w:sz w:val="24"/>
        </w:rPr>
        <w:t xml:space="preserve"> </w:t>
      </w:r>
      <w:r>
        <w:rPr>
          <w:rFonts w:ascii="Arial;Helvetica;sans-serif" w:hAnsi="Arial;Helvetica;sans-serif"/>
          <w:sz w:val="20"/>
        </w:rPr>
        <w:t>purposes</w:t>
      </w:r>
      <w:r>
        <w:rPr>
          <w:rFonts w:ascii="Aptos" w:hAnsi="Aptos"/>
          <w:spacing w:val="-3"/>
          <w:sz w:val="24"/>
        </w:rPr>
        <w:t xml:space="preserve"> </w:t>
      </w:r>
      <w:r>
        <w:rPr>
          <w:rFonts w:ascii="Arial;Helvetica;sans-serif" w:hAnsi="Arial;Helvetica;sans-serif"/>
          <w:sz w:val="20"/>
        </w:rPr>
        <w:t>of</w:t>
      </w:r>
      <w:r>
        <w:rPr>
          <w:rFonts w:ascii="Aptos" w:hAnsi="Aptos"/>
          <w:spacing w:val="-3"/>
          <w:sz w:val="24"/>
        </w:rPr>
        <w:t xml:space="preserve"> </w:t>
      </w:r>
      <w:r>
        <w:rPr>
          <w:rFonts w:ascii="Arial;Helvetica;sans-serif" w:hAnsi="Arial;Helvetica;sans-serif"/>
          <w:sz w:val="20"/>
        </w:rPr>
        <w:t>this</w:t>
      </w:r>
      <w:r>
        <w:rPr>
          <w:rFonts w:ascii="Aptos" w:hAnsi="Aptos"/>
          <w:spacing w:val="-3"/>
          <w:sz w:val="24"/>
        </w:rPr>
        <w:t xml:space="preserve"> </w:t>
      </w:r>
      <w:r>
        <w:rPr>
          <w:rFonts w:ascii="Arial;Helvetica;sans-serif" w:hAnsi="Arial;Helvetica;sans-serif"/>
          <w:sz w:val="20"/>
        </w:rPr>
        <w:t>Agreement,</w:t>
      </w:r>
      <w:r>
        <w:rPr>
          <w:rFonts w:ascii="Aptos" w:hAnsi="Aptos"/>
          <w:spacing w:val="-3"/>
          <w:sz w:val="24"/>
        </w:rPr>
        <w:t xml:space="preserve"> </w:t>
      </w:r>
      <w:r>
        <w:rPr>
          <w:rFonts w:ascii="Arial;Helvetica;sans-serif" w:hAnsi="Arial;Helvetica;sans-serif"/>
          <w:sz w:val="20"/>
        </w:rPr>
        <w:t>the</w:t>
      </w:r>
      <w:r>
        <w:rPr>
          <w:rFonts w:ascii="Aptos" w:hAnsi="Aptos"/>
          <w:spacing w:val="-4"/>
          <w:sz w:val="24"/>
        </w:rPr>
        <w:t xml:space="preserve"> </w:t>
      </w:r>
      <w:r>
        <w:rPr>
          <w:rFonts w:ascii="Arial;Helvetica;sans-serif" w:hAnsi="Arial;Helvetica;sans-serif"/>
          <w:sz w:val="20"/>
        </w:rPr>
        <w:t>term "Change in Control" event shall mean the occurrence of any one of the following:</w:t>
      </w:r>
    </w:p>
    <w:p>
      <w:pPr>
        <w:pStyle w:val="TextBody"/>
        <w:bidi w:val="0"/>
        <w:spacing w:lineRule="auto" w:line="285" w:before="0" w:after="0"/>
        <w:ind w:left="1440" w:right="378" w:hanging="0"/>
        <w:jc w:val="left"/>
        <w:rPr>
          <w:rFonts w:ascii="Aptos" w:hAnsi="Aptos"/>
          <w:sz w:val="24"/>
        </w:rPr>
      </w:pPr>
      <w:r>
        <w:rPr>
          <w:rFonts w:ascii="Arial;Helvetica;sans-serif" w:hAnsi="Arial;Helvetica;sans-serif"/>
          <w:sz w:val="20"/>
        </w:rPr>
        <w:t>(A)Any consolidation, merger, or other similar transaction (1) involving TTEC Parent, if TTEC</w:t>
      </w:r>
      <w:r>
        <w:rPr>
          <w:rFonts w:ascii="Aptos" w:hAnsi="Aptos"/>
          <w:spacing w:val="-4"/>
          <w:sz w:val="24"/>
        </w:rPr>
        <w:t xml:space="preserve"> </w:t>
      </w:r>
      <w:r>
        <w:rPr>
          <w:rFonts w:ascii="Arial;Helvetica;sans-serif" w:hAnsi="Arial;Helvetica;sans-serif"/>
          <w:sz w:val="20"/>
        </w:rPr>
        <w:t>Parent</w:t>
      </w:r>
      <w:r>
        <w:rPr>
          <w:rFonts w:ascii="Aptos" w:hAnsi="Aptos"/>
          <w:spacing w:val="-3"/>
          <w:sz w:val="24"/>
        </w:rPr>
        <w:t xml:space="preserve"> </w:t>
      </w:r>
      <w:r>
        <w:rPr>
          <w:rFonts w:ascii="Arial;Helvetica;sans-serif" w:hAnsi="Arial;Helvetica;sans-serif"/>
          <w:sz w:val="20"/>
        </w:rPr>
        <w:t>is</w:t>
      </w:r>
      <w:r>
        <w:rPr>
          <w:rFonts w:ascii="Aptos" w:hAnsi="Aptos"/>
          <w:spacing w:val="-3"/>
          <w:sz w:val="24"/>
        </w:rPr>
        <w:t xml:space="preserve"> </w:t>
      </w:r>
      <w:r>
        <w:rPr>
          <w:rFonts w:ascii="Arial;Helvetica;sans-serif" w:hAnsi="Arial;Helvetica;sans-serif"/>
          <w:sz w:val="20"/>
        </w:rPr>
        <w:t>not</w:t>
      </w:r>
      <w:r>
        <w:rPr>
          <w:rFonts w:ascii="Aptos" w:hAnsi="Aptos"/>
          <w:spacing w:val="-3"/>
          <w:sz w:val="24"/>
        </w:rPr>
        <w:t xml:space="preserve"> </w:t>
      </w:r>
      <w:r>
        <w:rPr>
          <w:rFonts w:ascii="Arial;Helvetica;sans-serif" w:hAnsi="Arial;Helvetica;sans-serif"/>
          <w:sz w:val="20"/>
        </w:rPr>
        <w:t>the</w:t>
      </w:r>
      <w:r>
        <w:rPr>
          <w:rFonts w:ascii="Aptos" w:hAnsi="Aptos"/>
          <w:spacing w:val="-3"/>
          <w:sz w:val="24"/>
        </w:rPr>
        <w:t xml:space="preserve"> </w:t>
      </w:r>
      <w:r>
        <w:rPr>
          <w:rFonts w:ascii="Arial;Helvetica;sans-serif" w:hAnsi="Arial;Helvetica;sans-serif"/>
          <w:sz w:val="20"/>
        </w:rPr>
        <w:t>continuing</w:t>
      </w:r>
      <w:r>
        <w:rPr>
          <w:rFonts w:ascii="Aptos" w:hAnsi="Aptos"/>
          <w:spacing w:val="-3"/>
          <w:sz w:val="24"/>
        </w:rPr>
        <w:t xml:space="preserve"> </w:t>
      </w:r>
      <w:r>
        <w:rPr>
          <w:rFonts w:ascii="Arial;Helvetica;sans-serif" w:hAnsi="Arial;Helvetica;sans-serif"/>
          <w:sz w:val="20"/>
        </w:rPr>
        <w:t>or</w:t>
      </w:r>
      <w:r>
        <w:rPr>
          <w:rFonts w:ascii="Aptos" w:hAnsi="Aptos"/>
          <w:spacing w:val="-3"/>
          <w:sz w:val="24"/>
        </w:rPr>
        <w:t xml:space="preserve"> </w:t>
      </w:r>
      <w:r>
        <w:rPr>
          <w:rFonts w:ascii="Arial;Helvetica;sans-serif" w:hAnsi="Arial;Helvetica;sans-serif"/>
          <w:sz w:val="20"/>
        </w:rPr>
        <w:t>surviving</w:t>
      </w:r>
      <w:r>
        <w:rPr>
          <w:rFonts w:ascii="Aptos" w:hAnsi="Aptos"/>
          <w:spacing w:val="-3"/>
          <w:sz w:val="24"/>
        </w:rPr>
        <w:t xml:space="preserve"> </w:t>
      </w:r>
      <w:r>
        <w:rPr>
          <w:rFonts w:ascii="Arial;Helvetica;sans-serif" w:hAnsi="Arial;Helvetica;sans-serif"/>
          <w:sz w:val="20"/>
        </w:rPr>
        <w:t>corporation,</w:t>
      </w:r>
      <w:r>
        <w:rPr>
          <w:rFonts w:ascii="Aptos" w:hAnsi="Aptos"/>
          <w:spacing w:val="-3"/>
          <w:sz w:val="24"/>
        </w:rPr>
        <w:t xml:space="preserve"> </w:t>
      </w:r>
      <w:r>
        <w:rPr>
          <w:rFonts w:ascii="Arial;Helvetica;sans-serif" w:hAnsi="Arial;Helvetica;sans-serif"/>
          <w:sz w:val="20"/>
        </w:rPr>
        <w:t>or</w:t>
      </w:r>
      <w:r>
        <w:rPr>
          <w:rFonts w:ascii="Aptos" w:hAnsi="Aptos"/>
          <w:spacing w:val="-3"/>
          <w:sz w:val="24"/>
        </w:rPr>
        <w:t xml:space="preserve"> </w:t>
      </w:r>
      <w:r>
        <w:rPr>
          <w:rFonts w:ascii="Arial;Helvetica;sans-serif" w:hAnsi="Arial;Helvetica;sans-serif"/>
          <w:sz w:val="20"/>
        </w:rPr>
        <w:t>(2)</w:t>
      </w:r>
      <w:r>
        <w:rPr>
          <w:rFonts w:ascii="Aptos" w:hAnsi="Aptos"/>
          <w:spacing w:val="-3"/>
          <w:sz w:val="24"/>
        </w:rPr>
        <w:t xml:space="preserve"> </w:t>
      </w:r>
      <w:r>
        <w:rPr>
          <w:rFonts w:ascii="Arial;Helvetica;sans-serif" w:hAnsi="Arial;Helvetica;sans-serif"/>
          <w:sz w:val="20"/>
        </w:rPr>
        <w:t>which</w:t>
      </w:r>
      <w:r>
        <w:rPr>
          <w:rFonts w:ascii="Aptos" w:hAnsi="Aptos"/>
          <w:spacing w:val="-3"/>
          <w:sz w:val="24"/>
        </w:rPr>
        <w:t xml:space="preserve"> </w:t>
      </w:r>
      <w:r>
        <w:rPr>
          <w:rFonts w:ascii="Arial;Helvetica;sans-serif" w:hAnsi="Arial;Helvetica;sans-serif"/>
          <w:sz w:val="20"/>
        </w:rPr>
        <w:t>contemplates that all or substantially all of the business and/or assets of TTEC Parent would be controlled by another corporation or legal entities not controlled by TTEC Parent;</w:t>
      </w:r>
    </w:p>
    <w:p>
      <w:pPr>
        <w:pStyle w:val="TextBody"/>
        <w:bidi w:val="0"/>
        <w:spacing w:lineRule="auto" w:line="285" w:before="199" w:after="0"/>
        <w:ind w:left="1440" w:right="426" w:hanging="0"/>
        <w:jc w:val="left"/>
        <w:rPr>
          <w:rFonts w:ascii="Aptos" w:hAnsi="Aptos"/>
          <w:sz w:val="24"/>
        </w:rPr>
      </w:pPr>
      <w:r>
        <w:rPr>
          <w:rFonts w:ascii="Arial;Helvetica;sans-serif" w:hAnsi="Arial;Helvetica;sans-serif"/>
          <w:sz w:val="20"/>
        </w:rPr>
        <w:t>(B)Any sale, lease, exchange, or transfer (in one transaction or series of related transactions) of all or substantially all of the assets of TTEC Parent (a "Disposition"); provided, however, that the foregoing shall not apply to any Disposition with respect to</w:t>
      </w:r>
      <w:r>
        <w:rPr>
          <w:rFonts w:ascii="Aptos" w:hAnsi="Aptos"/>
          <w:spacing w:val="-3"/>
          <w:sz w:val="24"/>
        </w:rPr>
        <w:t xml:space="preserve"> </w:t>
      </w:r>
      <w:r>
        <w:rPr>
          <w:rFonts w:ascii="Arial;Helvetica;sans-serif" w:hAnsi="Arial;Helvetica;sans-serif"/>
          <w:sz w:val="20"/>
        </w:rPr>
        <w:t>which,</w:t>
      </w:r>
      <w:r>
        <w:rPr>
          <w:rFonts w:ascii="Aptos" w:hAnsi="Aptos"/>
          <w:spacing w:val="-3"/>
          <w:sz w:val="24"/>
        </w:rPr>
        <w:t xml:space="preserve"> </w:t>
      </w:r>
      <w:r>
        <w:rPr>
          <w:rFonts w:ascii="Arial;Helvetica;sans-serif" w:hAnsi="Arial;Helvetica;sans-serif"/>
          <w:sz w:val="20"/>
        </w:rPr>
        <w:t>following</w:t>
      </w:r>
      <w:r>
        <w:rPr>
          <w:rFonts w:ascii="Aptos" w:hAnsi="Aptos"/>
          <w:spacing w:val="-3"/>
          <w:sz w:val="24"/>
        </w:rPr>
        <w:t xml:space="preserve"> </w:t>
      </w:r>
      <w:r>
        <w:rPr>
          <w:rFonts w:ascii="Arial;Helvetica;sans-serif" w:hAnsi="Arial;Helvetica;sans-serif"/>
          <w:sz w:val="20"/>
        </w:rPr>
        <w:t>such</w:t>
      </w:r>
      <w:r>
        <w:rPr>
          <w:rFonts w:ascii="Aptos" w:hAnsi="Aptos"/>
          <w:spacing w:val="-3"/>
          <w:sz w:val="24"/>
        </w:rPr>
        <w:t xml:space="preserve"> </w:t>
      </w:r>
      <w:r>
        <w:rPr>
          <w:rFonts w:ascii="Arial;Helvetica;sans-serif" w:hAnsi="Arial;Helvetica;sans-serif"/>
          <w:sz w:val="20"/>
        </w:rPr>
        <w:t>Disposition,</w:t>
      </w:r>
      <w:r>
        <w:rPr>
          <w:rFonts w:ascii="Aptos" w:hAnsi="Aptos"/>
          <w:spacing w:val="-3"/>
          <w:sz w:val="24"/>
        </w:rPr>
        <w:t xml:space="preserve"> </w:t>
      </w:r>
      <w:r>
        <w:rPr>
          <w:rFonts w:ascii="Arial;Helvetica;sans-serif" w:hAnsi="Arial;Helvetica;sans-serif"/>
          <w:sz w:val="20"/>
        </w:rPr>
        <w:t>more</w:t>
      </w:r>
      <w:r>
        <w:rPr>
          <w:rFonts w:ascii="Aptos" w:hAnsi="Aptos"/>
          <w:spacing w:val="-3"/>
          <w:sz w:val="24"/>
        </w:rPr>
        <w:t xml:space="preserve"> </w:t>
      </w:r>
      <w:r>
        <w:rPr>
          <w:rFonts w:ascii="Arial;Helvetica;sans-serif" w:hAnsi="Arial;Helvetica;sans-serif"/>
          <w:sz w:val="20"/>
        </w:rPr>
        <w:t>than</w:t>
      </w:r>
      <w:r>
        <w:rPr>
          <w:rFonts w:ascii="Aptos" w:hAnsi="Aptos"/>
          <w:spacing w:val="-3"/>
          <w:sz w:val="24"/>
        </w:rPr>
        <w:t xml:space="preserve"> </w:t>
      </w:r>
      <w:r>
        <w:rPr>
          <w:rFonts w:ascii="Arial;Helvetica;sans-serif" w:hAnsi="Arial;Helvetica;sans-serif"/>
          <w:sz w:val="20"/>
        </w:rPr>
        <w:t>51%</w:t>
      </w:r>
      <w:r>
        <w:rPr>
          <w:rFonts w:ascii="Aptos" w:hAnsi="Aptos"/>
          <w:spacing w:val="-4"/>
          <w:sz w:val="24"/>
        </w:rPr>
        <w:t xml:space="preserve"> </w:t>
      </w:r>
      <w:r>
        <w:rPr>
          <w:rFonts w:ascii="Arial;Helvetica;sans-serif" w:hAnsi="Arial;Helvetica;sans-serif"/>
          <w:sz w:val="20"/>
        </w:rPr>
        <w:t>of</w:t>
      </w:r>
      <w:r>
        <w:rPr>
          <w:rFonts w:ascii="Aptos" w:hAnsi="Aptos"/>
          <w:spacing w:val="-3"/>
          <w:sz w:val="24"/>
        </w:rPr>
        <w:t xml:space="preserve"> </w:t>
      </w:r>
      <w:r>
        <w:rPr>
          <w:rFonts w:ascii="Arial;Helvetica;sans-serif" w:hAnsi="Arial;Helvetica;sans-serif"/>
          <w:sz w:val="20"/>
        </w:rPr>
        <w:t>the</w:t>
      </w:r>
      <w:r>
        <w:rPr>
          <w:rFonts w:ascii="Aptos" w:hAnsi="Aptos"/>
          <w:spacing w:val="-3"/>
          <w:sz w:val="24"/>
        </w:rPr>
        <w:t xml:space="preserve"> </w:t>
      </w:r>
      <w:r>
        <w:rPr>
          <w:rFonts w:ascii="Arial;Helvetica;sans-serif" w:hAnsi="Arial;Helvetica;sans-serif"/>
          <w:sz w:val="20"/>
        </w:rPr>
        <w:t>combined</w:t>
      </w:r>
      <w:r>
        <w:rPr>
          <w:rFonts w:ascii="Aptos" w:hAnsi="Aptos"/>
          <w:spacing w:val="-3"/>
          <w:sz w:val="24"/>
        </w:rPr>
        <w:t xml:space="preserve"> </w:t>
      </w:r>
      <w:r>
        <w:rPr>
          <w:rFonts w:ascii="Arial;Helvetica;sans-serif" w:hAnsi="Arial;Helvetica;sans-serif"/>
          <w:sz w:val="20"/>
        </w:rPr>
        <w:t>voting</w:t>
      </w:r>
      <w:r>
        <w:rPr>
          <w:rFonts w:ascii="Aptos" w:hAnsi="Aptos"/>
          <w:spacing w:val="-3"/>
          <w:sz w:val="24"/>
        </w:rPr>
        <w:t xml:space="preserve"> </w:t>
      </w:r>
      <w:r>
        <w:rPr>
          <w:rFonts w:ascii="Arial;Helvetica;sans-serif" w:hAnsi="Arial;Helvetica;sans-serif"/>
          <w:sz w:val="20"/>
        </w:rPr>
        <w:t>power</w:t>
      </w:r>
      <w:r>
        <w:rPr>
          <w:rFonts w:ascii="Aptos" w:hAnsi="Aptos"/>
          <w:spacing w:val="-3"/>
          <w:sz w:val="24"/>
        </w:rPr>
        <w:t xml:space="preserve"> </w:t>
      </w:r>
      <w:r>
        <w:rPr>
          <w:rFonts w:ascii="Arial;Helvetica;sans-serif" w:hAnsi="Arial;Helvetica;sans-serif"/>
          <w:sz w:val="20"/>
        </w:rPr>
        <w:t>of the then outstanding voting securities of the receiving entity for the Disposition are directly or indirectly (beneficially or otherwise) owned by all or substantially all of the individuals and entities that were the beneficial owners of at least 51% of the outstanding common stock and/or other voting securities of TTEC Parent immediately prior to such Disposition, in substantially the same proportion of total ownership as their ownership immediately prior to such Disposition;</w:t>
      </w:r>
    </w:p>
    <w:p>
      <w:pPr>
        <w:pStyle w:val="TextBody"/>
        <w:bidi w:val="0"/>
        <w:spacing w:lineRule="auto" w:line="285" w:before="201" w:after="0"/>
        <w:ind w:left="1440" w:right="424" w:hanging="0"/>
        <w:jc w:val="left"/>
        <w:rPr>
          <w:rFonts w:ascii="Aptos" w:hAnsi="Aptos"/>
          <w:sz w:val="24"/>
        </w:rPr>
      </w:pPr>
      <w:r>
        <w:rPr>
          <w:rFonts w:ascii="Arial;Helvetica;sans-serif" w:hAnsi="Arial;Helvetica;sans-serif"/>
          <w:sz w:val="20"/>
        </w:rPr>
        <w:t>(C)Approval by the stockholders of TTEC Parent of any plan or proposal for the liquidation</w:t>
      </w:r>
      <w:r>
        <w:rPr>
          <w:rFonts w:ascii="Aptos" w:hAnsi="Aptos"/>
          <w:spacing w:val="-4"/>
          <w:sz w:val="24"/>
        </w:rPr>
        <w:t xml:space="preserve"> </w:t>
      </w:r>
      <w:r>
        <w:rPr>
          <w:rFonts w:ascii="Arial;Helvetica;sans-serif" w:hAnsi="Arial;Helvetica;sans-serif"/>
          <w:sz w:val="20"/>
        </w:rPr>
        <w:t>or</w:t>
      </w:r>
      <w:r>
        <w:rPr>
          <w:rFonts w:ascii="Aptos" w:hAnsi="Aptos"/>
          <w:spacing w:val="-4"/>
          <w:sz w:val="24"/>
        </w:rPr>
        <w:t xml:space="preserve"> </w:t>
      </w:r>
      <w:r>
        <w:rPr>
          <w:rFonts w:ascii="Arial;Helvetica;sans-serif" w:hAnsi="Arial;Helvetica;sans-serif"/>
          <w:sz w:val="20"/>
        </w:rPr>
        <w:t>dissolution</w:t>
      </w:r>
      <w:r>
        <w:rPr>
          <w:rFonts w:ascii="Aptos" w:hAnsi="Aptos"/>
          <w:spacing w:val="-4"/>
          <w:sz w:val="24"/>
        </w:rPr>
        <w:t xml:space="preserve"> </w:t>
      </w:r>
      <w:r>
        <w:rPr>
          <w:rFonts w:ascii="Arial;Helvetica;sans-serif" w:hAnsi="Arial;Helvetica;sans-serif"/>
          <w:sz w:val="20"/>
        </w:rPr>
        <w:t>of</w:t>
      </w:r>
      <w:r>
        <w:rPr>
          <w:rFonts w:ascii="Aptos" w:hAnsi="Aptos"/>
          <w:spacing w:val="-4"/>
          <w:sz w:val="24"/>
        </w:rPr>
        <w:t xml:space="preserve"> </w:t>
      </w:r>
      <w:r>
        <w:rPr>
          <w:rFonts w:ascii="Arial;Helvetica;sans-serif" w:hAnsi="Arial;Helvetica;sans-serif"/>
          <w:sz w:val="20"/>
        </w:rPr>
        <w:t>TTEC</w:t>
      </w:r>
      <w:r>
        <w:rPr>
          <w:rFonts w:ascii="Aptos" w:hAnsi="Aptos"/>
          <w:spacing w:val="-4"/>
          <w:sz w:val="24"/>
        </w:rPr>
        <w:t xml:space="preserve"> </w:t>
      </w:r>
      <w:r>
        <w:rPr>
          <w:rFonts w:ascii="Arial;Helvetica;sans-serif" w:hAnsi="Arial;Helvetica;sans-serif"/>
          <w:sz w:val="20"/>
        </w:rPr>
        <w:t>Parent,</w:t>
      </w:r>
      <w:r>
        <w:rPr>
          <w:rFonts w:ascii="Aptos" w:hAnsi="Aptos"/>
          <w:spacing w:val="-4"/>
          <w:sz w:val="24"/>
        </w:rPr>
        <w:t xml:space="preserve"> </w:t>
      </w:r>
      <w:r>
        <w:rPr>
          <w:rFonts w:ascii="Arial;Helvetica;sans-serif" w:hAnsi="Arial;Helvetica;sans-serif"/>
          <w:sz w:val="20"/>
        </w:rPr>
        <w:t>unless</w:t>
      </w:r>
      <w:r>
        <w:rPr>
          <w:rFonts w:ascii="Aptos" w:hAnsi="Aptos"/>
          <w:spacing w:val="-4"/>
          <w:sz w:val="24"/>
        </w:rPr>
        <w:t xml:space="preserve"> </w:t>
      </w:r>
      <w:r>
        <w:rPr>
          <w:rFonts w:ascii="Arial;Helvetica;sans-serif" w:hAnsi="Arial;Helvetica;sans-serif"/>
          <w:sz w:val="20"/>
        </w:rPr>
        <w:t>such</w:t>
      </w:r>
      <w:r>
        <w:rPr>
          <w:rFonts w:ascii="Aptos" w:hAnsi="Aptos"/>
          <w:spacing w:val="-4"/>
          <w:sz w:val="24"/>
        </w:rPr>
        <w:t xml:space="preserve"> </w:t>
      </w:r>
      <w:r>
        <w:rPr>
          <w:rFonts w:ascii="Arial;Helvetica;sans-serif" w:hAnsi="Arial;Helvetica;sans-serif"/>
          <w:sz w:val="20"/>
        </w:rPr>
        <w:t>plan</w:t>
      </w:r>
      <w:r>
        <w:rPr>
          <w:rFonts w:ascii="Aptos" w:hAnsi="Aptos"/>
          <w:spacing w:val="-4"/>
          <w:sz w:val="24"/>
        </w:rPr>
        <w:t xml:space="preserve"> </w:t>
      </w:r>
      <w:r>
        <w:rPr>
          <w:rFonts w:ascii="Arial;Helvetica;sans-serif" w:hAnsi="Arial;Helvetica;sans-serif"/>
          <w:sz w:val="20"/>
        </w:rPr>
        <w:t>or</w:t>
      </w:r>
      <w:r>
        <w:rPr>
          <w:rFonts w:ascii="Aptos" w:hAnsi="Aptos"/>
          <w:spacing w:val="-4"/>
          <w:sz w:val="24"/>
        </w:rPr>
        <w:t xml:space="preserve"> </w:t>
      </w:r>
      <w:r>
        <w:rPr>
          <w:rFonts w:ascii="Arial;Helvetica;sans-serif" w:hAnsi="Arial;Helvetica;sans-serif"/>
          <w:sz w:val="20"/>
        </w:rPr>
        <w:t>proposal</w:t>
      </w:r>
      <w:r>
        <w:rPr>
          <w:rFonts w:ascii="Aptos" w:hAnsi="Aptos"/>
          <w:spacing w:val="-4"/>
          <w:sz w:val="24"/>
        </w:rPr>
        <w:t xml:space="preserve"> </w:t>
      </w:r>
      <w:r>
        <w:rPr>
          <w:rFonts w:ascii="Arial;Helvetica;sans-serif" w:hAnsi="Arial;Helvetica;sans-serif"/>
          <w:sz w:val="20"/>
        </w:rPr>
        <w:t>is</w:t>
      </w:r>
      <w:r>
        <w:rPr>
          <w:rFonts w:ascii="Aptos" w:hAnsi="Aptos"/>
          <w:spacing w:val="-4"/>
          <w:sz w:val="24"/>
        </w:rPr>
        <w:t xml:space="preserve"> </w:t>
      </w:r>
      <w:r>
        <w:rPr>
          <w:rFonts w:ascii="Arial;Helvetica;sans-serif" w:hAnsi="Arial;Helvetica;sans-serif"/>
          <w:sz w:val="20"/>
        </w:rPr>
        <w:t>abandoned within 60 days following such approval;</w:t>
      </w:r>
    </w:p>
    <w:p>
      <w:pPr>
        <w:pStyle w:val="TextBody"/>
        <w:bidi w:val="0"/>
        <w:spacing w:lineRule="auto" w:line="285" w:before="203" w:after="283"/>
        <w:ind w:left="1440" w:right="353" w:hanging="0"/>
        <w:jc w:val="left"/>
        <w:rPr>
          <w:rFonts w:ascii="Aptos" w:hAnsi="Aptos"/>
          <w:sz w:val="24"/>
        </w:rPr>
      </w:pPr>
      <w:r>
        <w:rPr>
          <w:rFonts w:ascii="Arial;Helvetica;sans-serif" w:hAnsi="Arial;Helvetica;sans-serif"/>
          <w:sz w:val="20"/>
        </w:rPr>
        <w:t>(D)The acquisition by any "person" (as such term is used in Sections 13(d) and 14(d)(2) of the U.S. Securities Exchange Act of 1934, as amended ("the Exchange Act")), or two or more persons acting in concert, of beneficial ownership (within the meaning of Rule 13d-3 of the Exchange Act) of 51% or more of the outstanding shares of voting stock</w:t>
      </w:r>
      <w:r>
        <w:rPr>
          <w:rFonts w:ascii="Aptos" w:hAnsi="Aptos"/>
          <w:spacing w:val="-3"/>
          <w:sz w:val="24"/>
        </w:rPr>
        <w:t xml:space="preserve"> </w:t>
      </w:r>
      <w:r>
        <w:rPr>
          <w:rFonts w:ascii="Arial;Helvetica;sans-serif" w:hAnsi="Arial;Helvetica;sans-serif"/>
          <w:sz w:val="20"/>
        </w:rPr>
        <w:t>of</w:t>
      </w:r>
      <w:r>
        <w:rPr>
          <w:rFonts w:ascii="Aptos" w:hAnsi="Aptos"/>
          <w:spacing w:val="-3"/>
          <w:sz w:val="24"/>
        </w:rPr>
        <w:t xml:space="preserve"> </w:t>
      </w:r>
      <w:r>
        <w:rPr>
          <w:rFonts w:ascii="Arial;Helvetica;sans-serif" w:hAnsi="Arial;Helvetica;sans-serif"/>
          <w:sz w:val="20"/>
        </w:rPr>
        <w:t>TTEC</w:t>
      </w:r>
      <w:r>
        <w:rPr>
          <w:rFonts w:ascii="Aptos" w:hAnsi="Aptos"/>
          <w:spacing w:val="-4"/>
          <w:sz w:val="24"/>
        </w:rPr>
        <w:t xml:space="preserve"> </w:t>
      </w:r>
      <w:r>
        <w:rPr>
          <w:rFonts w:ascii="Arial;Helvetica;sans-serif" w:hAnsi="Arial;Helvetica;sans-serif"/>
          <w:sz w:val="20"/>
        </w:rPr>
        <w:t>Parent;</w:t>
      </w:r>
      <w:r>
        <w:rPr>
          <w:rFonts w:ascii="Aptos" w:hAnsi="Aptos"/>
          <w:spacing w:val="-3"/>
          <w:sz w:val="24"/>
        </w:rPr>
        <w:t xml:space="preserve"> </w:t>
      </w:r>
      <w:r>
        <w:rPr>
          <w:rFonts w:ascii="Arial;Helvetica;sans-serif" w:hAnsi="Arial;Helvetica;sans-serif"/>
          <w:sz w:val="20"/>
        </w:rPr>
        <w:t>provided,</w:t>
      </w:r>
      <w:r>
        <w:rPr>
          <w:rFonts w:ascii="Aptos" w:hAnsi="Aptos"/>
          <w:spacing w:val="-3"/>
          <w:sz w:val="24"/>
        </w:rPr>
        <w:t xml:space="preserve"> </w:t>
      </w:r>
      <w:r>
        <w:rPr>
          <w:rFonts w:ascii="Arial;Helvetica;sans-serif" w:hAnsi="Arial;Helvetica;sans-serif"/>
          <w:sz w:val="20"/>
        </w:rPr>
        <w:t>however,</w:t>
      </w:r>
      <w:r>
        <w:rPr>
          <w:rFonts w:ascii="Aptos" w:hAnsi="Aptos"/>
          <w:spacing w:val="-3"/>
          <w:sz w:val="24"/>
        </w:rPr>
        <w:t xml:space="preserve"> </w:t>
      </w:r>
      <w:r>
        <w:rPr>
          <w:rFonts w:ascii="Arial;Helvetica;sans-serif" w:hAnsi="Arial;Helvetica;sans-serif"/>
          <w:sz w:val="20"/>
        </w:rPr>
        <w:t>that</w:t>
      </w:r>
      <w:r>
        <w:rPr>
          <w:rFonts w:ascii="Aptos" w:hAnsi="Aptos"/>
          <w:spacing w:val="-3"/>
          <w:sz w:val="24"/>
        </w:rPr>
        <w:t xml:space="preserve"> </w:t>
      </w:r>
      <w:r>
        <w:rPr>
          <w:rFonts w:ascii="Arial;Helvetica;sans-serif" w:hAnsi="Arial;Helvetica;sans-serif"/>
          <w:sz w:val="20"/>
        </w:rPr>
        <w:t>for</w:t>
      </w:r>
      <w:r>
        <w:rPr>
          <w:rFonts w:ascii="Aptos" w:hAnsi="Aptos"/>
          <w:spacing w:val="-3"/>
          <w:sz w:val="24"/>
        </w:rPr>
        <w:t xml:space="preserve"> </w:t>
      </w:r>
      <w:r>
        <w:rPr>
          <w:rFonts w:ascii="Arial;Helvetica;sans-serif" w:hAnsi="Arial;Helvetica;sans-serif"/>
          <w:sz w:val="20"/>
        </w:rPr>
        <w:t>purposes</w:t>
      </w:r>
      <w:r>
        <w:rPr>
          <w:rFonts w:ascii="Aptos" w:hAnsi="Aptos"/>
          <w:spacing w:val="-3"/>
          <w:sz w:val="24"/>
        </w:rPr>
        <w:t xml:space="preserve"> </w:t>
      </w:r>
      <w:r>
        <w:rPr>
          <w:rFonts w:ascii="Arial;Helvetica;sans-serif" w:hAnsi="Arial;Helvetica;sans-serif"/>
          <w:sz w:val="20"/>
        </w:rPr>
        <w:t>of</w:t>
      </w:r>
      <w:r>
        <w:rPr>
          <w:rFonts w:ascii="Aptos" w:hAnsi="Aptos"/>
          <w:spacing w:val="-3"/>
          <w:sz w:val="24"/>
        </w:rPr>
        <w:t xml:space="preserve"> </w:t>
      </w:r>
      <w:r>
        <w:rPr>
          <w:rFonts w:ascii="Arial;Helvetica;sans-serif" w:hAnsi="Arial;Helvetica;sans-serif"/>
          <w:sz w:val="20"/>
        </w:rPr>
        <w:t>the</w:t>
      </w:r>
      <w:r>
        <w:rPr>
          <w:rFonts w:ascii="Aptos" w:hAnsi="Aptos"/>
          <w:spacing w:val="-3"/>
          <w:sz w:val="24"/>
        </w:rPr>
        <w:t xml:space="preserve"> </w:t>
      </w:r>
      <w:r>
        <w:rPr>
          <w:rFonts w:ascii="Arial;Helvetica;sans-serif" w:hAnsi="Arial;Helvetica;sans-serif"/>
          <w:sz w:val="20"/>
        </w:rPr>
        <w:t>foregoing,</w:t>
      </w:r>
      <w:r>
        <w:rPr>
          <w:rFonts w:ascii="Aptos" w:hAnsi="Aptos"/>
          <w:spacing w:val="-3"/>
          <w:sz w:val="24"/>
        </w:rPr>
        <w:t xml:space="preserve"> </w:t>
      </w:r>
      <w:r>
        <w:rPr>
          <w:rFonts w:ascii="Arial;Helvetica;sans-serif" w:hAnsi="Arial;Helvetica;sans-serif"/>
          <w:sz w:val="20"/>
        </w:rPr>
        <w:t>the</w:t>
      </w:r>
      <w:r>
        <w:rPr>
          <w:rFonts w:ascii="Aptos" w:hAnsi="Aptos"/>
          <w:spacing w:val="-3"/>
          <w:sz w:val="24"/>
        </w:rPr>
        <w:t xml:space="preserve"> </w:t>
      </w:r>
      <w:r>
        <w:rPr>
          <w:rFonts w:ascii="Arial;Helvetica;sans-serif" w:hAnsi="Arial;Helvetica;sans-serif"/>
          <w:sz w:val="20"/>
        </w:rPr>
        <w:t>term "person" shall exclude Kenneth D. Tuchman and his affiliates; provided, further that the foregoing shall exclude any such acquisition (1) made directly from TTEC Parent,</w:t>
      </w:r>
    </w:p>
    <w:p>
      <w:pPr>
        <w:pStyle w:val="TextBody"/>
        <w:bidi w:val="0"/>
        <w:spacing w:lineRule="atLeast" w:line="228" w:before="0" w:after="0"/>
        <w:ind w:left="1800" w:right="0" w:hanging="0"/>
        <w:jc w:val="left"/>
        <w:rPr>
          <w:rFonts w:ascii="Aptos" w:hAnsi="Aptos"/>
          <w:sz w:val="20"/>
        </w:rPr>
      </w:pPr>
      <w:r>
        <w:rPr>
          <w:rFonts w:ascii="Arial;Helvetica;sans-serif" w:hAnsi="Arial;Helvetica;sans-serif"/>
          <w:sz w:val="20"/>
        </w:rPr>
        <w:t>(2)</w:t>
      </w:r>
      <w:r>
        <w:rPr>
          <w:rFonts w:ascii="Aptos" w:hAnsi="Aptos"/>
          <w:spacing w:val="-8"/>
          <w:sz w:val="20"/>
        </w:rPr>
        <w:t xml:space="preserve"> </w:t>
      </w:r>
      <w:r>
        <w:rPr>
          <w:rFonts w:ascii="Arial;Helvetica;sans-serif" w:hAnsi="Arial;Helvetica;sans-serif"/>
          <w:sz w:val="20"/>
        </w:rPr>
        <w:t>made</w:t>
      </w:r>
      <w:r>
        <w:rPr>
          <w:rFonts w:ascii="Aptos" w:hAnsi="Aptos"/>
          <w:spacing w:val="-5"/>
          <w:sz w:val="20"/>
        </w:rPr>
        <w:t xml:space="preserve"> </w:t>
      </w:r>
      <w:r>
        <w:rPr>
          <w:rFonts w:ascii="Arial;Helvetica;sans-serif" w:hAnsi="Arial;Helvetica;sans-serif"/>
          <w:sz w:val="20"/>
        </w:rPr>
        <w:t>by</w:t>
      </w:r>
      <w:r>
        <w:rPr>
          <w:rFonts w:ascii="Aptos" w:hAnsi="Aptos"/>
          <w:spacing w:val="-5"/>
          <w:sz w:val="20"/>
        </w:rPr>
        <w:t xml:space="preserve"> </w:t>
      </w:r>
      <w:r>
        <w:rPr>
          <w:rFonts w:ascii="Arial;Helvetica;sans-serif" w:hAnsi="Arial;Helvetica;sans-serif"/>
          <w:sz w:val="20"/>
        </w:rPr>
        <w:t>TTEC</w:t>
      </w:r>
      <w:r>
        <w:rPr>
          <w:rFonts w:ascii="Aptos" w:hAnsi="Aptos"/>
          <w:spacing w:val="-6"/>
          <w:sz w:val="20"/>
        </w:rPr>
        <w:t xml:space="preserve"> </w:t>
      </w:r>
      <w:r>
        <w:rPr>
          <w:rFonts w:ascii="Arial;Helvetica;sans-serif" w:hAnsi="Arial;Helvetica;sans-serif"/>
          <w:sz w:val="20"/>
        </w:rPr>
        <w:t>Parent</w:t>
      </w:r>
      <w:r>
        <w:rPr>
          <w:rFonts w:ascii="Aptos" w:hAnsi="Aptos"/>
          <w:spacing w:val="-5"/>
          <w:sz w:val="20"/>
        </w:rPr>
        <w:t xml:space="preserve"> </w:t>
      </w:r>
      <w:r>
        <w:rPr>
          <w:rFonts w:ascii="Arial;Helvetica;sans-serif" w:hAnsi="Arial;Helvetica;sans-serif"/>
          <w:sz w:val="20"/>
        </w:rPr>
        <w:t>(directly</w:t>
      </w:r>
      <w:r>
        <w:rPr>
          <w:rFonts w:ascii="Aptos" w:hAnsi="Aptos"/>
          <w:spacing w:val="-5"/>
          <w:sz w:val="20"/>
        </w:rPr>
        <w:t xml:space="preserve"> </w:t>
      </w:r>
      <w:r>
        <w:rPr>
          <w:rFonts w:ascii="Arial;Helvetica;sans-serif" w:hAnsi="Arial;Helvetica;sans-serif"/>
          <w:sz w:val="20"/>
        </w:rPr>
        <w:t>or</w:t>
      </w:r>
      <w:r>
        <w:rPr>
          <w:rFonts w:ascii="Aptos" w:hAnsi="Aptos"/>
          <w:spacing w:val="-5"/>
          <w:sz w:val="20"/>
        </w:rPr>
        <w:t xml:space="preserve"> </w:t>
      </w:r>
      <w:r>
        <w:rPr>
          <w:rFonts w:ascii="Arial;Helvetica;sans-serif" w:hAnsi="Arial;Helvetica;sans-serif"/>
          <w:sz w:val="20"/>
        </w:rPr>
        <w:t>through</w:t>
      </w:r>
      <w:r>
        <w:rPr>
          <w:rFonts w:ascii="Aptos" w:hAnsi="Aptos"/>
          <w:spacing w:val="-6"/>
          <w:sz w:val="20"/>
        </w:rPr>
        <w:t xml:space="preserve"> </w:t>
      </w:r>
      <w:r>
        <w:rPr>
          <w:rFonts w:ascii="Arial;Helvetica;sans-serif" w:hAnsi="Arial;Helvetica;sans-serif"/>
          <w:sz w:val="20"/>
        </w:rPr>
        <w:t>an</w:t>
      </w:r>
      <w:r>
        <w:rPr>
          <w:rFonts w:ascii="Aptos" w:hAnsi="Aptos"/>
          <w:spacing w:val="-5"/>
          <w:sz w:val="20"/>
        </w:rPr>
        <w:t xml:space="preserve"> </w:t>
      </w:r>
      <w:r>
        <w:rPr>
          <w:rFonts w:ascii="Arial;Helvetica;sans-serif" w:hAnsi="Arial;Helvetica;sans-serif"/>
          <w:sz w:val="20"/>
        </w:rPr>
        <w:t>affiliated</w:t>
      </w:r>
      <w:r>
        <w:rPr>
          <w:rFonts w:ascii="Aptos" w:hAnsi="Aptos"/>
          <w:spacing w:val="-5"/>
          <w:sz w:val="20"/>
        </w:rPr>
        <w:t xml:space="preserve"> </w:t>
      </w:r>
      <w:r>
        <w:rPr>
          <w:rFonts w:ascii="Arial;Helvetica;sans-serif" w:hAnsi="Arial;Helvetica;sans-serif"/>
          <w:sz w:val="20"/>
        </w:rPr>
        <w:t>company),</w:t>
      </w:r>
      <w:r>
        <w:rPr>
          <w:rFonts w:ascii="Aptos" w:hAnsi="Aptos"/>
          <w:spacing w:val="-5"/>
          <w:sz w:val="20"/>
        </w:rPr>
        <w:t xml:space="preserve"> </w:t>
      </w:r>
      <w:r>
        <w:rPr>
          <w:rFonts w:ascii="Arial;Helvetica;sans-serif" w:hAnsi="Arial;Helvetica;sans-serif"/>
          <w:sz w:val="20"/>
        </w:rPr>
        <w:t>or</w:t>
      </w:r>
      <w:r>
        <w:rPr>
          <w:rFonts w:ascii="Aptos" w:hAnsi="Aptos"/>
          <w:spacing w:val="-5"/>
          <w:sz w:val="20"/>
        </w:rPr>
        <w:t xml:space="preserve"> </w:t>
      </w:r>
      <w:r>
        <w:rPr>
          <w:rFonts w:ascii="Arial;Helvetica;sans-serif" w:hAnsi="Arial;Helvetica;sans-serif"/>
          <w:sz w:val="20"/>
        </w:rPr>
        <w:t>(3)</w:t>
      </w:r>
      <w:r>
        <w:rPr>
          <w:rFonts w:ascii="Aptos" w:hAnsi="Aptos"/>
          <w:spacing w:val="-5"/>
          <w:sz w:val="20"/>
        </w:rPr>
        <w:t xml:space="preserve"> </w:t>
      </w:r>
      <w:r>
        <w:rPr>
          <w:rFonts w:ascii="Arial;Helvetica;sans-serif" w:hAnsi="Arial;Helvetica;sans-serif"/>
          <w:sz w:val="20"/>
        </w:rPr>
        <w:t>made</w:t>
      </w:r>
      <w:r>
        <w:rPr>
          <w:rFonts w:ascii="Aptos" w:hAnsi="Aptos"/>
          <w:spacing w:val="-5"/>
          <w:sz w:val="20"/>
        </w:rPr>
        <w:t xml:space="preserve"> </w:t>
      </w:r>
      <w:r>
        <w:rPr>
          <w:rFonts w:ascii="Arial;Helvetica;sans-serif" w:hAnsi="Arial;Helvetica;sans-serif"/>
          <w:spacing w:val="-5"/>
          <w:sz w:val="20"/>
        </w:rPr>
        <w:t xml:space="preserve">by </w:t>
      </w:r>
      <w:r>
        <w:rPr>
          <w:rFonts w:ascii="Arial;Helvetica;sans-serif" w:hAnsi="Arial;Helvetica;sans-serif"/>
          <w:sz w:val="20"/>
        </w:rPr>
        <w:t>TTEC</w:t>
      </w:r>
      <w:r>
        <w:rPr>
          <w:rFonts w:ascii="Aptos" w:hAnsi="Aptos"/>
          <w:spacing w:val="-4"/>
          <w:sz w:val="20"/>
        </w:rPr>
        <w:t xml:space="preserve"> </w:t>
      </w:r>
      <w:r>
        <w:rPr>
          <w:rFonts w:ascii="Arial;Helvetica;sans-serif" w:hAnsi="Arial;Helvetica;sans-serif"/>
          <w:sz w:val="20"/>
        </w:rPr>
        <w:t>employee</w:t>
      </w:r>
      <w:r>
        <w:rPr>
          <w:rFonts w:ascii="Aptos" w:hAnsi="Aptos"/>
          <w:spacing w:val="-3"/>
          <w:sz w:val="20"/>
        </w:rPr>
        <w:t xml:space="preserve"> </w:t>
      </w:r>
      <w:r>
        <w:rPr>
          <w:rFonts w:ascii="Arial;Helvetica;sans-serif" w:hAnsi="Arial;Helvetica;sans-serif"/>
          <w:sz w:val="20"/>
        </w:rPr>
        <w:t>benefit</w:t>
      </w:r>
      <w:r>
        <w:rPr>
          <w:rFonts w:ascii="Aptos" w:hAnsi="Aptos"/>
          <w:spacing w:val="-3"/>
          <w:sz w:val="20"/>
        </w:rPr>
        <w:t xml:space="preserve"> </w:t>
      </w:r>
      <w:r>
        <w:rPr>
          <w:rFonts w:ascii="Arial;Helvetica;sans-serif" w:hAnsi="Arial;Helvetica;sans-serif"/>
          <w:sz w:val="20"/>
        </w:rPr>
        <w:t>plan</w:t>
      </w:r>
      <w:r>
        <w:rPr>
          <w:rFonts w:ascii="Aptos" w:hAnsi="Aptos"/>
          <w:spacing w:val="-3"/>
          <w:sz w:val="20"/>
        </w:rPr>
        <w:t xml:space="preserve"> </w:t>
      </w:r>
      <w:r>
        <w:rPr>
          <w:rFonts w:ascii="Arial;Helvetica;sans-serif" w:hAnsi="Arial;Helvetica;sans-serif"/>
          <w:sz w:val="20"/>
        </w:rPr>
        <w:t>(or</w:t>
      </w:r>
      <w:r>
        <w:rPr>
          <w:rFonts w:ascii="Aptos" w:hAnsi="Aptos"/>
          <w:spacing w:val="-3"/>
          <w:sz w:val="20"/>
        </w:rPr>
        <w:t xml:space="preserve"> </w:t>
      </w:r>
      <w:r>
        <w:rPr>
          <w:rFonts w:ascii="Arial;Helvetica;sans-serif" w:hAnsi="Arial;Helvetica;sans-serif"/>
          <w:sz w:val="20"/>
        </w:rPr>
        <w:t>related</w:t>
      </w:r>
      <w:r>
        <w:rPr>
          <w:rFonts w:ascii="Aptos" w:hAnsi="Aptos"/>
          <w:spacing w:val="-3"/>
          <w:sz w:val="20"/>
        </w:rPr>
        <w:t xml:space="preserve"> </w:t>
      </w:r>
      <w:r>
        <w:rPr>
          <w:rFonts w:ascii="Arial;Helvetica;sans-serif" w:hAnsi="Arial;Helvetica;sans-serif"/>
          <w:sz w:val="20"/>
        </w:rPr>
        <w:t>trust)</w:t>
      </w:r>
      <w:r>
        <w:rPr>
          <w:rFonts w:ascii="Aptos" w:hAnsi="Aptos"/>
          <w:spacing w:val="-3"/>
          <w:sz w:val="20"/>
        </w:rPr>
        <w:t xml:space="preserve"> </w:t>
      </w:r>
      <w:r>
        <w:rPr>
          <w:rFonts w:ascii="Arial;Helvetica;sans-serif" w:hAnsi="Arial;Helvetica;sans-serif"/>
          <w:sz w:val="20"/>
        </w:rPr>
        <w:t>sponsored</w:t>
      </w:r>
      <w:r>
        <w:rPr>
          <w:rFonts w:ascii="Aptos" w:hAnsi="Aptos"/>
          <w:spacing w:val="-3"/>
          <w:sz w:val="20"/>
        </w:rPr>
        <w:t xml:space="preserve"> </w:t>
      </w:r>
      <w:r>
        <w:rPr>
          <w:rFonts w:ascii="Arial;Helvetica;sans-serif" w:hAnsi="Arial;Helvetica;sans-serif"/>
          <w:sz w:val="20"/>
        </w:rPr>
        <w:t>or</w:t>
      </w:r>
      <w:r>
        <w:rPr>
          <w:rFonts w:ascii="Aptos" w:hAnsi="Aptos"/>
          <w:spacing w:val="-3"/>
          <w:sz w:val="20"/>
        </w:rPr>
        <w:t xml:space="preserve"> </w:t>
      </w:r>
      <w:r>
        <w:rPr>
          <w:rFonts w:ascii="Arial;Helvetica;sans-serif" w:hAnsi="Arial;Helvetica;sans-serif"/>
          <w:sz w:val="20"/>
        </w:rPr>
        <w:t>maintained</w:t>
      </w:r>
      <w:r>
        <w:rPr>
          <w:rFonts w:ascii="Aptos" w:hAnsi="Aptos"/>
          <w:spacing w:val="-3"/>
          <w:sz w:val="20"/>
        </w:rPr>
        <w:t xml:space="preserve"> </w:t>
      </w:r>
      <w:r>
        <w:rPr>
          <w:rFonts w:ascii="Arial;Helvetica;sans-serif" w:hAnsi="Arial;Helvetica;sans-serif"/>
          <w:sz w:val="20"/>
        </w:rPr>
        <w:t>by</w:t>
      </w:r>
      <w:r>
        <w:rPr>
          <w:rFonts w:ascii="Aptos" w:hAnsi="Aptos"/>
          <w:spacing w:val="-3"/>
          <w:sz w:val="20"/>
        </w:rPr>
        <w:t xml:space="preserve"> </w:t>
      </w:r>
      <w:r>
        <w:rPr>
          <w:rFonts w:ascii="Arial;Helvetica;sans-serif" w:hAnsi="Arial;Helvetica;sans-serif"/>
          <w:sz w:val="20"/>
        </w:rPr>
        <w:t>TTEC Parent or any of its affiliates;</w:t>
      </w:r>
    </w:p>
    <w:p>
      <w:pPr>
        <w:pStyle w:val="TextBody"/>
        <w:bidi w:val="0"/>
        <w:spacing w:lineRule="auto" w:line="285" w:before="0" w:after="0"/>
        <w:ind w:left="0" w:right="0" w:hanging="0"/>
        <w:jc w:val="right"/>
        <w:rPr>
          <w:rFonts w:ascii="Arial;Helvetica;sans-serif" w:hAnsi="Arial;Helvetica;sans-serif"/>
          <w:sz w:val="22"/>
        </w:rPr>
      </w:pPr>
      <w:r>
        <w:rPr>
          <w:rFonts w:ascii="Arial;Helvetica;sans-serif" w:hAnsi="Arial;Helvetica;sans-serif"/>
          <w:sz w:val="22"/>
        </w:rPr>
        <w:t xml:space="preserve">Page </w:t>
      </w:r>
      <w:r>
        <w:rPr>
          <w:rFonts w:ascii="Arial;Helvetica;sans-serif" w:hAnsi="Arial;Helvetica;sans-serif"/>
          <w:b/>
          <w:sz w:val="22"/>
        </w:rPr>
        <w:t>7</w:t>
      </w:r>
      <w:r>
        <w:rPr>
          <w:rFonts w:ascii="Arial;Helvetica;sans-serif" w:hAnsi="Arial;Helvetica;sans-serif"/>
          <w:sz w:val="22"/>
        </w:rPr>
        <w:t xml:space="preserve"> of </w:t>
      </w:r>
      <w:r>
        <w:rPr>
          <w:rFonts w:ascii="Arial;Helvetica;sans-serif" w:hAnsi="Arial;Helvetica;sans-serif"/>
          <w:b/>
          <w:sz w:val="22"/>
        </w:rPr>
        <w:t>15</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1440" w:right="361" w:hanging="0"/>
        <w:jc w:val="left"/>
        <w:rPr>
          <w:rFonts w:ascii="Aptos" w:hAnsi="Aptos"/>
          <w:sz w:val="24"/>
        </w:rPr>
      </w:pPr>
      <w:r>
        <w:rPr>
          <w:rFonts w:ascii="Arial;Helvetica;sans-serif" w:hAnsi="Arial;Helvetica;sans-serif"/>
          <w:sz w:val="20"/>
        </w:rPr>
        <w:t>(E)If, during any period of 15 consecutive calendar months commencing at any time on or after the Effective Date, those individuals ("Continuing Directors") who either (1) were directors of TTEC Parent on the first day of each such 15-months period, or (2) subsequently became directors of TTEC Parent and whose actual election or initial nomination for election subsequent to that date was approved by a majority of the Continuing</w:t>
      </w:r>
      <w:r>
        <w:rPr>
          <w:rFonts w:ascii="Aptos" w:hAnsi="Aptos"/>
          <w:spacing w:val="-4"/>
          <w:sz w:val="24"/>
        </w:rPr>
        <w:t xml:space="preserve"> </w:t>
      </w:r>
      <w:r>
        <w:rPr>
          <w:rFonts w:ascii="Arial;Helvetica;sans-serif" w:hAnsi="Arial;Helvetica;sans-serif"/>
          <w:sz w:val="20"/>
        </w:rPr>
        <w:t>Directors</w:t>
      </w:r>
      <w:r>
        <w:rPr>
          <w:rFonts w:ascii="Aptos" w:hAnsi="Aptos"/>
          <w:spacing w:val="-4"/>
          <w:sz w:val="24"/>
        </w:rPr>
        <w:t xml:space="preserve"> </w:t>
      </w:r>
      <w:r>
        <w:rPr>
          <w:rFonts w:ascii="Arial;Helvetica;sans-serif" w:hAnsi="Arial;Helvetica;sans-serif"/>
          <w:sz w:val="20"/>
        </w:rPr>
        <w:t>who</w:t>
      </w:r>
      <w:r>
        <w:rPr>
          <w:rFonts w:ascii="Aptos" w:hAnsi="Aptos"/>
          <w:spacing w:val="-4"/>
          <w:sz w:val="24"/>
        </w:rPr>
        <w:t xml:space="preserve"> </w:t>
      </w:r>
      <w:r>
        <w:rPr>
          <w:rFonts w:ascii="Arial;Helvetica;sans-serif" w:hAnsi="Arial;Helvetica;sans-serif"/>
          <w:sz w:val="20"/>
        </w:rPr>
        <w:t>were</w:t>
      </w:r>
      <w:r>
        <w:rPr>
          <w:rFonts w:ascii="Aptos" w:hAnsi="Aptos"/>
          <w:spacing w:val="-4"/>
          <w:sz w:val="24"/>
        </w:rPr>
        <w:t xml:space="preserve"> </w:t>
      </w:r>
      <w:r>
        <w:rPr>
          <w:rFonts w:ascii="Arial;Helvetica;sans-serif" w:hAnsi="Arial;Helvetica;sans-serif"/>
          <w:sz w:val="20"/>
        </w:rPr>
        <w:t>then</w:t>
      </w:r>
      <w:r>
        <w:rPr>
          <w:rFonts w:ascii="Aptos" w:hAnsi="Aptos"/>
          <w:spacing w:val="-4"/>
          <w:sz w:val="24"/>
        </w:rPr>
        <w:t xml:space="preserve"> </w:t>
      </w:r>
      <w:r>
        <w:rPr>
          <w:rFonts w:ascii="Arial;Helvetica;sans-serif" w:hAnsi="Arial;Helvetica;sans-serif"/>
          <w:sz w:val="20"/>
        </w:rPr>
        <w:t>members</w:t>
      </w:r>
      <w:r>
        <w:rPr>
          <w:rFonts w:ascii="Aptos" w:hAnsi="Aptos"/>
          <w:spacing w:val="-4"/>
          <w:sz w:val="24"/>
        </w:rPr>
        <w:t xml:space="preserve"> </w:t>
      </w:r>
      <w:r>
        <w:rPr>
          <w:rFonts w:ascii="Arial;Helvetica;sans-serif" w:hAnsi="Arial;Helvetica;sans-serif"/>
          <w:sz w:val="20"/>
        </w:rPr>
        <w:t>of</w:t>
      </w:r>
      <w:r>
        <w:rPr>
          <w:rFonts w:ascii="Aptos" w:hAnsi="Aptos"/>
          <w:spacing w:val="-4"/>
          <w:sz w:val="24"/>
        </w:rPr>
        <w:t xml:space="preserve"> </w:t>
      </w:r>
      <w:r>
        <w:rPr>
          <w:rFonts w:ascii="Arial;Helvetica;sans-serif" w:hAnsi="Arial;Helvetica;sans-serif"/>
          <w:sz w:val="20"/>
        </w:rPr>
        <w:t>the</w:t>
      </w:r>
      <w:r>
        <w:rPr>
          <w:rFonts w:ascii="Aptos" w:hAnsi="Aptos"/>
          <w:spacing w:val="-4"/>
          <w:sz w:val="24"/>
        </w:rPr>
        <w:t xml:space="preserve"> </w:t>
      </w:r>
      <w:r>
        <w:rPr>
          <w:rFonts w:ascii="Arial;Helvetica;sans-serif" w:hAnsi="Arial;Helvetica;sans-serif"/>
          <w:sz w:val="20"/>
        </w:rPr>
        <w:t>TTEC</w:t>
      </w:r>
      <w:r>
        <w:rPr>
          <w:rFonts w:ascii="Aptos" w:hAnsi="Aptos"/>
          <w:spacing w:val="-5"/>
          <w:sz w:val="24"/>
        </w:rPr>
        <w:t xml:space="preserve"> </w:t>
      </w:r>
      <w:r>
        <w:rPr>
          <w:rFonts w:ascii="Arial;Helvetica;sans-serif" w:hAnsi="Arial;Helvetica;sans-serif"/>
          <w:sz w:val="20"/>
        </w:rPr>
        <w:t>Parent</w:t>
      </w:r>
      <w:r>
        <w:rPr>
          <w:rFonts w:ascii="Aptos" w:hAnsi="Aptos"/>
          <w:spacing w:val="-4"/>
          <w:sz w:val="24"/>
        </w:rPr>
        <w:t xml:space="preserve"> </w:t>
      </w:r>
      <w:r>
        <w:rPr>
          <w:rFonts w:ascii="Arial;Helvetica;sans-serif" w:hAnsi="Arial;Helvetica;sans-serif"/>
          <w:sz w:val="20"/>
        </w:rPr>
        <w:t>Board</w:t>
      </w:r>
      <w:r>
        <w:rPr>
          <w:rFonts w:ascii="Aptos" w:hAnsi="Aptos"/>
          <w:spacing w:val="-4"/>
          <w:sz w:val="24"/>
        </w:rPr>
        <w:t xml:space="preserve"> </w:t>
      </w:r>
      <w:r>
        <w:rPr>
          <w:rFonts w:ascii="Arial;Helvetica;sans-serif" w:hAnsi="Arial;Helvetica;sans-serif"/>
          <w:sz w:val="20"/>
        </w:rPr>
        <w:t>of</w:t>
      </w:r>
      <w:r>
        <w:rPr>
          <w:rFonts w:ascii="Aptos" w:hAnsi="Aptos"/>
          <w:spacing w:val="-4"/>
          <w:sz w:val="24"/>
        </w:rPr>
        <w:t xml:space="preserve"> </w:t>
      </w:r>
      <w:r>
        <w:rPr>
          <w:rFonts w:ascii="Arial;Helvetica;sans-serif" w:hAnsi="Arial;Helvetica;sans-serif"/>
          <w:sz w:val="20"/>
        </w:rPr>
        <w:t>Directors, cease to constitute a majority of the Board of Directors of TTEC Parent; or</w:t>
      </w:r>
    </w:p>
    <w:p>
      <w:pPr>
        <w:pStyle w:val="TextBody"/>
        <w:bidi w:val="0"/>
        <w:spacing w:lineRule="auto" w:line="285" w:before="200" w:after="0"/>
        <w:ind w:left="1440" w:right="388" w:hanging="0"/>
        <w:jc w:val="left"/>
        <w:rPr>
          <w:rFonts w:ascii="Aptos" w:hAnsi="Aptos"/>
          <w:sz w:val="24"/>
        </w:rPr>
      </w:pPr>
      <w:r>
        <w:rPr>
          <w:rFonts w:ascii="Arial;Helvetica;sans-serif" w:hAnsi="Arial;Helvetica;sans-serif"/>
          <w:sz w:val="20"/>
        </w:rPr>
        <w:t>(F)Any sale, transfer, divestiture, spin-off, or other disposition (in one transaction or a series of related transactions) by TTEC Parent or any successor entity thereto, of (1) all or a controlling interest in the equity securities or ownership interests of TTEC Digital (or any successor entity or business unit carrying on substantially all of the business operations of TTEC Digital), or (2) all or substantially all of the assets constituting the TTEC Digital business, or (3) any transaction or series of related transactions pursuant to which TTEC Parent or any successor entity thereto ceases to have operational control over the TTEC Digital business; provided, however, that for purposes of this subsection (F), "controlling interest" shall mean the direct or indirect beneficial ownership of more than 50% of the combined voting power or equity interests of TTEC Digital (or any successor thereto), and "operational control" shall</w:t>
      </w:r>
      <w:r>
        <w:rPr>
          <w:rFonts w:ascii="Aptos" w:hAnsi="Aptos"/>
          <w:spacing w:val="-3"/>
          <w:sz w:val="24"/>
        </w:rPr>
        <w:t xml:space="preserve"> </w:t>
      </w:r>
      <w:r>
        <w:rPr>
          <w:rFonts w:ascii="Arial;Helvetica;sans-serif" w:hAnsi="Arial;Helvetica;sans-serif"/>
          <w:sz w:val="20"/>
        </w:rPr>
        <w:t>mean</w:t>
      </w:r>
      <w:r>
        <w:rPr>
          <w:rFonts w:ascii="Aptos" w:hAnsi="Aptos"/>
          <w:spacing w:val="-3"/>
          <w:sz w:val="24"/>
        </w:rPr>
        <w:t xml:space="preserve"> </w:t>
      </w:r>
      <w:r>
        <w:rPr>
          <w:rFonts w:ascii="Arial;Helvetica;sans-serif" w:hAnsi="Arial;Helvetica;sans-serif"/>
          <w:sz w:val="20"/>
        </w:rPr>
        <w:t>the</w:t>
      </w:r>
      <w:r>
        <w:rPr>
          <w:rFonts w:ascii="Aptos" w:hAnsi="Aptos"/>
          <w:spacing w:val="-3"/>
          <w:sz w:val="24"/>
        </w:rPr>
        <w:t xml:space="preserve"> </w:t>
      </w:r>
      <w:r>
        <w:rPr>
          <w:rFonts w:ascii="Arial;Helvetica;sans-serif" w:hAnsi="Arial;Helvetica;sans-serif"/>
          <w:sz w:val="20"/>
        </w:rPr>
        <w:t>power</w:t>
      </w:r>
      <w:r>
        <w:rPr>
          <w:rFonts w:ascii="Aptos" w:hAnsi="Aptos"/>
          <w:spacing w:val="-3"/>
          <w:sz w:val="24"/>
        </w:rPr>
        <w:t xml:space="preserve"> </w:t>
      </w:r>
      <w:r>
        <w:rPr>
          <w:rFonts w:ascii="Arial;Helvetica;sans-serif" w:hAnsi="Arial;Helvetica;sans-serif"/>
          <w:sz w:val="20"/>
        </w:rPr>
        <w:t>to</w:t>
      </w:r>
      <w:r>
        <w:rPr>
          <w:rFonts w:ascii="Aptos" w:hAnsi="Aptos"/>
          <w:spacing w:val="-3"/>
          <w:sz w:val="24"/>
        </w:rPr>
        <w:t xml:space="preserve"> </w:t>
      </w:r>
      <w:r>
        <w:rPr>
          <w:rFonts w:ascii="Arial;Helvetica;sans-serif" w:hAnsi="Arial;Helvetica;sans-serif"/>
          <w:sz w:val="20"/>
        </w:rPr>
        <w:t>direct</w:t>
      </w:r>
      <w:r>
        <w:rPr>
          <w:rFonts w:ascii="Aptos" w:hAnsi="Aptos"/>
          <w:spacing w:val="-3"/>
          <w:sz w:val="24"/>
        </w:rPr>
        <w:t xml:space="preserve"> </w:t>
      </w:r>
      <w:r>
        <w:rPr>
          <w:rFonts w:ascii="Arial;Helvetica;sans-serif" w:hAnsi="Arial;Helvetica;sans-serif"/>
          <w:sz w:val="20"/>
        </w:rPr>
        <w:t>or</w:t>
      </w:r>
      <w:r>
        <w:rPr>
          <w:rFonts w:ascii="Aptos" w:hAnsi="Aptos"/>
          <w:spacing w:val="-3"/>
          <w:sz w:val="24"/>
        </w:rPr>
        <w:t xml:space="preserve"> </w:t>
      </w:r>
      <w:r>
        <w:rPr>
          <w:rFonts w:ascii="Arial;Helvetica;sans-serif" w:hAnsi="Arial;Helvetica;sans-serif"/>
          <w:sz w:val="20"/>
        </w:rPr>
        <w:t>cause</w:t>
      </w:r>
      <w:r>
        <w:rPr>
          <w:rFonts w:ascii="Aptos" w:hAnsi="Aptos"/>
          <w:spacing w:val="-3"/>
          <w:sz w:val="24"/>
        </w:rPr>
        <w:t xml:space="preserve"> </w:t>
      </w:r>
      <w:r>
        <w:rPr>
          <w:rFonts w:ascii="Arial;Helvetica;sans-serif" w:hAnsi="Arial;Helvetica;sans-serif"/>
          <w:sz w:val="20"/>
        </w:rPr>
        <w:t>the</w:t>
      </w:r>
      <w:r>
        <w:rPr>
          <w:rFonts w:ascii="Aptos" w:hAnsi="Aptos"/>
          <w:spacing w:val="-3"/>
          <w:sz w:val="24"/>
        </w:rPr>
        <w:t xml:space="preserve"> </w:t>
      </w:r>
      <w:r>
        <w:rPr>
          <w:rFonts w:ascii="Arial;Helvetica;sans-serif" w:hAnsi="Arial;Helvetica;sans-serif"/>
          <w:sz w:val="20"/>
        </w:rPr>
        <w:t>direction</w:t>
      </w:r>
      <w:r>
        <w:rPr>
          <w:rFonts w:ascii="Aptos" w:hAnsi="Aptos"/>
          <w:spacing w:val="-3"/>
          <w:sz w:val="24"/>
        </w:rPr>
        <w:t xml:space="preserve"> </w:t>
      </w:r>
      <w:r>
        <w:rPr>
          <w:rFonts w:ascii="Arial;Helvetica;sans-serif" w:hAnsi="Arial;Helvetica;sans-serif"/>
          <w:sz w:val="20"/>
        </w:rPr>
        <w:t>of</w:t>
      </w:r>
      <w:r>
        <w:rPr>
          <w:rFonts w:ascii="Aptos" w:hAnsi="Aptos"/>
          <w:spacing w:val="-3"/>
          <w:sz w:val="24"/>
        </w:rPr>
        <w:t xml:space="preserve"> </w:t>
      </w:r>
      <w:r>
        <w:rPr>
          <w:rFonts w:ascii="Arial;Helvetica;sans-serif" w:hAnsi="Arial;Helvetica;sans-serif"/>
          <w:sz w:val="20"/>
        </w:rPr>
        <w:t>the</w:t>
      </w:r>
      <w:r>
        <w:rPr>
          <w:rFonts w:ascii="Aptos" w:hAnsi="Aptos"/>
          <w:spacing w:val="-3"/>
          <w:sz w:val="24"/>
        </w:rPr>
        <w:t xml:space="preserve"> </w:t>
      </w:r>
      <w:r>
        <w:rPr>
          <w:rFonts w:ascii="Arial;Helvetica;sans-serif" w:hAnsi="Arial;Helvetica;sans-serif"/>
          <w:sz w:val="20"/>
        </w:rPr>
        <w:t>management</w:t>
      </w:r>
      <w:r>
        <w:rPr>
          <w:rFonts w:ascii="Aptos" w:hAnsi="Aptos"/>
          <w:spacing w:val="-3"/>
          <w:sz w:val="24"/>
        </w:rPr>
        <w:t xml:space="preserve"> </w:t>
      </w:r>
      <w:r>
        <w:rPr>
          <w:rFonts w:ascii="Arial;Helvetica;sans-serif" w:hAnsi="Arial;Helvetica;sans-serif"/>
          <w:sz w:val="20"/>
        </w:rPr>
        <w:t>and</w:t>
      </w:r>
      <w:r>
        <w:rPr>
          <w:rFonts w:ascii="Aptos" w:hAnsi="Aptos"/>
          <w:spacing w:val="-3"/>
          <w:sz w:val="24"/>
        </w:rPr>
        <w:t xml:space="preserve"> </w:t>
      </w:r>
      <w:r>
        <w:rPr>
          <w:rFonts w:ascii="Arial;Helvetica;sans-serif" w:hAnsi="Arial;Helvetica;sans-serif"/>
          <w:sz w:val="20"/>
        </w:rPr>
        <w:t>policies of the TTEC Digital business.</w:t>
      </w:r>
    </w:p>
    <w:tbl>
      <w:tblPr>
        <w:tblW w:w="10205" w:type="dxa"/>
        <w:jc w:val="left"/>
        <w:tblInd w:w="0" w:type="dxa"/>
        <w:tblLayout w:type="fixed"/>
        <w:tblCellMar>
          <w:top w:w="0" w:type="dxa"/>
          <w:left w:w="0" w:type="dxa"/>
          <w:bottom w:w="0" w:type="dxa"/>
          <w:right w:w="0" w:type="dxa"/>
        </w:tblCellMar>
      </w:tblPr>
      <w:tblGrid>
        <w:gridCol w:w="23"/>
        <w:gridCol w:w="125"/>
        <w:gridCol w:w="10034"/>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i.</w:t>
            </w:r>
          </w:p>
        </w:tc>
        <w:tc>
          <w:tcPr>
            <w:tcW w:w="10034"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 xml:space="preserve">Termination for "Good Reason" or "Constructive Dismissal." </w:t>
            </w:r>
            <w:r>
              <w:rPr>
                <w:rFonts w:ascii="Arial;Helvetica;sans-serif" w:hAnsi="Arial;Helvetica;sans-serif"/>
                <w:b w:val="false"/>
                <w:i w:val="false"/>
                <w:caps w:val="false"/>
                <w:smallCaps w:val="false"/>
                <w:sz w:val="20"/>
              </w:rPr>
              <w:t>The Executive may terminate his employment with the Company for Good Reason (as that term is defined in this</w:t>
            </w:r>
            <w:r>
              <w:rPr>
                <w:caps w:val="false"/>
                <w:smallCaps w:val="false"/>
                <w:spacing w:val="-1"/>
              </w:rPr>
              <w:t xml:space="preserve"> </w:t>
            </w:r>
            <w:r>
              <w:rPr>
                <w:rFonts w:ascii="Arial;Helvetica;sans-serif" w:hAnsi="Arial;Helvetica;sans-serif"/>
                <w:b w:val="false"/>
                <w:i w:val="false"/>
                <w:caps w:val="false"/>
                <w:smallCaps w:val="false"/>
                <w:sz w:val="20"/>
              </w:rPr>
              <w:t>Section 4(i)) with</w:t>
            </w:r>
            <w:r>
              <w:rPr>
                <w:caps w:val="false"/>
                <w:smallCaps w:val="false"/>
                <w:spacing w:val="-3"/>
              </w:rPr>
              <w:t xml:space="preserve"> </w:t>
            </w:r>
            <w:r>
              <w:rPr>
                <w:rFonts w:ascii="Arial;Helvetica;sans-serif" w:hAnsi="Arial;Helvetica;sans-serif"/>
                <w:b w:val="false"/>
                <w:i w:val="false"/>
                <w:caps w:val="false"/>
                <w:smallCaps w:val="false"/>
                <w:sz w:val="20"/>
              </w:rPr>
              <w:t>30</w:t>
            </w:r>
            <w:r>
              <w:rPr>
                <w:caps w:val="false"/>
                <w:smallCaps w:val="false"/>
                <w:spacing w:val="-3"/>
              </w:rPr>
              <w:t xml:space="preserve"> </w:t>
            </w:r>
            <w:r>
              <w:rPr>
                <w:rFonts w:ascii="Arial;Helvetica;sans-serif" w:hAnsi="Arial;Helvetica;sans-serif"/>
                <w:b w:val="false"/>
                <w:i w:val="false"/>
                <w:caps w:val="false"/>
                <w:smallCaps w:val="false"/>
                <w:sz w:val="20"/>
              </w:rPr>
              <w:t>days'</w:t>
            </w:r>
            <w:r>
              <w:rPr>
                <w:caps w:val="false"/>
                <w:smallCaps w:val="false"/>
                <w:spacing w:val="-3"/>
              </w:rPr>
              <w:t xml:space="preserve"> </w:t>
            </w:r>
            <w:r>
              <w:rPr>
                <w:rFonts w:ascii="Arial;Helvetica;sans-serif" w:hAnsi="Arial;Helvetica;sans-serif"/>
                <w:b w:val="false"/>
                <w:i w:val="false"/>
                <w:caps w:val="false"/>
                <w:smallCaps w:val="false"/>
                <w:sz w:val="20"/>
              </w:rPr>
              <w:t>notice</w:t>
            </w:r>
            <w:r>
              <w:rPr>
                <w:caps w:val="false"/>
                <w:smallCaps w:val="false"/>
                <w:spacing w:val="-3"/>
              </w:rPr>
              <w:t xml:space="preserve"> </w:t>
            </w:r>
            <w:r>
              <w:rPr>
                <w:rFonts w:ascii="Arial;Helvetica;sans-serif" w:hAnsi="Arial;Helvetica;sans-serif"/>
                <w:b w:val="false"/>
                <w:i w:val="false"/>
                <w:caps w:val="false"/>
                <w:smallCaps w:val="false"/>
                <w:sz w:val="20"/>
              </w:rPr>
              <w:t>to</w:t>
            </w:r>
            <w:r>
              <w:rPr>
                <w:caps w:val="false"/>
                <w:smallCaps w:val="false"/>
                <w:spacing w:val="-3"/>
              </w:rPr>
              <w:t xml:space="preserve"> </w:t>
            </w:r>
            <w:r>
              <w:rPr>
                <w:rFonts w:ascii="Arial;Helvetica;sans-serif" w:hAnsi="Arial;Helvetica;sans-serif"/>
                <w:b w:val="false"/>
                <w:i w:val="false"/>
                <w:caps w:val="false"/>
                <w:smallCaps w:val="false"/>
                <w:sz w:val="20"/>
              </w:rPr>
              <w:t>the</w:t>
            </w:r>
            <w:r>
              <w:rPr>
                <w:caps w:val="false"/>
                <w:smallCaps w:val="false"/>
                <w:spacing w:val="-3"/>
              </w:rPr>
              <w:t xml:space="preserve"> </w:t>
            </w:r>
            <w:r>
              <w:rPr>
                <w:rFonts w:ascii="Arial;Helvetica;sans-serif" w:hAnsi="Arial;Helvetica;sans-serif"/>
                <w:b w:val="false"/>
                <w:i w:val="false"/>
                <w:caps w:val="false"/>
                <w:smallCaps w:val="false"/>
                <w:sz w:val="20"/>
              </w:rPr>
              <w:t>Company;</w:t>
            </w:r>
            <w:r>
              <w:rPr>
                <w:caps w:val="false"/>
                <w:smallCaps w:val="false"/>
                <w:spacing w:val="-3"/>
              </w:rPr>
              <w:t xml:space="preserve"> </w:t>
            </w:r>
            <w:r>
              <w:rPr>
                <w:rFonts w:ascii="Arial;Helvetica;sans-serif" w:hAnsi="Arial;Helvetica;sans-serif"/>
                <w:b w:val="false"/>
                <w:i w:val="false"/>
                <w:caps w:val="false"/>
                <w:smallCaps w:val="false"/>
                <w:sz w:val="20"/>
              </w:rPr>
              <w:t>provided</w:t>
            </w:r>
            <w:r>
              <w:rPr>
                <w:caps w:val="false"/>
                <w:smallCaps w:val="false"/>
                <w:spacing w:val="-3"/>
              </w:rPr>
              <w:t xml:space="preserve"> </w:t>
            </w:r>
            <w:r>
              <w:rPr>
                <w:rFonts w:ascii="Arial;Helvetica;sans-serif" w:hAnsi="Arial;Helvetica;sans-serif"/>
                <w:b w:val="false"/>
                <w:i w:val="false"/>
                <w:caps w:val="false"/>
                <w:smallCaps w:val="false"/>
                <w:sz w:val="20"/>
              </w:rPr>
              <w:t>the</w:t>
            </w:r>
            <w:r>
              <w:rPr>
                <w:caps w:val="false"/>
                <w:smallCaps w:val="false"/>
                <w:spacing w:val="-3"/>
              </w:rPr>
              <w:t xml:space="preserve"> </w:t>
            </w:r>
            <w:r>
              <w:rPr>
                <w:rFonts w:ascii="Arial;Helvetica;sans-serif" w:hAnsi="Arial;Helvetica;sans-serif"/>
                <w:b w:val="false"/>
                <w:i w:val="false"/>
                <w:caps w:val="false"/>
                <w:smallCaps w:val="false"/>
                <w:sz w:val="20"/>
              </w:rPr>
              <w:t>Company</w:t>
            </w:r>
            <w:r>
              <w:rPr>
                <w:caps w:val="false"/>
                <w:smallCaps w:val="false"/>
                <w:spacing w:val="-3"/>
              </w:rPr>
              <w:t xml:space="preserve"> </w:t>
            </w:r>
            <w:r>
              <w:rPr>
                <w:rFonts w:ascii="Arial;Helvetica;sans-serif" w:hAnsi="Arial;Helvetica;sans-serif"/>
                <w:b w:val="false"/>
                <w:i w:val="false"/>
                <w:caps w:val="false"/>
                <w:smallCaps w:val="false"/>
                <w:sz w:val="20"/>
              </w:rPr>
              <w:t>may</w:t>
            </w:r>
            <w:r>
              <w:rPr>
                <w:caps w:val="false"/>
                <w:smallCaps w:val="false"/>
                <w:spacing w:val="-3"/>
              </w:rPr>
              <w:t xml:space="preserve"> </w:t>
            </w:r>
            <w:r>
              <w:rPr>
                <w:rFonts w:ascii="Arial;Helvetica;sans-serif" w:hAnsi="Arial;Helvetica;sans-serif"/>
                <w:b w:val="false"/>
                <w:i w:val="false"/>
                <w:caps w:val="false"/>
                <w:smallCaps w:val="false"/>
                <w:sz w:val="20"/>
              </w:rPr>
              <w:t>elect</w:t>
            </w:r>
            <w:r>
              <w:rPr>
                <w:caps w:val="false"/>
                <w:smallCaps w:val="false"/>
                <w:spacing w:val="-3"/>
              </w:rPr>
              <w:t xml:space="preserve"> </w:t>
            </w:r>
            <w:r>
              <w:rPr>
                <w:rFonts w:ascii="Arial;Helvetica;sans-serif" w:hAnsi="Arial;Helvetica;sans-serif"/>
                <w:b w:val="false"/>
                <w:i w:val="false"/>
                <w:caps w:val="false"/>
                <w:smallCaps w:val="false"/>
                <w:sz w:val="20"/>
              </w:rPr>
              <w:t>to</w:t>
            </w:r>
            <w:r>
              <w:rPr>
                <w:caps w:val="false"/>
                <w:smallCaps w:val="false"/>
                <w:spacing w:val="-3"/>
              </w:rPr>
              <w:t xml:space="preserve"> </w:t>
            </w:r>
            <w:r>
              <w:rPr>
                <w:rFonts w:ascii="Arial;Helvetica;sans-serif" w:hAnsi="Arial;Helvetica;sans-serif"/>
                <w:b w:val="false"/>
                <w:i w:val="false"/>
                <w:caps w:val="false"/>
                <w:smallCaps w:val="false"/>
                <w:sz w:val="20"/>
              </w:rPr>
              <w:t>accept</w:t>
            </w:r>
            <w:r>
              <w:rPr>
                <w:caps w:val="false"/>
                <w:smallCaps w:val="false"/>
                <w:spacing w:val="-3"/>
              </w:rPr>
              <w:t xml:space="preserve"> </w:t>
            </w:r>
            <w:r>
              <w:rPr>
                <w:rFonts w:ascii="Arial;Helvetica;sans-serif" w:hAnsi="Arial;Helvetica;sans-serif"/>
                <w:b w:val="false"/>
                <w:i w:val="false"/>
                <w:caps w:val="false"/>
                <w:smallCaps w:val="false"/>
                <w:sz w:val="20"/>
              </w:rPr>
              <w:t>the</w:t>
            </w:r>
            <w:r>
              <w:rPr>
                <w:caps w:val="false"/>
                <w:smallCaps w:val="false"/>
                <w:spacing w:val="-3"/>
              </w:rPr>
              <w:t xml:space="preserve"> </w:t>
            </w:r>
            <w:r>
              <w:rPr>
                <w:rFonts w:ascii="Arial;Helvetica;sans-serif" w:hAnsi="Arial;Helvetica;sans-serif"/>
                <w:b w:val="false"/>
                <w:i w:val="false"/>
                <w:caps w:val="false"/>
                <w:smallCaps w:val="false"/>
                <w:sz w:val="20"/>
              </w:rPr>
              <w:t>Executive's resignation</w:t>
            </w:r>
            <w:r>
              <w:rPr>
                <w:caps w:val="false"/>
                <w:smallCaps w:val="false"/>
                <w:spacing w:val="-3"/>
              </w:rPr>
              <w:t xml:space="preserve"> </w:t>
            </w:r>
            <w:r>
              <w:rPr>
                <w:rFonts w:ascii="Arial;Helvetica;sans-serif" w:hAnsi="Arial;Helvetica;sans-serif"/>
                <w:b w:val="false"/>
                <w:i w:val="false"/>
                <w:caps w:val="false"/>
                <w:smallCaps w:val="false"/>
                <w:sz w:val="20"/>
              </w:rPr>
              <w:t>sooner</w:t>
            </w:r>
            <w:r>
              <w:rPr>
                <w:caps w:val="false"/>
                <w:smallCaps w:val="false"/>
                <w:spacing w:val="-3"/>
              </w:rPr>
              <w:t xml:space="preserve"> </w:t>
            </w:r>
            <w:r>
              <w:rPr>
                <w:rFonts w:ascii="Arial;Helvetica;sans-serif" w:hAnsi="Arial;Helvetica;sans-serif"/>
                <w:b w:val="false"/>
                <w:i w:val="false"/>
                <w:caps w:val="false"/>
                <w:smallCaps w:val="false"/>
                <w:sz w:val="20"/>
              </w:rPr>
              <w:t>at</w:t>
            </w:r>
            <w:r>
              <w:rPr>
                <w:caps w:val="false"/>
                <w:smallCaps w:val="false"/>
                <w:spacing w:val="-3"/>
              </w:rPr>
              <w:t xml:space="preserve"> </w:t>
            </w:r>
            <w:r>
              <w:rPr>
                <w:rFonts w:ascii="Arial;Helvetica;sans-serif" w:hAnsi="Arial;Helvetica;sans-serif"/>
                <w:b w:val="false"/>
                <w:i w:val="false"/>
                <w:caps w:val="false"/>
                <w:smallCaps w:val="false"/>
                <w:sz w:val="20"/>
              </w:rPr>
              <w:t>its</w:t>
            </w:r>
            <w:r>
              <w:rPr>
                <w:caps w:val="false"/>
                <w:smallCaps w:val="false"/>
                <w:spacing w:val="-3"/>
              </w:rPr>
              <w:t xml:space="preserve"> </w:t>
            </w:r>
            <w:r>
              <w:rPr>
                <w:rFonts w:ascii="Arial;Helvetica;sans-serif" w:hAnsi="Arial;Helvetica;sans-serif"/>
                <w:b w:val="false"/>
                <w:i w:val="false"/>
                <w:caps w:val="false"/>
                <w:smallCaps w:val="false"/>
                <w:sz w:val="20"/>
              </w:rPr>
              <w:t>discretion.</w:t>
            </w:r>
            <w:r>
              <w:rPr>
                <w:caps w:val="false"/>
                <w:smallCaps w:val="false"/>
                <w:spacing w:val="-3"/>
              </w:rPr>
              <w:t xml:space="preserve"> </w:t>
            </w:r>
            <w:r>
              <w:rPr>
                <w:rFonts w:ascii="Arial;Helvetica;sans-serif" w:hAnsi="Arial;Helvetica;sans-serif"/>
                <w:b w:val="false"/>
                <w:i w:val="false"/>
                <w:caps w:val="false"/>
                <w:smallCaps w:val="false"/>
                <w:sz w:val="20"/>
              </w:rPr>
              <w:t>Termination</w:t>
            </w:r>
            <w:r>
              <w:rPr>
                <w:caps w:val="false"/>
                <w:smallCaps w:val="false"/>
                <w:spacing w:val="-3"/>
              </w:rPr>
              <w:t xml:space="preserve"> </w:t>
            </w:r>
            <w:r>
              <w:rPr>
                <w:rFonts w:ascii="Arial;Helvetica;sans-serif" w:hAnsi="Arial;Helvetica;sans-serif"/>
                <w:b w:val="false"/>
                <w:i w:val="false"/>
                <w:caps w:val="false"/>
                <w:smallCaps w:val="false"/>
                <w:sz w:val="20"/>
              </w:rPr>
              <w:t>by</w:t>
            </w:r>
            <w:r>
              <w:rPr>
                <w:caps w:val="false"/>
                <w:smallCaps w:val="false"/>
                <w:spacing w:val="-3"/>
              </w:rPr>
              <w:t xml:space="preserve"> </w:t>
            </w:r>
            <w:r>
              <w:rPr>
                <w:rFonts w:ascii="Arial;Helvetica;sans-serif" w:hAnsi="Arial;Helvetica;sans-serif"/>
                <w:b w:val="false"/>
                <w:i w:val="false"/>
                <w:caps w:val="false"/>
                <w:smallCaps w:val="false"/>
                <w:sz w:val="20"/>
              </w:rPr>
              <w:t>Executive</w:t>
            </w:r>
            <w:r>
              <w:rPr>
                <w:caps w:val="false"/>
                <w:smallCaps w:val="false"/>
                <w:spacing w:val="-3"/>
              </w:rPr>
              <w:t xml:space="preserve"> </w:t>
            </w:r>
            <w:r>
              <w:rPr>
                <w:rFonts w:ascii="Arial;Helvetica;sans-serif" w:hAnsi="Arial;Helvetica;sans-serif"/>
                <w:b w:val="false"/>
                <w:i w:val="false"/>
                <w:caps w:val="false"/>
                <w:smallCaps w:val="false"/>
                <w:sz w:val="20"/>
              </w:rPr>
              <w:t>for</w:t>
            </w:r>
            <w:r>
              <w:rPr>
                <w:caps w:val="false"/>
                <w:smallCaps w:val="false"/>
                <w:spacing w:val="-3"/>
              </w:rPr>
              <w:t xml:space="preserve"> </w:t>
            </w:r>
            <w:r>
              <w:rPr>
                <w:rFonts w:ascii="Arial;Helvetica;sans-serif" w:hAnsi="Arial;Helvetica;sans-serif"/>
                <w:b w:val="false"/>
                <w:i w:val="false"/>
                <w:caps w:val="false"/>
                <w:smallCaps w:val="false"/>
                <w:sz w:val="20"/>
              </w:rPr>
              <w:t>"Good</w:t>
            </w:r>
            <w:r>
              <w:rPr>
                <w:caps w:val="false"/>
                <w:smallCaps w:val="false"/>
                <w:spacing w:val="-3"/>
              </w:rPr>
              <w:t xml:space="preserve"> </w:t>
            </w:r>
            <w:r>
              <w:rPr>
                <w:rFonts w:ascii="Arial;Helvetica;sans-serif" w:hAnsi="Arial;Helvetica;sans-serif"/>
                <w:b w:val="false"/>
                <w:i w:val="false"/>
                <w:caps w:val="false"/>
                <w:smallCaps w:val="false"/>
                <w:sz w:val="20"/>
              </w:rPr>
              <w:t>Reason"</w:t>
            </w:r>
            <w:r>
              <w:rPr>
                <w:caps w:val="false"/>
                <w:smallCaps w:val="false"/>
                <w:spacing w:val="-3"/>
              </w:rPr>
              <w:t xml:space="preserve"> </w:t>
            </w:r>
            <w:r>
              <w:rPr>
                <w:rFonts w:ascii="Arial;Helvetica;sans-serif" w:hAnsi="Arial;Helvetica;sans-serif"/>
                <w:b w:val="false"/>
                <w:i w:val="false"/>
                <w:caps w:val="false"/>
                <w:smallCaps w:val="false"/>
                <w:sz w:val="20"/>
              </w:rPr>
              <w:t>(also</w:t>
            </w:r>
            <w:r>
              <w:rPr>
                <w:caps w:val="false"/>
                <w:smallCaps w:val="false"/>
                <w:spacing w:val="-3"/>
              </w:rPr>
              <w:t xml:space="preserve"> </w:t>
            </w:r>
            <w:r>
              <w:rPr>
                <w:rFonts w:ascii="Arial;Helvetica;sans-serif" w:hAnsi="Arial;Helvetica;sans-serif"/>
                <w:b w:val="false"/>
                <w:i w:val="false"/>
                <w:caps w:val="false"/>
                <w:smallCaps w:val="false"/>
                <w:sz w:val="20"/>
              </w:rPr>
              <w:t>known</w:t>
            </w:r>
            <w:r>
              <w:rPr>
                <w:caps w:val="false"/>
                <w:smallCaps w:val="false"/>
                <w:spacing w:val="-3"/>
              </w:rPr>
              <w:t xml:space="preserve"> </w:t>
            </w:r>
            <w:r>
              <w:rPr>
                <w:rFonts w:ascii="Arial;Helvetica;sans-serif" w:hAnsi="Arial;Helvetica;sans-serif"/>
                <w:b w:val="false"/>
                <w:i w:val="false"/>
                <w:caps w:val="false"/>
                <w:smallCaps w:val="false"/>
                <w:sz w:val="20"/>
              </w:rPr>
              <w:t xml:space="preserve">as "Constructive Termination" by the Company) may be triggered if, without Executive's express written consent, the following occurs (in connection with or independent of a Change in Control </w:t>
            </w:r>
            <w:r>
              <w:rPr>
                <w:rFonts w:ascii="Arial;Helvetica;sans-serif" w:hAnsi="Arial;Helvetica;sans-serif"/>
                <w:b w:val="false"/>
                <w:i w:val="false"/>
                <w:caps w:val="false"/>
                <w:smallCaps w:val="false"/>
                <w:spacing w:val="-2"/>
                <w:sz w:val="20"/>
              </w:rPr>
              <w:t>event):</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720" w:right="801" w:hanging="0"/>
        <w:jc w:val="left"/>
        <w:rPr>
          <w:rFonts w:ascii="Aptos" w:hAnsi="Aptos"/>
          <w:sz w:val="24"/>
        </w:rPr>
      </w:pPr>
      <w:r>
        <w:rPr>
          <w:rFonts w:ascii="Arial;Helvetica;sans-serif" w:hAnsi="Arial;Helvetica;sans-serif"/>
          <w:sz w:val="20"/>
        </w:rPr>
        <w:t>(i)</w:t>
      </w:r>
      <w:r>
        <w:rPr>
          <w:rFonts w:ascii="Arial;Helvetica;sans-serif" w:hAnsi="Arial;Helvetica;sans-serif"/>
          <w:sz w:val="20"/>
          <w:u w:val="single"/>
        </w:rPr>
        <w:t>Change in Responsibilities</w:t>
      </w:r>
      <w:r>
        <w:rPr>
          <w:rFonts w:ascii="Arial;Helvetica;sans-serif" w:hAnsi="Arial;Helvetica;sans-serif"/>
          <w:b/>
          <w:sz w:val="20"/>
        </w:rPr>
        <w:t xml:space="preserve">. </w:t>
      </w:r>
      <w:r>
        <w:rPr>
          <w:rFonts w:ascii="Arial;Helvetica;sans-serif" w:hAnsi="Arial;Helvetica;sans-serif"/>
          <w:sz w:val="20"/>
        </w:rPr>
        <w:t>Except as otherwise expressly provided below, the material</w:t>
      </w:r>
      <w:r>
        <w:rPr>
          <w:rFonts w:ascii="Aptos" w:hAnsi="Aptos"/>
          <w:spacing w:val="-4"/>
          <w:sz w:val="24"/>
        </w:rPr>
        <w:t xml:space="preserve"> </w:t>
      </w:r>
      <w:r>
        <w:rPr>
          <w:rFonts w:ascii="Arial;Helvetica;sans-serif" w:hAnsi="Arial;Helvetica;sans-serif"/>
          <w:sz w:val="20"/>
        </w:rPr>
        <w:t>adverse</w:t>
      </w:r>
      <w:r>
        <w:rPr>
          <w:rFonts w:ascii="Aptos" w:hAnsi="Aptos"/>
          <w:spacing w:val="-4"/>
          <w:sz w:val="24"/>
        </w:rPr>
        <w:t xml:space="preserve"> </w:t>
      </w:r>
      <w:r>
        <w:rPr>
          <w:rFonts w:ascii="Arial;Helvetica;sans-serif" w:hAnsi="Arial;Helvetica;sans-serif"/>
          <w:sz w:val="20"/>
        </w:rPr>
        <w:t>change</w:t>
      </w:r>
      <w:r>
        <w:rPr>
          <w:rFonts w:ascii="Aptos" w:hAnsi="Aptos"/>
          <w:spacing w:val="-4"/>
          <w:sz w:val="24"/>
        </w:rPr>
        <w:t xml:space="preserve"> </w:t>
      </w:r>
      <w:r>
        <w:rPr>
          <w:rFonts w:ascii="Arial;Helvetica;sans-serif" w:hAnsi="Arial;Helvetica;sans-serif"/>
          <w:sz w:val="20"/>
        </w:rPr>
        <w:t>in</w:t>
      </w:r>
      <w:r>
        <w:rPr>
          <w:rFonts w:ascii="Aptos" w:hAnsi="Aptos"/>
          <w:spacing w:val="-4"/>
          <w:sz w:val="24"/>
        </w:rPr>
        <w:t xml:space="preserve"> </w:t>
      </w:r>
      <w:r>
        <w:rPr>
          <w:rFonts w:ascii="Arial;Helvetica;sans-serif" w:hAnsi="Arial;Helvetica;sans-serif"/>
          <w:sz w:val="20"/>
        </w:rPr>
        <w:t>the</w:t>
      </w:r>
      <w:r>
        <w:rPr>
          <w:rFonts w:ascii="Aptos" w:hAnsi="Aptos"/>
          <w:spacing w:val="-4"/>
          <w:sz w:val="24"/>
        </w:rPr>
        <w:t xml:space="preserve"> </w:t>
      </w:r>
      <w:r>
        <w:rPr>
          <w:rFonts w:ascii="Arial;Helvetica;sans-serif" w:hAnsi="Arial;Helvetica;sans-serif"/>
          <w:sz w:val="20"/>
        </w:rPr>
        <w:t>Executive's</w:t>
      </w:r>
      <w:r>
        <w:rPr>
          <w:rFonts w:ascii="Aptos" w:hAnsi="Aptos"/>
          <w:spacing w:val="-4"/>
          <w:sz w:val="24"/>
        </w:rPr>
        <w:t xml:space="preserve"> </w:t>
      </w:r>
      <w:r>
        <w:rPr>
          <w:rFonts w:ascii="Arial;Helvetica;sans-serif" w:hAnsi="Arial;Helvetica;sans-serif"/>
          <w:sz w:val="20"/>
        </w:rPr>
        <w:t>scope</w:t>
      </w:r>
      <w:r>
        <w:rPr>
          <w:rFonts w:ascii="Aptos" w:hAnsi="Aptos"/>
          <w:spacing w:val="-4"/>
          <w:sz w:val="24"/>
        </w:rPr>
        <w:t xml:space="preserve"> </w:t>
      </w:r>
      <w:r>
        <w:rPr>
          <w:rFonts w:ascii="Arial;Helvetica;sans-serif" w:hAnsi="Arial;Helvetica;sans-serif"/>
          <w:sz w:val="20"/>
        </w:rPr>
        <w:t>of</w:t>
      </w:r>
      <w:r>
        <w:rPr>
          <w:rFonts w:ascii="Aptos" w:hAnsi="Aptos"/>
          <w:spacing w:val="-4"/>
          <w:sz w:val="24"/>
        </w:rPr>
        <w:t xml:space="preserve"> </w:t>
      </w:r>
      <w:r>
        <w:rPr>
          <w:rFonts w:ascii="Arial;Helvetica;sans-serif" w:hAnsi="Arial;Helvetica;sans-serif"/>
          <w:sz w:val="20"/>
        </w:rPr>
        <w:t>responsibilities</w:t>
      </w:r>
      <w:r>
        <w:rPr>
          <w:rFonts w:ascii="Aptos" w:hAnsi="Aptos"/>
          <w:spacing w:val="-4"/>
          <w:sz w:val="24"/>
        </w:rPr>
        <w:t xml:space="preserve"> </w:t>
      </w:r>
      <w:r>
        <w:rPr>
          <w:rFonts w:ascii="Arial;Helvetica;sans-serif" w:hAnsi="Arial;Helvetica;sans-serif"/>
          <w:sz w:val="20"/>
        </w:rPr>
        <w:t>and</w:t>
      </w:r>
      <w:r>
        <w:rPr>
          <w:rFonts w:ascii="Aptos" w:hAnsi="Aptos"/>
          <w:spacing w:val="-4"/>
          <w:sz w:val="24"/>
        </w:rPr>
        <w:t xml:space="preserve"> </w:t>
      </w:r>
      <w:r>
        <w:rPr>
          <w:rFonts w:ascii="Arial;Helvetica;sans-serif" w:hAnsi="Arial;Helvetica;sans-serif"/>
          <w:sz w:val="20"/>
        </w:rPr>
        <w:t>duties</w:t>
      </w:r>
      <w:r>
        <w:rPr>
          <w:rFonts w:ascii="Aptos" w:hAnsi="Aptos"/>
          <w:spacing w:val="-4"/>
          <w:sz w:val="24"/>
        </w:rPr>
        <w:t xml:space="preserve"> </w:t>
      </w:r>
      <w:r>
        <w:rPr>
          <w:rFonts w:ascii="Arial;Helvetica;sans-serif" w:hAnsi="Arial;Helvetica;sans-serif"/>
          <w:sz w:val="20"/>
        </w:rPr>
        <w:t>(including</w:t>
      </w:r>
      <w:r>
        <w:rPr>
          <w:rFonts w:ascii="Aptos" w:hAnsi="Aptos"/>
          <w:spacing w:val="-4"/>
          <w:sz w:val="24"/>
        </w:rPr>
        <w:t xml:space="preserve"> </w:t>
      </w:r>
      <w:r>
        <w:rPr>
          <w:rFonts w:ascii="Arial;Helvetica;sans-serif" w:hAnsi="Arial;Helvetica;sans-serif"/>
          <w:sz w:val="20"/>
        </w:rPr>
        <w:t>the diminution</w:t>
      </w:r>
      <w:r>
        <w:rPr>
          <w:rFonts w:ascii="Aptos" w:hAnsi="Aptos"/>
          <w:spacing w:val="-1"/>
          <w:sz w:val="24"/>
        </w:rPr>
        <w:t xml:space="preserve"> </w:t>
      </w:r>
      <w:r>
        <w:rPr>
          <w:rFonts w:ascii="Arial;Helvetica;sans-serif" w:hAnsi="Arial;Helvetica;sans-serif"/>
          <w:sz w:val="20"/>
        </w:rPr>
        <w:t>of</w:t>
      </w:r>
      <w:r>
        <w:rPr>
          <w:rFonts w:ascii="Aptos" w:hAnsi="Aptos"/>
          <w:spacing w:val="-1"/>
          <w:sz w:val="24"/>
        </w:rPr>
        <w:t xml:space="preserve"> </w:t>
      </w:r>
      <w:r>
        <w:rPr>
          <w:rFonts w:ascii="Arial;Helvetica;sans-serif" w:hAnsi="Arial;Helvetica;sans-serif"/>
          <w:sz w:val="20"/>
        </w:rPr>
        <w:t>such</w:t>
      </w:r>
      <w:r>
        <w:rPr>
          <w:rFonts w:ascii="Aptos" w:hAnsi="Aptos"/>
          <w:spacing w:val="-1"/>
          <w:sz w:val="24"/>
        </w:rPr>
        <w:t xml:space="preserve"> </w:t>
      </w:r>
      <w:r>
        <w:rPr>
          <w:rFonts w:ascii="Arial;Helvetica;sans-serif" w:hAnsi="Arial;Helvetica;sans-serif"/>
          <w:sz w:val="20"/>
        </w:rPr>
        <w:t>duties</w:t>
      </w:r>
      <w:r>
        <w:rPr>
          <w:rFonts w:ascii="Aptos" w:hAnsi="Aptos"/>
          <w:spacing w:val="-1"/>
          <w:sz w:val="24"/>
        </w:rPr>
        <w:t xml:space="preserve"> </w:t>
      </w:r>
      <w:r>
        <w:rPr>
          <w:rFonts w:ascii="Arial;Helvetica;sans-serif" w:hAnsi="Arial;Helvetica;sans-serif"/>
          <w:sz w:val="20"/>
        </w:rPr>
        <w:t>and</w:t>
      </w:r>
      <w:r>
        <w:rPr>
          <w:rFonts w:ascii="Aptos" w:hAnsi="Aptos"/>
          <w:spacing w:val="-1"/>
          <w:sz w:val="24"/>
        </w:rPr>
        <w:t xml:space="preserve"> </w:t>
      </w:r>
      <w:r>
        <w:rPr>
          <w:rFonts w:ascii="Arial;Helvetica;sans-serif" w:hAnsi="Arial;Helvetica;sans-serif"/>
          <w:sz w:val="20"/>
        </w:rPr>
        <w:t>responsibilities),</w:t>
      </w:r>
      <w:r>
        <w:rPr>
          <w:rFonts w:ascii="Aptos" w:hAnsi="Aptos"/>
          <w:spacing w:val="-1"/>
          <w:sz w:val="24"/>
        </w:rPr>
        <w:t xml:space="preserve"> </w:t>
      </w:r>
      <w:r>
        <w:rPr>
          <w:rFonts w:ascii="Arial;Helvetica;sans-serif" w:hAnsi="Arial;Helvetica;sans-serif"/>
          <w:sz w:val="20"/>
        </w:rPr>
        <w:t>or</w:t>
      </w:r>
      <w:r>
        <w:rPr>
          <w:rFonts w:ascii="Aptos" w:hAnsi="Aptos"/>
          <w:spacing w:val="-1"/>
          <w:sz w:val="24"/>
        </w:rPr>
        <w:t xml:space="preserve"> </w:t>
      </w:r>
      <w:r>
        <w:rPr>
          <w:rFonts w:ascii="Arial;Helvetica;sans-serif" w:hAnsi="Arial;Helvetica;sans-serif"/>
          <w:sz w:val="20"/>
        </w:rPr>
        <w:t>material</w:t>
      </w:r>
      <w:r>
        <w:rPr>
          <w:rFonts w:ascii="Aptos" w:hAnsi="Aptos"/>
          <w:spacing w:val="-1"/>
          <w:sz w:val="24"/>
        </w:rPr>
        <w:t xml:space="preserve"> </w:t>
      </w:r>
      <w:r>
        <w:rPr>
          <w:rFonts w:ascii="Arial;Helvetica;sans-serif" w:hAnsi="Arial;Helvetica;sans-serif"/>
          <w:sz w:val="20"/>
        </w:rPr>
        <w:t>adverse</w:t>
      </w:r>
      <w:r>
        <w:rPr>
          <w:rFonts w:ascii="Aptos" w:hAnsi="Aptos"/>
          <w:spacing w:val="-1"/>
          <w:sz w:val="24"/>
        </w:rPr>
        <w:t xml:space="preserve"> </w:t>
      </w:r>
      <w:r>
        <w:rPr>
          <w:rFonts w:ascii="Arial;Helvetica;sans-serif" w:hAnsi="Arial;Helvetica;sans-serif"/>
          <w:sz w:val="20"/>
        </w:rPr>
        <w:t>change</w:t>
      </w:r>
      <w:r>
        <w:rPr>
          <w:rFonts w:ascii="Aptos" w:hAnsi="Aptos"/>
          <w:spacing w:val="-1"/>
          <w:sz w:val="24"/>
        </w:rPr>
        <w:t xml:space="preserve"> </w:t>
      </w:r>
      <w:r>
        <w:rPr>
          <w:rFonts w:ascii="Arial;Helvetica;sans-serif" w:hAnsi="Arial;Helvetica;sans-serif"/>
          <w:sz w:val="20"/>
        </w:rPr>
        <w:t>in</w:t>
      </w:r>
      <w:r>
        <w:rPr>
          <w:rFonts w:ascii="Aptos" w:hAnsi="Aptos"/>
          <w:spacing w:val="-1"/>
          <w:sz w:val="24"/>
        </w:rPr>
        <w:t xml:space="preserve"> </w:t>
      </w:r>
      <w:r>
        <w:rPr>
          <w:rFonts w:ascii="Arial;Helvetica;sans-serif" w:hAnsi="Arial;Helvetica;sans-serif"/>
          <w:sz w:val="20"/>
        </w:rPr>
        <w:t>the</w:t>
      </w:r>
      <w:r>
        <w:rPr>
          <w:rFonts w:ascii="Aptos" w:hAnsi="Aptos"/>
          <w:spacing w:val="-1"/>
          <w:sz w:val="24"/>
        </w:rPr>
        <w:t xml:space="preserve"> </w:t>
      </w:r>
      <w:r>
        <w:rPr>
          <w:rFonts w:ascii="Arial;Helvetica;sans-serif" w:hAnsi="Arial;Helvetica;sans-serif"/>
          <w:sz w:val="20"/>
        </w:rPr>
        <w:t>Executive's reporting responsibilities or title by the Company, TTEC Parent, or (in case of a Change in Control event) by their successor.</w:t>
      </w:r>
    </w:p>
    <w:p>
      <w:pPr>
        <w:pStyle w:val="TextBody"/>
        <w:bidi w:val="0"/>
        <w:spacing w:lineRule="auto" w:line="285" w:before="199" w:after="0"/>
        <w:ind w:left="720" w:right="524" w:hanging="0"/>
        <w:jc w:val="left"/>
        <w:rPr>
          <w:rFonts w:ascii="Aptos" w:hAnsi="Aptos"/>
          <w:sz w:val="24"/>
        </w:rPr>
      </w:pPr>
      <w:r>
        <w:rPr>
          <w:rFonts w:ascii="Arial;Helvetica;sans-serif" w:hAnsi="Arial;Helvetica;sans-serif"/>
          <w:sz w:val="20"/>
        </w:rPr>
        <w:t>(ii)</w:t>
      </w:r>
      <w:r>
        <w:rPr>
          <w:rFonts w:ascii="Arial;Helvetica;sans-serif" w:hAnsi="Arial;Helvetica;sans-serif"/>
          <w:sz w:val="20"/>
          <w:u w:val="single"/>
        </w:rPr>
        <w:t>Change in Compensation</w:t>
      </w:r>
      <w:r>
        <w:rPr>
          <w:rFonts w:ascii="Arial;Helvetica;sans-serif" w:hAnsi="Arial;Helvetica;sans-serif"/>
          <w:b/>
          <w:sz w:val="20"/>
        </w:rPr>
        <w:t xml:space="preserve">. </w:t>
      </w:r>
      <w:r>
        <w:rPr>
          <w:rFonts w:ascii="Arial;Helvetica;sans-serif" w:hAnsi="Arial;Helvetica;sans-serif"/>
          <w:sz w:val="20"/>
        </w:rPr>
        <w:t>Section Any material reduction by the Company, TTEC Parent or, in case of a Change in Control event by TTEC successor, of the Executive's total compensation package, including material adverse change in the annual salary, the incentive bonus ranges and targets, or the timing of payment of same as compared to the compensation package</w:t>
      </w:r>
      <w:r>
        <w:rPr>
          <w:rFonts w:ascii="Aptos" w:hAnsi="Aptos"/>
          <w:spacing w:val="-2"/>
          <w:sz w:val="24"/>
        </w:rPr>
        <w:t xml:space="preserve"> </w:t>
      </w:r>
      <w:r>
        <w:rPr>
          <w:rFonts w:ascii="Arial;Helvetica;sans-serif" w:hAnsi="Arial;Helvetica;sans-serif"/>
          <w:sz w:val="20"/>
        </w:rPr>
        <w:t>in</w:t>
      </w:r>
      <w:r>
        <w:rPr>
          <w:rFonts w:ascii="Aptos" w:hAnsi="Aptos"/>
          <w:spacing w:val="-2"/>
          <w:sz w:val="24"/>
        </w:rPr>
        <w:t xml:space="preserve"> </w:t>
      </w:r>
      <w:r>
        <w:rPr>
          <w:rFonts w:ascii="Arial;Helvetica;sans-serif" w:hAnsi="Arial;Helvetica;sans-serif"/>
          <w:sz w:val="20"/>
        </w:rPr>
        <w:t>effect</w:t>
      </w:r>
      <w:r>
        <w:rPr>
          <w:rFonts w:ascii="Aptos" w:hAnsi="Aptos"/>
          <w:spacing w:val="-2"/>
          <w:sz w:val="24"/>
        </w:rPr>
        <w:t xml:space="preserve"> </w:t>
      </w:r>
      <w:r>
        <w:rPr>
          <w:rFonts w:ascii="Arial;Helvetica;sans-serif" w:hAnsi="Arial;Helvetica;sans-serif"/>
          <w:sz w:val="20"/>
        </w:rPr>
        <w:t>as</w:t>
      </w:r>
      <w:r>
        <w:rPr>
          <w:rFonts w:ascii="Aptos" w:hAnsi="Aptos"/>
          <w:spacing w:val="-2"/>
          <w:sz w:val="24"/>
        </w:rPr>
        <w:t xml:space="preserve"> </w:t>
      </w:r>
      <w:r>
        <w:rPr>
          <w:rFonts w:ascii="Arial;Helvetica;sans-serif" w:hAnsi="Arial;Helvetica;sans-serif"/>
          <w:sz w:val="20"/>
        </w:rPr>
        <w:t>of</w:t>
      </w:r>
      <w:r>
        <w:rPr>
          <w:rFonts w:ascii="Aptos" w:hAnsi="Aptos"/>
          <w:spacing w:val="-2"/>
          <w:sz w:val="24"/>
        </w:rPr>
        <w:t xml:space="preserve"> </w:t>
      </w:r>
      <w:r>
        <w:rPr>
          <w:rFonts w:ascii="Arial;Helvetica;sans-serif" w:hAnsi="Arial;Helvetica;sans-serif"/>
          <w:sz w:val="20"/>
        </w:rPr>
        <w:t>the</w:t>
      </w:r>
      <w:r>
        <w:rPr>
          <w:rFonts w:ascii="Aptos" w:hAnsi="Aptos"/>
          <w:spacing w:val="-2"/>
          <w:sz w:val="24"/>
        </w:rPr>
        <w:t xml:space="preserve"> </w:t>
      </w:r>
      <w:r>
        <w:rPr>
          <w:rFonts w:ascii="Arial;Helvetica;sans-serif" w:hAnsi="Arial;Helvetica;sans-serif"/>
          <w:sz w:val="20"/>
        </w:rPr>
        <w:t>date</w:t>
      </w:r>
      <w:r>
        <w:rPr>
          <w:rFonts w:ascii="Aptos" w:hAnsi="Aptos"/>
          <w:spacing w:val="-2"/>
          <w:sz w:val="24"/>
        </w:rPr>
        <w:t xml:space="preserve"> </w:t>
      </w:r>
      <w:r>
        <w:rPr>
          <w:rFonts w:ascii="Arial;Helvetica;sans-serif" w:hAnsi="Arial;Helvetica;sans-serif"/>
          <w:sz w:val="20"/>
        </w:rPr>
        <w:t>hereof</w:t>
      </w:r>
      <w:r>
        <w:rPr>
          <w:rFonts w:ascii="Aptos" w:hAnsi="Aptos"/>
          <w:spacing w:val="-2"/>
          <w:sz w:val="24"/>
        </w:rPr>
        <w:t xml:space="preserve"> </w:t>
      </w:r>
      <w:r>
        <w:rPr>
          <w:rFonts w:ascii="Arial;Helvetica;sans-serif" w:hAnsi="Arial;Helvetica;sans-serif"/>
          <w:sz w:val="20"/>
        </w:rPr>
        <w:t>or</w:t>
      </w:r>
      <w:r>
        <w:rPr>
          <w:rFonts w:ascii="Aptos" w:hAnsi="Aptos"/>
          <w:spacing w:val="-2"/>
          <w:sz w:val="24"/>
        </w:rPr>
        <w:t xml:space="preserve"> </w:t>
      </w:r>
      <w:r>
        <w:rPr>
          <w:rFonts w:ascii="Arial;Helvetica;sans-serif" w:hAnsi="Arial;Helvetica;sans-serif"/>
          <w:sz w:val="20"/>
        </w:rPr>
        <w:t>immediately</w:t>
      </w:r>
      <w:r>
        <w:rPr>
          <w:rFonts w:ascii="Aptos" w:hAnsi="Aptos"/>
          <w:spacing w:val="-2"/>
          <w:sz w:val="24"/>
        </w:rPr>
        <w:t xml:space="preserve"> </w:t>
      </w:r>
      <w:r>
        <w:rPr>
          <w:rFonts w:ascii="Arial;Helvetica;sans-serif" w:hAnsi="Arial;Helvetica;sans-serif"/>
          <w:sz w:val="20"/>
        </w:rPr>
        <w:t>prior</w:t>
      </w:r>
      <w:r>
        <w:rPr>
          <w:rFonts w:ascii="Aptos" w:hAnsi="Aptos"/>
          <w:spacing w:val="-2"/>
          <w:sz w:val="24"/>
        </w:rPr>
        <w:t xml:space="preserve"> </w:t>
      </w:r>
      <w:r>
        <w:rPr>
          <w:rFonts w:ascii="Arial;Helvetica;sans-serif" w:hAnsi="Arial;Helvetica;sans-serif"/>
          <w:sz w:val="20"/>
        </w:rPr>
        <w:t>to</w:t>
      </w:r>
      <w:r>
        <w:rPr>
          <w:rFonts w:ascii="Aptos" w:hAnsi="Aptos"/>
          <w:spacing w:val="-2"/>
          <w:sz w:val="24"/>
        </w:rPr>
        <w:t xml:space="preserve"> </w:t>
      </w:r>
      <w:r>
        <w:rPr>
          <w:rFonts w:ascii="Arial;Helvetica;sans-serif" w:hAnsi="Arial;Helvetica;sans-serif"/>
          <w:sz w:val="20"/>
        </w:rPr>
        <w:t>a</w:t>
      </w:r>
      <w:r>
        <w:rPr>
          <w:rFonts w:ascii="Aptos" w:hAnsi="Aptos"/>
          <w:spacing w:val="-2"/>
          <w:sz w:val="24"/>
        </w:rPr>
        <w:t xml:space="preserve"> </w:t>
      </w:r>
      <w:r>
        <w:rPr>
          <w:rFonts w:ascii="Arial;Helvetica;sans-serif" w:hAnsi="Arial;Helvetica;sans-serif"/>
          <w:sz w:val="20"/>
        </w:rPr>
        <w:t>Change</w:t>
      </w:r>
      <w:r>
        <w:rPr>
          <w:rFonts w:ascii="Aptos" w:hAnsi="Aptos"/>
          <w:spacing w:val="-2"/>
          <w:sz w:val="24"/>
        </w:rPr>
        <w:t xml:space="preserve"> </w:t>
      </w:r>
      <w:r>
        <w:rPr>
          <w:rFonts w:ascii="Arial;Helvetica;sans-serif" w:hAnsi="Arial;Helvetica;sans-serif"/>
          <w:sz w:val="20"/>
        </w:rPr>
        <w:t>in</w:t>
      </w:r>
      <w:r>
        <w:rPr>
          <w:rFonts w:ascii="Aptos" w:hAnsi="Aptos"/>
          <w:spacing w:val="-2"/>
          <w:sz w:val="24"/>
        </w:rPr>
        <w:t xml:space="preserve"> </w:t>
      </w:r>
      <w:r>
        <w:rPr>
          <w:rFonts w:ascii="Arial;Helvetica;sans-serif" w:hAnsi="Arial;Helvetica;sans-serif"/>
          <w:sz w:val="20"/>
        </w:rPr>
        <w:t>Control</w:t>
      </w:r>
      <w:r>
        <w:rPr>
          <w:rFonts w:ascii="Aptos" w:hAnsi="Aptos"/>
          <w:spacing w:val="-2"/>
          <w:sz w:val="24"/>
        </w:rPr>
        <w:t xml:space="preserve"> </w:t>
      </w:r>
      <w:r>
        <w:rPr>
          <w:rFonts w:ascii="Arial;Helvetica;sans-serif" w:hAnsi="Arial;Helvetica;sans-serif"/>
          <w:sz w:val="20"/>
        </w:rPr>
        <w:t>event,</w:t>
      </w:r>
      <w:r>
        <w:rPr>
          <w:rFonts w:ascii="Aptos" w:hAnsi="Aptos"/>
          <w:spacing w:val="-2"/>
          <w:sz w:val="24"/>
        </w:rPr>
        <w:t xml:space="preserve"> </w:t>
      </w:r>
      <w:r>
        <w:rPr>
          <w:rFonts w:ascii="Arial;Helvetica;sans-serif" w:hAnsi="Arial;Helvetica;sans-serif"/>
          <w:sz w:val="20"/>
        </w:rPr>
        <w:t>as</w:t>
      </w:r>
      <w:r>
        <w:rPr>
          <w:rFonts w:ascii="Aptos" w:hAnsi="Aptos"/>
          <w:spacing w:val="-2"/>
          <w:sz w:val="24"/>
        </w:rPr>
        <w:t xml:space="preserve"> </w:t>
      </w:r>
      <w:r>
        <w:rPr>
          <w:rFonts w:ascii="Arial;Helvetica;sans-serif" w:hAnsi="Arial;Helvetica;sans-serif"/>
          <w:sz w:val="20"/>
        </w:rPr>
        <w:t>the case may be. Notwithstanding anything in this provision to the contrary, a change in the compensation structure that is consistent with prevailing market trends, as supported by an independent report of a qualified compensation advisor to the Compensation Committee of the Board, the Company or its successor, shall not give rise to a 'constructive termination' or 'termination for good reason' claim.</w:t>
      </w:r>
    </w:p>
    <w:p>
      <w:pPr>
        <w:pStyle w:val="TextBody"/>
        <w:bidi w:val="0"/>
        <w:spacing w:lineRule="auto" w:line="285" w:before="201" w:after="283"/>
        <w:ind w:left="720" w:right="406" w:hanging="0"/>
        <w:jc w:val="left"/>
        <w:rPr>
          <w:rFonts w:ascii="Aptos" w:hAnsi="Aptos"/>
          <w:sz w:val="24"/>
        </w:rPr>
      </w:pPr>
      <w:r>
        <w:rPr>
          <w:rFonts w:ascii="Arial;Helvetica;sans-serif" w:hAnsi="Arial;Helvetica;sans-serif"/>
          <w:sz w:val="20"/>
        </w:rPr>
        <w:t>(iii)</w:t>
      </w:r>
      <w:r>
        <w:rPr>
          <w:rFonts w:ascii="Arial;Helvetica;sans-serif" w:hAnsi="Arial;Helvetica;sans-serif"/>
          <w:sz w:val="20"/>
          <w:u w:val="single"/>
        </w:rPr>
        <w:t>Change</w:t>
      </w:r>
      <w:r>
        <w:rPr>
          <w:rFonts w:ascii="Aptos" w:hAnsi="Aptos"/>
          <w:spacing w:val="-3"/>
          <w:sz w:val="24"/>
          <w:u w:val="single"/>
        </w:rPr>
        <w:t xml:space="preserve"> </w:t>
      </w:r>
      <w:r>
        <w:rPr>
          <w:rFonts w:ascii="Arial;Helvetica;sans-serif" w:hAnsi="Arial;Helvetica;sans-serif"/>
          <w:sz w:val="20"/>
          <w:u w:val="single"/>
        </w:rPr>
        <w:t>in</w:t>
      </w:r>
      <w:r>
        <w:rPr>
          <w:rFonts w:ascii="Aptos" w:hAnsi="Aptos"/>
          <w:spacing w:val="-3"/>
          <w:sz w:val="24"/>
          <w:u w:val="single"/>
        </w:rPr>
        <w:t xml:space="preserve"> </w:t>
      </w:r>
      <w:r>
        <w:rPr>
          <w:rFonts w:ascii="Arial;Helvetica;sans-serif" w:hAnsi="Arial;Helvetica;sans-serif"/>
          <w:sz w:val="20"/>
          <w:u w:val="single"/>
        </w:rPr>
        <w:t>Location.</w:t>
      </w:r>
      <w:r>
        <w:rPr>
          <w:rFonts w:ascii="Aptos" w:hAnsi="Aptos"/>
          <w:spacing w:val="-2"/>
          <w:sz w:val="24"/>
        </w:rPr>
        <w:t xml:space="preserve"> </w:t>
      </w:r>
      <w:r>
        <w:rPr>
          <w:rFonts w:ascii="Arial;Helvetica;sans-serif" w:hAnsi="Arial;Helvetica;sans-serif"/>
          <w:sz w:val="20"/>
        </w:rPr>
        <w:t>Any</w:t>
      </w:r>
      <w:r>
        <w:rPr>
          <w:rFonts w:ascii="Aptos" w:hAnsi="Aptos"/>
          <w:spacing w:val="-3"/>
          <w:sz w:val="24"/>
        </w:rPr>
        <w:t xml:space="preserve"> </w:t>
      </w:r>
      <w:r>
        <w:rPr>
          <w:rFonts w:ascii="Arial;Helvetica;sans-serif" w:hAnsi="Arial;Helvetica;sans-serif"/>
          <w:sz w:val="20"/>
        </w:rPr>
        <w:t>requirement</w:t>
      </w:r>
      <w:r>
        <w:rPr>
          <w:rFonts w:ascii="Aptos" w:hAnsi="Aptos"/>
          <w:spacing w:val="-3"/>
          <w:sz w:val="24"/>
        </w:rPr>
        <w:t xml:space="preserve"> </w:t>
      </w:r>
      <w:r>
        <w:rPr>
          <w:rFonts w:ascii="Arial;Helvetica;sans-serif" w:hAnsi="Arial;Helvetica;sans-serif"/>
          <w:sz w:val="20"/>
        </w:rPr>
        <w:t>of</w:t>
      </w:r>
      <w:r>
        <w:rPr>
          <w:rFonts w:ascii="Aptos" w:hAnsi="Aptos"/>
          <w:spacing w:val="-3"/>
          <w:sz w:val="24"/>
        </w:rPr>
        <w:t xml:space="preserve"> </w:t>
      </w:r>
      <w:r>
        <w:rPr>
          <w:rFonts w:ascii="Arial;Helvetica;sans-serif" w:hAnsi="Arial;Helvetica;sans-serif"/>
          <w:sz w:val="20"/>
        </w:rPr>
        <w:t>the</w:t>
      </w:r>
      <w:r>
        <w:rPr>
          <w:rFonts w:ascii="Aptos" w:hAnsi="Aptos"/>
          <w:spacing w:val="-3"/>
          <w:sz w:val="24"/>
        </w:rPr>
        <w:t xml:space="preserve"> </w:t>
      </w:r>
      <w:r>
        <w:rPr>
          <w:rFonts w:ascii="Arial;Helvetica;sans-serif" w:hAnsi="Arial;Helvetica;sans-serif"/>
          <w:sz w:val="20"/>
        </w:rPr>
        <w:t>Company</w:t>
      </w:r>
      <w:r>
        <w:rPr>
          <w:rFonts w:ascii="Aptos" w:hAnsi="Aptos"/>
          <w:spacing w:val="-3"/>
          <w:sz w:val="24"/>
        </w:rPr>
        <w:t xml:space="preserve"> </w:t>
      </w:r>
      <w:r>
        <w:rPr>
          <w:rFonts w:ascii="Arial;Helvetica;sans-serif" w:hAnsi="Arial;Helvetica;sans-serif"/>
          <w:sz w:val="20"/>
        </w:rPr>
        <w:t>or</w:t>
      </w:r>
      <w:r>
        <w:rPr>
          <w:rFonts w:ascii="Aptos" w:hAnsi="Aptos"/>
          <w:spacing w:val="-3"/>
          <w:sz w:val="24"/>
        </w:rPr>
        <w:t xml:space="preserve"> </w:t>
      </w:r>
      <w:r>
        <w:rPr>
          <w:rFonts w:ascii="Arial;Helvetica;sans-serif" w:hAnsi="Arial;Helvetica;sans-serif"/>
          <w:sz w:val="20"/>
        </w:rPr>
        <w:t>successor</w:t>
      </w:r>
      <w:r>
        <w:rPr>
          <w:rFonts w:ascii="Aptos" w:hAnsi="Aptos"/>
          <w:spacing w:val="-3"/>
          <w:sz w:val="24"/>
        </w:rPr>
        <w:t xml:space="preserve"> </w:t>
      </w:r>
      <w:r>
        <w:rPr>
          <w:rFonts w:ascii="Arial;Helvetica;sans-serif" w:hAnsi="Arial;Helvetica;sans-serif"/>
          <w:sz w:val="20"/>
        </w:rPr>
        <w:t>that</w:t>
      </w:r>
      <w:r>
        <w:rPr>
          <w:rFonts w:ascii="Aptos" w:hAnsi="Aptos"/>
          <w:spacing w:val="-3"/>
          <w:sz w:val="24"/>
        </w:rPr>
        <w:t xml:space="preserve"> </w:t>
      </w:r>
      <w:r>
        <w:rPr>
          <w:rFonts w:ascii="Arial;Helvetica;sans-serif" w:hAnsi="Arial;Helvetica;sans-serif"/>
          <w:sz w:val="20"/>
        </w:rPr>
        <w:t>Executive</w:t>
      </w:r>
      <w:r>
        <w:rPr>
          <w:rFonts w:ascii="Aptos" w:hAnsi="Aptos"/>
          <w:spacing w:val="-3"/>
          <w:sz w:val="24"/>
        </w:rPr>
        <w:t xml:space="preserve"> </w:t>
      </w:r>
      <w:r>
        <w:rPr>
          <w:rFonts w:ascii="Arial;Helvetica;sans-serif" w:hAnsi="Arial;Helvetica;sans-serif"/>
          <w:sz w:val="20"/>
        </w:rPr>
        <w:t>be based anywhere more than within fifty (50) miles from the site where the Executive is located at the time of Effective Date (greater Denver metropolitan area, Colorado, U.S.A.) or the time of the Change in Control event.</w:t>
      </w:r>
    </w:p>
    <w:p>
      <w:pPr>
        <w:pStyle w:val="TextBody"/>
        <w:pBdr/>
        <w:bidi w:val="0"/>
        <w:spacing w:lineRule="auto" w:line="331" w:before="0" w:after="160"/>
        <w:ind w:left="360" w:right="0" w:hanging="360"/>
        <w:jc w:val="left"/>
        <w:rPr/>
      </w:pPr>
      <w:r>
        <w:rPr/>
        <w:t>​</w:t>
      </w:r>
    </w:p>
    <w:p>
      <w:pPr>
        <w:pStyle w:val="TextBody"/>
        <w:bidi w:val="0"/>
        <w:spacing w:lineRule="auto" w:line="285" w:before="0" w:after="0"/>
        <w:ind w:left="0" w:right="0" w:hanging="0"/>
        <w:jc w:val="right"/>
        <w:rPr>
          <w:rFonts w:ascii="Arial;Helvetica;sans-serif" w:hAnsi="Arial;Helvetica;sans-serif"/>
          <w:sz w:val="22"/>
        </w:rPr>
      </w:pPr>
      <w:r>
        <w:rPr>
          <w:rFonts w:ascii="Arial;Helvetica;sans-serif" w:hAnsi="Arial;Helvetica;sans-serif"/>
          <w:sz w:val="22"/>
        </w:rPr>
        <w:t xml:space="preserve">Page </w:t>
      </w:r>
      <w:r>
        <w:rPr>
          <w:rFonts w:ascii="Arial;Helvetica;sans-serif" w:hAnsi="Arial;Helvetica;sans-serif"/>
          <w:b/>
          <w:sz w:val="22"/>
        </w:rPr>
        <w:t>8</w:t>
      </w:r>
      <w:r>
        <w:rPr>
          <w:rFonts w:ascii="Arial;Helvetica;sans-serif" w:hAnsi="Arial;Helvetica;sans-serif"/>
          <w:sz w:val="22"/>
        </w:rPr>
        <w:t xml:space="preserve"> of </w:t>
      </w:r>
      <w:r>
        <w:rPr>
          <w:rFonts w:ascii="Arial;Helvetica;sans-serif" w:hAnsi="Arial;Helvetica;sans-serif"/>
          <w:b/>
          <w:sz w:val="22"/>
        </w:rPr>
        <w:t>15</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ind w:left="720" w:right="659" w:hanging="0"/>
        <w:jc w:val="left"/>
        <w:rPr>
          <w:rFonts w:ascii="Aptos" w:hAnsi="Aptos"/>
          <w:sz w:val="24"/>
        </w:rPr>
      </w:pPr>
      <w:r>
        <w:rPr>
          <w:rFonts w:ascii="Arial;Helvetica;sans-serif" w:hAnsi="Arial;Helvetica;sans-serif"/>
          <w:sz w:val="20"/>
        </w:rPr>
        <w:t>(iv)</w:t>
      </w:r>
      <w:r>
        <w:rPr>
          <w:rFonts w:ascii="Arial;Helvetica;sans-serif" w:hAnsi="Arial;Helvetica;sans-serif"/>
          <w:sz w:val="20"/>
          <w:u w:val="single"/>
        </w:rPr>
        <w:t>Failure to Cause Assumption of this Agreement</w:t>
      </w:r>
      <w:r>
        <w:rPr>
          <w:rFonts w:ascii="Arial;Helvetica;sans-serif" w:hAnsi="Arial;Helvetica;sans-serif"/>
          <w:b/>
          <w:sz w:val="20"/>
        </w:rPr>
        <w:t xml:space="preserve">. </w:t>
      </w:r>
      <w:r>
        <w:rPr>
          <w:rFonts w:ascii="Arial;Helvetica;sans-serif" w:hAnsi="Arial;Helvetica;sans-serif"/>
          <w:sz w:val="20"/>
        </w:rPr>
        <w:t>Failure of the Company or TTEC Parent</w:t>
      </w:r>
      <w:r>
        <w:rPr>
          <w:rFonts w:ascii="Aptos" w:hAnsi="Aptos"/>
          <w:spacing w:val="-3"/>
          <w:sz w:val="24"/>
        </w:rPr>
        <w:t xml:space="preserve"> </w:t>
      </w:r>
      <w:r>
        <w:rPr>
          <w:rFonts w:ascii="Arial;Helvetica;sans-serif" w:hAnsi="Arial;Helvetica;sans-serif"/>
          <w:sz w:val="20"/>
        </w:rPr>
        <w:t>to</w:t>
      </w:r>
      <w:r>
        <w:rPr>
          <w:rFonts w:ascii="Aptos" w:hAnsi="Aptos"/>
          <w:spacing w:val="-3"/>
          <w:sz w:val="24"/>
        </w:rPr>
        <w:t xml:space="preserve"> </w:t>
      </w:r>
      <w:r>
        <w:rPr>
          <w:rFonts w:ascii="Arial;Helvetica;sans-serif" w:hAnsi="Arial;Helvetica;sans-serif"/>
          <w:sz w:val="20"/>
        </w:rPr>
        <w:t>assign</w:t>
      </w:r>
      <w:r>
        <w:rPr>
          <w:rFonts w:ascii="Aptos" w:hAnsi="Aptos"/>
          <w:spacing w:val="-3"/>
          <w:sz w:val="24"/>
        </w:rPr>
        <w:t xml:space="preserve"> </w:t>
      </w:r>
      <w:r>
        <w:rPr>
          <w:rFonts w:ascii="Arial;Helvetica;sans-serif" w:hAnsi="Arial;Helvetica;sans-serif"/>
          <w:sz w:val="20"/>
        </w:rPr>
        <w:t>and</w:t>
      </w:r>
      <w:r>
        <w:rPr>
          <w:rFonts w:ascii="Aptos" w:hAnsi="Aptos"/>
          <w:spacing w:val="-3"/>
          <w:sz w:val="24"/>
        </w:rPr>
        <w:t xml:space="preserve"> </w:t>
      </w:r>
      <w:r>
        <w:rPr>
          <w:rFonts w:ascii="Arial;Helvetica;sans-serif" w:hAnsi="Arial;Helvetica;sans-serif"/>
          <w:sz w:val="20"/>
        </w:rPr>
        <w:t>obtain</w:t>
      </w:r>
      <w:r>
        <w:rPr>
          <w:rFonts w:ascii="Aptos" w:hAnsi="Aptos"/>
          <w:spacing w:val="-3"/>
          <w:sz w:val="24"/>
        </w:rPr>
        <w:t xml:space="preserve"> </w:t>
      </w:r>
      <w:r>
        <w:rPr>
          <w:rFonts w:ascii="Arial;Helvetica;sans-serif" w:hAnsi="Arial;Helvetica;sans-serif"/>
          <w:sz w:val="20"/>
        </w:rPr>
        <w:t>the</w:t>
      </w:r>
      <w:r>
        <w:rPr>
          <w:rFonts w:ascii="Aptos" w:hAnsi="Aptos"/>
          <w:spacing w:val="-3"/>
          <w:sz w:val="24"/>
        </w:rPr>
        <w:t xml:space="preserve"> </w:t>
      </w:r>
      <w:r>
        <w:rPr>
          <w:rFonts w:ascii="Arial;Helvetica;sans-serif" w:hAnsi="Arial;Helvetica;sans-serif"/>
          <w:sz w:val="20"/>
        </w:rPr>
        <w:t>assumption</w:t>
      </w:r>
      <w:r>
        <w:rPr>
          <w:rFonts w:ascii="Aptos" w:hAnsi="Aptos"/>
          <w:spacing w:val="-3"/>
          <w:sz w:val="24"/>
        </w:rPr>
        <w:t xml:space="preserve"> </w:t>
      </w:r>
      <w:r>
        <w:rPr>
          <w:rFonts w:ascii="Arial;Helvetica;sans-serif" w:hAnsi="Arial;Helvetica;sans-serif"/>
          <w:sz w:val="20"/>
        </w:rPr>
        <w:t>of</w:t>
      </w:r>
      <w:r>
        <w:rPr>
          <w:rFonts w:ascii="Aptos" w:hAnsi="Aptos"/>
          <w:spacing w:val="-3"/>
          <w:sz w:val="24"/>
        </w:rPr>
        <w:t xml:space="preserve"> </w:t>
      </w:r>
      <w:r>
        <w:rPr>
          <w:rFonts w:ascii="Arial;Helvetica;sans-serif" w:hAnsi="Arial;Helvetica;sans-serif"/>
          <w:sz w:val="20"/>
        </w:rPr>
        <w:t>this</w:t>
      </w:r>
      <w:r>
        <w:rPr>
          <w:rFonts w:ascii="Aptos" w:hAnsi="Aptos"/>
          <w:spacing w:val="-3"/>
          <w:sz w:val="24"/>
        </w:rPr>
        <w:t xml:space="preserve"> </w:t>
      </w:r>
      <w:r>
        <w:rPr>
          <w:rFonts w:ascii="Arial;Helvetica;sans-serif" w:hAnsi="Arial;Helvetica;sans-serif"/>
          <w:sz w:val="20"/>
        </w:rPr>
        <w:t>Agreement</w:t>
      </w:r>
      <w:r>
        <w:rPr>
          <w:rFonts w:ascii="Aptos" w:hAnsi="Aptos"/>
          <w:spacing w:val="-3"/>
          <w:sz w:val="24"/>
        </w:rPr>
        <w:t xml:space="preserve"> </w:t>
      </w:r>
      <w:r>
        <w:rPr>
          <w:rFonts w:ascii="Arial;Helvetica;sans-serif" w:hAnsi="Arial;Helvetica;sans-serif"/>
          <w:sz w:val="20"/>
        </w:rPr>
        <w:t>from</w:t>
      </w:r>
      <w:r>
        <w:rPr>
          <w:rFonts w:ascii="Aptos" w:hAnsi="Aptos"/>
          <w:spacing w:val="-4"/>
          <w:sz w:val="24"/>
        </w:rPr>
        <w:t xml:space="preserve"> </w:t>
      </w:r>
      <w:r>
        <w:rPr>
          <w:rFonts w:ascii="Arial;Helvetica;sans-serif" w:hAnsi="Arial;Helvetica;sans-serif"/>
          <w:sz w:val="20"/>
        </w:rPr>
        <w:t>any</w:t>
      </w:r>
      <w:r>
        <w:rPr>
          <w:rFonts w:ascii="Aptos" w:hAnsi="Aptos"/>
          <w:spacing w:val="-3"/>
          <w:sz w:val="24"/>
        </w:rPr>
        <w:t xml:space="preserve"> </w:t>
      </w:r>
      <w:r>
        <w:rPr>
          <w:rFonts w:ascii="Arial;Helvetica;sans-serif" w:hAnsi="Arial;Helvetica;sans-serif"/>
          <w:sz w:val="20"/>
        </w:rPr>
        <w:t>successor</w:t>
      </w:r>
      <w:r>
        <w:rPr>
          <w:rFonts w:ascii="Aptos" w:hAnsi="Aptos"/>
          <w:spacing w:val="-3"/>
          <w:sz w:val="24"/>
        </w:rPr>
        <w:t xml:space="preserve"> </w:t>
      </w:r>
      <w:r>
        <w:rPr>
          <w:rFonts w:ascii="Arial;Helvetica;sans-serif" w:hAnsi="Arial;Helvetica;sans-serif"/>
          <w:sz w:val="20"/>
        </w:rPr>
        <w:t>in</w:t>
      </w:r>
      <w:r>
        <w:rPr>
          <w:rFonts w:ascii="Aptos" w:hAnsi="Aptos"/>
          <w:spacing w:val="-3"/>
          <w:sz w:val="24"/>
        </w:rPr>
        <w:t xml:space="preserve"> </w:t>
      </w:r>
      <w:r>
        <w:rPr>
          <w:rFonts w:ascii="Arial;Helvetica;sans-serif" w:hAnsi="Arial;Helvetica;sans-serif"/>
          <w:sz w:val="20"/>
        </w:rPr>
        <w:t>case</w:t>
      </w:r>
      <w:r>
        <w:rPr>
          <w:rFonts w:ascii="Aptos" w:hAnsi="Aptos"/>
          <w:spacing w:val="-3"/>
          <w:sz w:val="24"/>
        </w:rPr>
        <w:t xml:space="preserve"> </w:t>
      </w:r>
      <w:r>
        <w:rPr>
          <w:rFonts w:ascii="Arial;Helvetica;sans-serif" w:hAnsi="Arial;Helvetica;sans-serif"/>
          <w:sz w:val="20"/>
        </w:rPr>
        <w:t>of</w:t>
      </w:r>
      <w:r>
        <w:rPr>
          <w:rFonts w:ascii="Aptos" w:hAnsi="Aptos"/>
          <w:spacing w:val="-3"/>
          <w:sz w:val="24"/>
        </w:rPr>
        <w:t xml:space="preserve"> </w:t>
      </w:r>
      <w:r>
        <w:rPr>
          <w:rFonts w:ascii="Arial;Helvetica;sans-serif" w:hAnsi="Arial;Helvetica;sans-serif"/>
          <w:sz w:val="20"/>
        </w:rPr>
        <w:t>a Change in Control event.</w:t>
      </w:r>
    </w:p>
    <w:p>
      <w:pPr>
        <w:pStyle w:val="TextBody"/>
        <w:bidi w:val="0"/>
        <w:spacing w:lineRule="auto" w:line="285" w:before="198" w:after="0"/>
        <w:ind w:left="360" w:right="386" w:hanging="0"/>
        <w:jc w:val="left"/>
        <w:rPr>
          <w:rFonts w:ascii="Aptos" w:hAnsi="Aptos"/>
          <w:sz w:val="20"/>
        </w:rPr>
      </w:pPr>
      <w:r>
        <w:rPr>
          <w:rFonts w:ascii="Arial;Helvetica;sans-serif" w:hAnsi="Arial;Helvetica;sans-serif"/>
          <w:sz w:val="20"/>
        </w:rPr>
        <w:t>An</w:t>
      </w:r>
      <w:r>
        <w:rPr>
          <w:rFonts w:ascii="Aptos" w:hAnsi="Aptos"/>
          <w:spacing w:val="-3"/>
          <w:sz w:val="20"/>
        </w:rPr>
        <w:t xml:space="preserve"> </w:t>
      </w:r>
      <w:r>
        <w:rPr>
          <w:rFonts w:ascii="Arial;Helvetica;sans-serif" w:hAnsi="Arial;Helvetica;sans-serif"/>
          <w:sz w:val="20"/>
        </w:rPr>
        <w:t>action</w:t>
      </w:r>
      <w:r>
        <w:rPr>
          <w:rFonts w:ascii="Aptos" w:hAnsi="Aptos"/>
          <w:spacing w:val="-3"/>
          <w:sz w:val="20"/>
        </w:rPr>
        <w:t xml:space="preserve"> </w:t>
      </w:r>
      <w:r>
        <w:rPr>
          <w:rFonts w:ascii="Arial;Helvetica;sans-serif" w:hAnsi="Arial;Helvetica;sans-serif"/>
          <w:sz w:val="20"/>
        </w:rPr>
        <w:t>taken</w:t>
      </w:r>
      <w:r>
        <w:rPr>
          <w:rFonts w:ascii="Aptos" w:hAnsi="Aptos"/>
          <w:spacing w:val="-3"/>
          <w:sz w:val="20"/>
        </w:rPr>
        <w:t xml:space="preserve"> </w:t>
      </w:r>
      <w:r>
        <w:rPr>
          <w:rFonts w:ascii="Arial;Helvetica;sans-serif" w:hAnsi="Arial;Helvetica;sans-serif"/>
          <w:sz w:val="20"/>
        </w:rPr>
        <w:t>in</w:t>
      </w:r>
      <w:r>
        <w:rPr>
          <w:rFonts w:ascii="Aptos" w:hAnsi="Aptos"/>
          <w:spacing w:val="-3"/>
          <w:sz w:val="20"/>
        </w:rPr>
        <w:t xml:space="preserve"> </w:t>
      </w:r>
      <w:r>
        <w:rPr>
          <w:rFonts w:ascii="Arial;Helvetica;sans-serif" w:hAnsi="Arial;Helvetica;sans-serif"/>
          <w:sz w:val="20"/>
        </w:rPr>
        <w:t>good</w:t>
      </w:r>
      <w:r>
        <w:rPr>
          <w:rFonts w:ascii="Aptos" w:hAnsi="Aptos"/>
          <w:spacing w:val="-3"/>
          <w:sz w:val="20"/>
        </w:rPr>
        <w:t xml:space="preserve"> </w:t>
      </w:r>
      <w:r>
        <w:rPr>
          <w:rFonts w:ascii="Arial;Helvetica;sans-serif" w:hAnsi="Arial;Helvetica;sans-serif"/>
          <w:sz w:val="20"/>
        </w:rPr>
        <w:t>faith,</w:t>
      </w:r>
      <w:r>
        <w:rPr>
          <w:rFonts w:ascii="Aptos" w:hAnsi="Aptos"/>
          <w:spacing w:val="-3"/>
          <w:sz w:val="20"/>
        </w:rPr>
        <w:t xml:space="preserve"> </w:t>
      </w:r>
      <w:r>
        <w:rPr>
          <w:rFonts w:ascii="Arial;Helvetica;sans-serif" w:hAnsi="Arial;Helvetica;sans-serif"/>
          <w:sz w:val="20"/>
        </w:rPr>
        <w:t>and</w:t>
      </w:r>
      <w:r>
        <w:rPr>
          <w:rFonts w:ascii="Aptos" w:hAnsi="Aptos"/>
          <w:spacing w:val="-3"/>
          <w:sz w:val="20"/>
        </w:rPr>
        <w:t xml:space="preserve"> </w:t>
      </w:r>
      <w:r>
        <w:rPr>
          <w:rFonts w:ascii="Arial;Helvetica;sans-serif" w:hAnsi="Arial;Helvetica;sans-serif"/>
          <w:sz w:val="20"/>
        </w:rPr>
        <w:t>which</w:t>
      </w:r>
      <w:r>
        <w:rPr>
          <w:rFonts w:ascii="Aptos" w:hAnsi="Aptos"/>
          <w:spacing w:val="-3"/>
          <w:sz w:val="20"/>
        </w:rPr>
        <w:t xml:space="preserve"> </w:t>
      </w:r>
      <w:r>
        <w:rPr>
          <w:rFonts w:ascii="Arial;Helvetica;sans-serif" w:hAnsi="Arial;Helvetica;sans-serif"/>
          <w:sz w:val="20"/>
        </w:rPr>
        <w:t>is</w:t>
      </w:r>
      <w:r>
        <w:rPr>
          <w:rFonts w:ascii="Aptos" w:hAnsi="Aptos"/>
          <w:spacing w:val="-3"/>
          <w:sz w:val="20"/>
        </w:rPr>
        <w:t xml:space="preserve"> </w:t>
      </w:r>
      <w:r>
        <w:rPr>
          <w:rFonts w:ascii="Arial;Helvetica;sans-serif" w:hAnsi="Arial;Helvetica;sans-serif"/>
          <w:sz w:val="20"/>
        </w:rPr>
        <w:t>remedied</w:t>
      </w:r>
      <w:r>
        <w:rPr>
          <w:rFonts w:ascii="Aptos" w:hAnsi="Aptos"/>
          <w:spacing w:val="-3"/>
          <w:sz w:val="20"/>
        </w:rPr>
        <w:t xml:space="preserve"> </w:t>
      </w:r>
      <w:r>
        <w:rPr>
          <w:rFonts w:ascii="Arial;Helvetica;sans-serif" w:hAnsi="Arial;Helvetica;sans-serif"/>
          <w:sz w:val="20"/>
        </w:rPr>
        <w:t>by</w:t>
      </w:r>
      <w:r>
        <w:rPr>
          <w:rFonts w:ascii="Aptos" w:hAnsi="Aptos"/>
          <w:spacing w:val="-3"/>
          <w:sz w:val="20"/>
        </w:rPr>
        <w:t xml:space="preserve"> </w:t>
      </w:r>
      <w:r>
        <w:rPr>
          <w:rFonts w:ascii="Arial;Helvetica;sans-serif" w:hAnsi="Arial;Helvetica;sans-serif"/>
          <w:sz w:val="20"/>
        </w:rPr>
        <w:t>TTEC</w:t>
      </w:r>
      <w:r>
        <w:rPr>
          <w:rFonts w:ascii="Aptos" w:hAnsi="Aptos"/>
          <w:spacing w:val="-4"/>
          <w:sz w:val="20"/>
        </w:rPr>
        <w:t xml:space="preserve"> </w:t>
      </w:r>
      <w:r>
        <w:rPr>
          <w:rFonts w:ascii="Arial;Helvetica;sans-serif" w:hAnsi="Arial;Helvetica;sans-serif"/>
          <w:sz w:val="20"/>
        </w:rPr>
        <w:t>Parent</w:t>
      </w:r>
      <w:r>
        <w:rPr>
          <w:rFonts w:ascii="Aptos" w:hAnsi="Aptos"/>
          <w:spacing w:val="-3"/>
          <w:sz w:val="20"/>
        </w:rPr>
        <w:t xml:space="preserve"> </w:t>
      </w:r>
      <w:r>
        <w:rPr>
          <w:rFonts w:ascii="Arial;Helvetica;sans-serif" w:hAnsi="Arial;Helvetica;sans-serif"/>
          <w:sz w:val="20"/>
        </w:rPr>
        <w:t>or</w:t>
      </w:r>
      <w:r>
        <w:rPr>
          <w:rFonts w:ascii="Aptos" w:hAnsi="Aptos"/>
          <w:spacing w:val="-3"/>
          <w:sz w:val="20"/>
        </w:rPr>
        <w:t xml:space="preserve"> </w:t>
      </w:r>
      <w:r>
        <w:rPr>
          <w:rFonts w:ascii="Arial;Helvetica;sans-serif" w:hAnsi="Arial;Helvetica;sans-serif"/>
          <w:sz w:val="20"/>
        </w:rPr>
        <w:t>successor</w:t>
      </w:r>
      <w:r>
        <w:rPr>
          <w:rFonts w:ascii="Aptos" w:hAnsi="Aptos"/>
          <w:spacing w:val="-3"/>
          <w:sz w:val="20"/>
        </w:rPr>
        <w:t xml:space="preserve"> </w:t>
      </w:r>
      <w:r>
        <w:rPr>
          <w:rFonts w:ascii="Arial;Helvetica;sans-serif" w:hAnsi="Arial;Helvetica;sans-serif"/>
          <w:sz w:val="20"/>
        </w:rPr>
        <w:t>within</w:t>
      </w:r>
      <w:r>
        <w:rPr>
          <w:rFonts w:ascii="Aptos" w:hAnsi="Aptos"/>
          <w:spacing w:val="-3"/>
          <w:sz w:val="20"/>
        </w:rPr>
        <w:t xml:space="preserve"> </w:t>
      </w:r>
      <w:r>
        <w:rPr>
          <w:rFonts w:ascii="Arial;Helvetica;sans-serif" w:hAnsi="Arial;Helvetica;sans-serif"/>
          <w:sz w:val="20"/>
        </w:rPr>
        <w:t>fifteen</w:t>
      </w:r>
      <w:r>
        <w:rPr>
          <w:rFonts w:ascii="Aptos" w:hAnsi="Aptos"/>
          <w:spacing w:val="-3"/>
          <w:sz w:val="20"/>
        </w:rPr>
        <w:t xml:space="preserve"> </w:t>
      </w:r>
      <w:r>
        <w:rPr>
          <w:rFonts w:ascii="Arial;Helvetica;sans-serif" w:hAnsi="Arial;Helvetica;sans-serif"/>
          <w:sz w:val="20"/>
        </w:rPr>
        <w:t>(15) calendar days after receipt of the Executive's notice thereof shall not constitute Good Reason or Constructive Termination under this Agreement. Executive must provide notice of termination of employment</w:t>
      </w:r>
      <w:r>
        <w:rPr>
          <w:rFonts w:ascii="Aptos" w:hAnsi="Aptos"/>
          <w:spacing w:val="-3"/>
          <w:sz w:val="20"/>
        </w:rPr>
        <w:t xml:space="preserve"> </w:t>
      </w:r>
      <w:r>
        <w:rPr>
          <w:rFonts w:ascii="Arial;Helvetica;sans-serif" w:hAnsi="Arial;Helvetica;sans-serif"/>
          <w:sz w:val="20"/>
        </w:rPr>
        <w:t>within</w:t>
      </w:r>
      <w:r>
        <w:rPr>
          <w:rFonts w:ascii="Aptos" w:hAnsi="Aptos"/>
          <w:spacing w:val="-3"/>
          <w:sz w:val="20"/>
        </w:rPr>
        <w:t xml:space="preserve"> </w:t>
      </w:r>
      <w:r>
        <w:rPr>
          <w:rFonts w:ascii="Arial;Helvetica;sans-serif" w:hAnsi="Arial;Helvetica;sans-serif"/>
          <w:sz w:val="20"/>
        </w:rPr>
        <w:t>thirty</w:t>
      </w:r>
      <w:r>
        <w:rPr>
          <w:rFonts w:ascii="Aptos" w:hAnsi="Aptos"/>
          <w:spacing w:val="-3"/>
          <w:sz w:val="20"/>
        </w:rPr>
        <w:t xml:space="preserve"> </w:t>
      </w:r>
      <w:r>
        <w:rPr>
          <w:rFonts w:ascii="Arial;Helvetica;sans-serif" w:hAnsi="Arial;Helvetica;sans-serif"/>
          <w:sz w:val="20"/>
        </w:rPr>
        <w:t>(30)</w:t>
      </w:r>
      <w:r>
        <w:rPr>
          <w:rFonts w:ascii="Aptos" w:hAnsi="Aptos"/>
          <w:spacing w:val="-3"/>
          <w:sz w:val="20"/>
        </w:rPr>
        <w:t xml:space="preserve"> </w:t>
      </w:r>
      <w:r>
        <w:rPr>
          <w:rFonts w:ascii="Arial;Helvetica;sans-serif" w:hAnsi="Arial;Helvetica;sans-serif"/>
          <w:sz w:val="20"/>
        </w:rPr>
        <w:t>calendar</w:t>
      </w:r>
      <w:r>
        <w:rPr>
          <w:rFonts w:ascii="Aptos" w:hAnsi="Aptos"/>
          <w:spacing w:val="-3"/>
          <w:sz w:val="20"/>
        </w:rPr>
        <w:t xml:space="preserve"> </w:t>
      </w:r>
      <w:r>
        <w:rPr>
          <w:rFonts w:ascii="Arial;Helvetica;sans-serif" w:hAnsi="Arial;Helvetica;sans-serif"/>
          <w:sz w:val="20"/>
        </w:rPr>
        <w:t>days</w:t>
      </w:r>
      <w:r>
        <w:rPr>
          <w:rFonts w:ascii="Aptos" w:hAnsi="Aptos"/>
          <w:spacing w:val="-3"/>
          <w:sz w:val="20"/>
        </w:rPr>
        <w:t xml:space="preserve"> </w:t>
      </w:r>
      <w:r>
        <w:rPr>
          <w:rFonts w:ascii="Arial;Helvetica;sans-serif" w:hAnsi="Arial;Helvetica;sans-serif"/>
          <w:sz w:val="20"/>
        </w:rPr>
        <w:t>of</w:t>
      </w:r>
      <w:r>
        <w:rPr>
          <w:rFonts w:ascii="Aptos" w:hAnsi="Aptos"/>
          <w:spacing w:val="-3"/>
          <w:sz w:val="20"/>
        </w:rPr>
        <w:t xml:space="preserve"> </w:t>
      </w:r>
      <w:r>
        <w:rPr>
          <w:rFonts w:ascii="Arial;Helvetica;sans-serif" w:hAnsi="Arial;Helvetica;sans-serif"/>
          <w:sz w:val="20"/>
        </w:rPr>
        <w:t>Executive's</w:t>
      </w:r>
      <w:r>
        <w:rPr>
          <w:rFonts w:ascii="Aptos" w:hAnsi="Aptos"/>
          <w:spacing w:val="-3"/>
          <w:sz w:val="20"/>
        </w:rPr>
        <w:t xml:space="preserve"> </w:t>
      </w:r>
      <w:r>
        <w:rPr>
          <w:rFonts w:ascii="Arial;Helvetica;sans-serif" w:hAnsi="Arial;Helvetica;sans-serif"/>
          <w:sz w:val="20"/>
        </w:rPr>
        <w:t>knowledge</w:t>
      </w:r>
      <w:r>
        <w:rPr>
          <w:rFonts w:ascii="Aptos" w:hAnsi="Aptos"/>
          <w:spacing w:val="-3"/>
          <w:sz w:val="20"/>
        </w:rPr>
        <w:t xml:space="preserve"> </w:t>
      </w:r>
      <w:r>
        <w:rPr>
          <w:rFonts w:ascii="Arial;Helvetica;sans-serif" w:hAnsi="Arial;Helvetica;sans-serif"/>
          <w:sz w:val="20"/>
        </w:rPr>
        <w:t>of</w:t>
      </w:r>
      <w:r>
        <w:rPr>
          <w:rFonts w:ascii="Aptos" w:hAnsi="Aptos"/>
          <w:spacing w:val="-3"/>
          <w:sz w:val="20"/>
        </w:rPr>
        <w:t xml:space="preserve"> </w:t>
      </w:r>
      <w:r>
        <w:rPr>
          <w:rFonts w:ascii="Arial;Helvetica;sans-serif" w:hAnsi="Arial;Helvetica;sans-serif"/>
          <w:sz w:val="20"/>
        </w:rPr>
        <w:t>an</w:t>
      </w:r>
      <w:r>
        <w:rPr>
          <w:rFonts w:ascii="Aptos" w:hAnsi="Aptos"/>
          <w:spacing w:val="-3"/>
          <w:sz w:val="20"/>
        </w:rPr>
        <w:t xml:space="preserve"> </w:t>
      </w:r>
      <w:r>
        <w:rPr>
          <w:rFonts w:ascii="Arial;Helvetica;sans-serif" w:hAnsi="Arial;Helvetica;sans-serif"/>
          <w:sz w:val="20"/>
        </w:rPr>
        <w:t>event</w:t>
      </w:r>
      <w:r>
        <w:rPr>
          <w:rFonts w:ascii="Aptos" w:hAnsi="Aptos"/>
          <w:spacing w:val="-3"/>
          <w:sz w:val="20"/>
        </w:rPr>
        <w:t xml:space="preserve"> </w:t>
      </w:r>
      <w:r>
        <w:rPr>
          <w:rFonts w:ascii="Arial;Helvetica;sans-serif" w:hAnsi="Arial;Helvetica;sans-serif"/>
          <w:sz w:val="20"/>
        </w:rPr>
        <w:t>constituting</w:t>
      </w:r>
      <w:r>
        <w:rPr>
          <w:rFonts w:ascii="Aptos" w:hAnsi="Aptos"/>
          <w:spacing w:val="-3"/>
          <w:sz w:val="20"/>
        </w:rPr>
        <w:t xml:space="preserve"> </w:t>
      </w:r>
      <w:r>
        <w:rPr>
          <w:rFonts w:ascii="Arial;Helvetica;sans-serif" w:hAnsi="Arial;Helvetica;sans-serif"/>
          <w:sz w:val="20"/>
        </w:rPr>
        <w:t xml:space="preserve">"Good Reason" or such event shall not constitute Good Reason or Constructive Termination under this </w:t>
      </w:r>
      <w:r>
        <w:rPr>
          <w:rFonts w:ascii="Arial;Helvetica;sans-serif" w:hAnsi="Arial;Helvetica;sans-serif"/>
          <w:spacing w:val="-2"/>
          <w:sz w:val="20"/>
        </w:rPr>
        <w:t>Agreement.</w:t>
      </w:r>
    </w:p>
    <w:tbl>
      <w:tblPr>
        <w:tblW w:w="6340" w:type="dxa"/>
        <w:jc w:val="left"/>
        <w:tblInd w:w="0" w:type="dxa"/>
        <w:tblLayout w:type="fixed"/>
        <w:tblCellMar>
          <w:top w:w="0" w:type="dxa"/>
          <w:left w:w="0" w:type="dxa"/>
          <w:bottom w:w="0" w:type="dxa"/>
          <w:right w:w="0" w:type="dxa"/>
        </w:tblCellMar>
      </w:tblPr>
      <w:tblGrid>
        <w:gridCol w:w="185"/>
        <w:gridCol w:w="6155"/>
      </w:tblGrid>
      <w:tr>
        <w:trPr/>
        <w:tc>
          <w:tcPr>
            <w:tcW w:w="18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5.</w:t>
            </w:r>
          </w:p>
        </w:tc>
        <w:tc>
          <w:tcPr>
            <w:tcW w:w="6155" w:type="dxa"/>
            <w:tcBorders/>
            <w:vAlign w:val="center"/>
          </w:tcPr>
          <w:p>
            <w:pPr>
              <w:pStyle w:val="TableContents"/>
              <w:bidi w:val="0"/>
              <w:spacing w:before="0" w:after="283"/>
              <w:jc w:val="left"/>
              <w:rPr/>
            </w:pPr>
            <w:r>
              <w:rPr>
                <w:rFonts w:ascii="Arial;Helvetica;sans-serif" w:hAnsi="Arial;Helvetica;sans-serif"/>
                <w:b/>
                <w:i w:val="false"/>
                <w:caps w:val="false"/>
                <w:smallCaps w:val="false"/>
                <w:spacing w:val="-2"/>
                <w:sz w:val="20"/>
              </w:rPr>
              <w:t>NON-DISCLOSURE,</w:t>
            </w:r>
            <w:r>
              <w:rPr>
                <w:caps w:val="false"/>
                <w:smallCaps w:val="false"/>
                <w:spacing w:val="2"/>
              </w:rPr>
              <w:t xml:space="preserve"> </w:t>
            </w:r>
            <w:r>
              <w:rPr>
                <w:rFonts w:ascii="Arial;Helvetica;sans-serif" w:hAnsi="Arial;Helvetica;sans-serif"/>
                <w:b/>
                <w:i w:val="false"/>
                <w:caps w:val="false"/>
                <w:smallCaps w:val="false"/>
                <w:spacing w:val="-2"/>
                <w:sz w:val="20"/>
              </w:rPr>
              <w:t>NON-COMPETITION,</w:t>
            </w:r>
            <w:r>
              <w:rPr>
                <w:caps w:val="false"/>
                <w:smallCaps w:val="false"/>
                <w:spacing w:val="4"/>
              </w:rPr>
              <w:t xml:space="preserve"> </w:t>
            </w:r>
            <w:r>
              <w:rPr>
                <w:rFonts w:ascii="Arial;Helvetica;sans-serif" w:hAnsi="Arial;Helvetica;sans-serif"/>
                <w:b/>
                <w:i w:val="false"/>
                <w:caps w:val="false"/>
                <w:smallCaps w:val="false"/>
                <w:spacing w:val="-2"/>
                <w:sz w:val="20"/>
              </w:rPr>
              <w:t>AND</w:t>
            </w:r>
            <w:r>
              <w:rPr>
                <w:caps w:val="false"/>
                <w:smallCaps w:val="false"/>
                <w:spacing w:val="3"/>
              </w:rPr>
              <w:t xml:space="preserve"> </w:t>
            </w:r>
            <w:r>
              <w:rPr>
                <w:rFonts w:ascii="Arial;Helvetica;sans-serif" w:hAnsi="Arial;Helvetica;sans-serif"/>
                <w:b/>
                <w:i w:val="false"/>
                <w:caps w:val="false"/>
                <w:smallCaps w:val="false"/>
                <w:spacing w:val="-2"/>
                <w:sz w:val="20"/>
              </w:rPr>
              <w:t>NON-SOLICITATION.</w:t>
            </w:r>
          </w:p>
        </w:tc>
      </w:tr>
    </w:tbl>
    <w:p>
      <w:pPr>
        <w:pStyle w:val="TextBody"/>
        <w:bidi w:val="0"/>
        <w:spacing w:lineRule="auto" w:line="285" w:before="197" w:after="0"/>
        <w:ind w:left="360" w:right="341" w:hanging="0"/>
        <w:jc w:val="left"/>
        <w:rPr>
          <w:rFonts w:ascii="Aptos" w:hAnsi="Aptos"/>
          <w:sz w:val="20"/>
        </w:rPr>
      </w:pPr>
      <w:r>
        <w:rPr>
          <w:rFonts w:ascii="Arial;Helvetica;sans-serif" w:hAnsi="Arial;Helvetica;sans-serif"/>
          <w:sz w:val="20"/>
        </w:rPr>
        <w:t>As</w:t>
      </w:r>
      <w:r>
        <w:rPr>
          <w:rFonts w:ascii="Aptos" w:hAnsi="Aptos"/>
          <w:spacing w:val="-3"/>
          <w:sz w:val="20"/>
        </w:rPr>
        <w:t xml:space="preserve"> </w:t>
      </w:r>
      <w:r>
        <w:rPr>
          <w:rFonts w:ascii="Arial;Helvetica;sans-serif" w:hAnsi="Arial;Helvetica;sans-serif"/>
          <w:sz w:val="20"/>
        </w:rPr>
        <w:t>a</w:t>
      </w:r>
      <w:r>
        <w:rPr>
          <w:rFonts w:ascii="Aptos" w:hAnsi="Aptos"/>
          <w:spacing w:val="-3"/>
          <w:sz w:val="20"/>
        </w:rPr>
        <w:t xml:space="preserve"> </w:t>
      </w:r>
      <w:r>
        <w:rPr>
          <w:rFonts w:ascii="Arial;Helvetica;sans-serif" w:hAnsi="Arial;Helvetica;sans-serif"/>
          <w:sz w:val="20"/>
        </w:rPr>
        <w:t>senior</w:t>
      </w:r>
      <w:r>
        <w:rPr>
          <w:rFonts w:ascii="Aptos" w:hAnsi="Aptos"/>
          <w:spacing w:val="-3"/>
          <w:sz w:val="20"/>
        </w:rPr>
        <w:t xml:space="preserve"> </w:t>
      </w:r>
      <w:r>
        <w:rPr>
          <w:rFonts w:ascii="Arial;Helvetica;sans-serif" w:hAnsi="Arial;Helvetica;sans-serif"/>
          <w:sz w:val="20"/>
        </w:rPr>
        <w:t>member</w:t>
      </w:r>
      <w:r>
        <w:rPr>
          <w:rFonts w:ascii="Aptos" w:hAnsi="Aptos"/>
          <w:spacing w:val="-3"/>
          <w:sz w:val="20"/>
        </w:rPr>
        <w:t xml:space="preserve"> </w:t>
      </w:r>
      <w:r>
        <w:rPr>
          <w:rFonts w:ascii="Arial;Helvetica;sans-serif" w:hAnsi="Arial;Helvetica;sans-serif"/>
          <w:sz w:val="20"/>
        </w:rPr>
        <w:t>of</w:t>
      </w:r>
      <w:r>
        <w:rPr>
          <w:rFonts w:ascii="Aptos" w:hAnsi="Aptos"/>
          <w:spacing w:val="-3"/>
          <w:sz w:val="20"/>
        </w:rPr>
        <w:t xml:space="preserve"> </w:t>
      </w:r>
      <w:r>
        <w:rPr>
          <w:rFonts w:ascii="Arial;Helvetica;sans-serif" w:hAnsi="Arial;Helvetica;sans-serif"/>
          <w:sz w:val="20"/>
        </w:rPr>
        <w:t>TTEC</w:t>
      </w:r>
      <w:r>
        <w:rPr>
          <w:rFonts w:ascii="Aptos" w:hAnsi="Aptos"/>
          <w:spacing w:val="-4"/>
          <w:sz w:val="20"/>
        </w:rPr>
        <w:t xml:space="preserve"> </w:t>
      </w:r>
      <w:r>
        <w:rPr>
          <w:rFonts w:ascii="Arial;Helvetica;sans-serif" w:hAnsi="Arial;Helvetica;sans-serif"/>
          <w:sz w:val="20"/>
        </w:rPr>
        <w:t>Parent’s</w:t>
      </w:r>
      <w:r>
        <w:rPr>
          <w:rFonts w:ascii="Aptos" w:hAnsi="Aptos"/>
          <w:spacing w:val="-3"/>
          <w:sz w:val="20"/>
        </w:rPr>
        <w:t xml:space="preserve"> </w:t>
      </w:r>
      <w:r>
        <w:rPr>
          <w:rFonts w:ascii="Arial;Helvetica;sans-serif" w:hAnsi="Arial;Helvetica;sans-serif"/>
          <w:sz w:val="20"/>
        </w:rPr>
        <w:t>and</w:t>
      </w:r>
      <w:r>
        <w:rPr>
          <w:rFonts w:ascii="Aptos" w:hAnsi="Aptos"/>
          <w:spacing w:val="-3"/>
          <w:sz w:val="20"/>
        </w:rPr>
        <w:t xml:space="preserve"> </w:t>
      </w:r>
      <w:r>
        <w:rPr>
          <w:rFonts w:ascii="Arial;Helvetica;sans-serif" w:hAnsi="Arial;Helvetica;sans-serif"/>
          <w:sz w:val="20"/>
        </w:rPr>
        <w:t>TTEC</w:t>
      </w:r>
      <w:r>
        <w:rPr>
          <w:rFonts w:ascii="Aptos" w:hAnsi="Aptos"/>
          <w:spacing w:val="-4"/>
          <w:sz w:val="20"/>
        </w:rPr>
        <w:t xml:space="preserve"> </w:t>
      </w:r>
      <w:r>
        <w:rPr>
          <w:rFonts w:ascii="Arial;Helvetica;sans-serif" w:hAnsi="Arial;Helvetica;sans-serif"/>
          <w:sz w:val="20"/>
        </w:rPr>
        <w:t>Digital’s</w:t>
      </w:r>
      <w:r>
        <w:rPr>
          <w:rFonts w:ascii="Aptos" w:hAnsi="Aptos"/>
          <w:spacing w:val="-3"/>
          <w:sz w:val="20"/>
        </w:rPr>
        <w:t xml:space="preserve"> </w:t>
      </w:r>
      <w:r>
        <w:rPr>
          <w:rFonts w:ascii="Arial;Helvetica;sans-serif" w:hAnsi="Arial;Helvetica;sans-serif"/>
          <w:sz w:val="20"/>
        </w:rPr>
        <w:t>executive</w:t>
      </w:r>
      <w:r>
        <w:rPr>
          <w:rFonts w:ascii="Aptos" w:hAnsi="Aptos"/>
          <w:spacing w:val="-3"/>
          <w:sz w:val="20"/>
        </w:rPr>
        <w:t xml:space="preserve"> </w:t>
      </w:r>
      <w:r>
        <w:rPr>
          <w:rFonts w:ascii="Arial;Helvetica;sans-serif" w:hAnsi="Arial;Helvetica;sans-serif"/>
          <w:sz w:val="20"/>
        </w:rPr>
        <w:t>leadership</w:t>
      </w:r>
      <w:r>
        <w:rPr>
          <w:rFonts w:ascii="Aptos" w:hAnsi="Aptos"/>
          <w:spacing w:val="-3"/>
          <w:sz w:val="20"/>
        </w:rPr>
        <w:t xml:space="preserve"> </w:t>
      </w:r>
      <w:r>
        <w:rPr>
          <w:rFonts w:ascii="Arial;Helvetica;sans-serif" w:hAnsi="Arial;Helvetica;sans-serif"/>
          <w:sz w:val="20"/>
        </w:rPr>
        <w:t>team,</w:t>
      </w:r>
      <w:r>
        <w:rPr>
          <w:rFonts w:ascii="Aptos" w:hAnsi="Aptos"/>
          <w:spacing w:val="-3"/>
          <w:sz w:val="20"/>
        </w:rPr>
        <w:t xml:space="preserve"> </w:t>
      </w:r>
      <w:r>
        <w:rPr>
          <w:rFonts w:ascii="Arial;Helvetica;sans-serif" w:hAnsi="Arial;Helvetica;sans-serif"/>
          <w:sz w:val="20"/>
        </w:rPr>
        <w:t>the</w:t>
      </w:r>
      <w:r>
        <w:rPr>
          <w:rFonts w:ascii="Aptos" w:hAnsi="Aptos"/>
          <w:spacing w:val="-3"/>
          <w:sz w:val="20"/>
        </w:rPr>
        <w:t xml:space="preserve"> </w:t>
      </w:r>
      <w:r>
        <w:rPr>
          <w:rFonts w:ascii="Arial;Helvetica;sans-serif" w:hAnsi="Arial;Helvetica;sans-serif"/>
          <w:sz w:val="20"/>
        </w:rPr>
        <w:t>Executive</w:t>
      </w:r>
      <w:r>
        <w:rPr>
          <w:rFonts w:ascii="Aptos" w:hAnsi="Aptos"/>
          <w:spacing w:val="-3"/>
          <w:sz w:val="20"/>
        </w:rPr>
        <w:t xml:space="preserve"> </w:t>
      </w:r>
      <w:r>
        <w:rPr>
          <w:rFonts w:ascii="Arial;Helvetica;sans-serif" w:hAnsi="Arial;Helvetica;sans-serif"/>
          <w:sz w:val="20"/>
        </w:rPr>
        <w:t>is privy to TTEC</w:t>
      </w:r>
      <w:r>
        <w:rPr>
          <w:rFonts w:ascii="Aptos" w:hAnsi="Aptos"/>
          <w:spacing w:val="-1"/>
          <w:sz w:val="20"/>
        </w:rPr>
        <w:t xml:space="preserve"> </w:t>
      </w:r>
      <w:r>
        <w:rPr>
          <w:rFonts w:ascii="Arial;Helvetica;sans-serif" w:hAnsi="Arial;Helvetica;sans-serif"/>
          <w:sz w:val="20"/>
        </w:rPr>
        <w:t>Parent's company-wide global business and financial strategy. Therefore, in addition to the provisions of the Confidentiality Agreements that the Executive signed at the time of his original employment with the Company and various non-compete and non-solicitation undertakings agreed to as part of various equity grants and other incentive grants, the Executive, in consideration of the employment opportunity and compensation provided hereunder, agrees and covenants during the term of his affiliation with TTEC Parent (as an Executive or otherwise in leadership position) and for twelve (12) months after the termination of the employment:</w:t>
      </w:r>
    </w:p>
    <w:tbl>
      <w:tblPr>
        <w:tblW w:w="10205" w:type="dxa"/>
        <w:jc w:val="left"/>
        <w:tblInd w:w="0" w:type="dxa"/>
        <w:tblLayout w:type="fixed"/>
        <w:tblCellMar>
          <w:top w:w="0" w:type="dxa"/>
          <w:left w:w="0" w:type="dxa"/>
          <w:bottom w:w="0" w:type="dxa"/>
          <w:right w:w="0" w:type="dxa"/>
        </w:tblCellMar>
      </w:tblPr>
      <w:tblGrid>
        <w:gridCol w:w="23"/>
        <w:gridCol w:w="185"/>
        <w:gridCol w:w="9974"/>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w:t>
            </w:r>
          </w:p>
        </w:tc>
        <w:tc>
          <w:tcPr>
            <w:tcW w:w="9974"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 xml:space="preserve">Non-Compete Undertaking. </w:t>
            </w:r>
            <w:r>
              <w:rPr>
                <w:rFonts w:ascii="Arial;Helvetica;sans-serif" w:hAnsi="Arial;Helvetica;sans-serif"/>
                <w:b w:val="false"/>
                <w:i w:val="false"/>
                <w:caps w:val="false"/>
                <w:smallCaps w:val="false"/>
                <w:sz w:val="20"/>
              </w:rPr>
              <w:t>Executive shall not work or otherwise contribute his knowledge, directly or indirectly, in whole or in part, as an employee, officer, owner, manager, advisor, consultant,</w:t>
            </w:r>
            <w:r>
              <w:rPr>
                <w:caps w:val="false"/>
                <w:smallCaps w:val="false"/>
                <w:spacing w:val="-4"/>
              </w:rPr>
              <w:t xml:space="preserve"> </w:t>
            </w:r>
            <w:r>
              <w:rPr>
                <w:rFonts w:ascii="Arial;Helvetica;sans-serif" w:hAnsi="Arial;Helvetica;sans-serif"/>
                <w:b w:val="false"/>
                <w:i w:val="false"/>
                <w:caps w:val="false"/>
                <w:smallCaps w:val="false"/>
                <w:sz w:val="20"/>
              </w:rPr>
              <w:t>agent,</w:t>
            </w:r>
            <w:r>
              <w:rPr>
                <w:caps w:val="false"/>
                <w:smallCaps w:val="false"/>
                <w:spacing w:val="-4"/>
              </w:rPr>
              <w:t xml:space="preserve"> </w:t>
            </w:r>
            <w:r>
              <w:rPr>
                <w:rFonts w:ascii="Arial;Helvetica;sans-serif" w:hAnsi="Arial;Helvetica;sans-serif"/>
                <w:b w:val="false"/>
                <w:i w:val="false"/>
                <w:caps w:val="false"/>
                <w:smallCaps w:val="false"/>
                <w:sz w:val="20"/>
              </w:rPr>
              <w:t>partner,</w:t>
            </w:r>
            <w:r>
              <w:rPr>
                <w:caps w:val="false"/>
                <w:smallCaps w:val="false"/>
                <w:spacing w:val="-4"/>
              </w:rPr>
              <w:t xml:space="preserve"> </w:t>
            </w:r>
            <w:r>
              <w:rPr>
                <w:rFonts w:ascii="Arial;Helvetica;sans-serif" w:hAnsi="Arial;Helvetica;sans-serif"/>
                <w:b w:val="false"/>
                <w:i w:val="false"/>
                <w:caps w:val="false"/>
                <w:smallCaps w:val="false"/>
                <w:sz w:val="20"/>
              </w:rPr>
              <w:t>director,</w:t>
            </w:r>
            <w:r>
              <w:rPr>
                <w:caps w:val="false"/>
                <w:smallCaps w:val="false"/>
                <w:spacing w:val="-4"/>
              </w:rPr>
              <w:t xml:space="preserve"> </w:t>
            </w:r>
            <w:r>
              <w:rPr>
                <w:rFonts w:ascii="Arial;Helvetica;sans-serif" w:hAnsi="Arial;Helvetica;sans-serif"/>
                <w:b w:val="false"/>
                <w:i w:val="false"/>
                <w:caps w:val="false"/>
                <w:smallCaps w:val="false"/>
                <w:sz w:val="20"/>
              </w:rPr>
              <w:t>significant</w:t>
            </w:r>
            <w:r>
              <w:rPr>
                <w:caps w:val="false"/>
                <w:smallCaps w:val="false"/>
                <w:spacing w:val="-4"/>
              </w:rPr>
              <w:t xml:space="preserve"> </w:t>
            </w:r>
            <w:r>
              <w:rPr>
                <w:rFonts w:ascii="Arial;Helvetica;sans-serif" w:hAnsi="Arial;Helvetica;sans-serif"/>
                <w:b w:val="false"/>
                <w:i w:val="false"/>
                <w:caps w:val="false"/>
                <w:smallCaps w:val="false"/>
                <w:sz w:val="20"/>
              </w:rPr>
              <w:t>shareholder</w:t>
            </w:r>
            <w:r>
              <w:rPr>
                <w:caps w:val="false"/>
                <w:smallCaps w:val="false"/>
                <w:spacing w:val="-4"/>
              </w:rPr>
              <w:t xml:space="preserve"> </w:t>
            </w:r>
            <w:r>
              <w:rPr>
                <w:rFonts w:ascii="Arial;Helvetica;sans-serif" w:hAnsi="Arial;Helvetica;sans-serif"/>
                <w:b w:val="false"/>
                <w:i w:val="false"/>
                <w:caps w:val="false"/>
                <w:smallCaps w:val="false"/>
                <w:sz w:val="20"/>
              </w:rPr>
              <w:t>(i.e.</w:t>
            </w:r>
            <w:r>
              <w:rPr>
                <w:caps w:val="false"/>
                <w:smallCaps w:val="false"/>
                <w:spacing w:val="-4"/>
              </w:rPr>
              <w:t xml:space="preserve"> </w:t>
            </w:r>
            <w:r>
              <w:rPr>
                <w:rFonts w:ascii="Arial;Helvetica;sans-serif" w:hAnsi="Arial;Helvetica;sans-serif"/>
                <w:b w:val="false"/>
                <w:i w:val="false"/>
                <w:caps w:val="false"/>
                <w:smallCaps w:val="false"/>
                <w:sz w:val="20"/>
              </w:rPr>
              <w:t>a</w:t>
            </w:r>
            <w:r>
              <w:rPr>
                <w:caps w:val="false"/>
                <w:smallCaps w:val="false"/>
                <w:spacing w:val="-4"/>
              </w:rPr>
              <w:t xml:space="preserve"> </w:t>
            </w:r>
            <w:r>
              <w:rPr>
                <w:rFonts w:ascii="Arial;Helvetica;sans-serif" w:hAnsi="Arial;Helvetica;sans-serif"/>
                <w:b w:val="false"/>
                <w:i w:val="false"/>
                <w:caps w:val="false"/>
                <w:smallCaps w:val="false"/>
                <w:sz w:val="20"/>
              </w:rPr>
              <w:t>shareholder</w:t>
            </w:r>
            <w:r>
              <w:rPr>
                <w:caps w:val="false"/>
                <w:smallCaps w:val="false"/>
                <w:spacing w:val="-4"/>
              </w:rPr>
              <w:t xml:space="preserve"> </w:t>
            </w:r>
            <w:r>
              <w:rPr>
                <w:rFonts w:ascii="Arial;Helvetica;sans-serif" w:hAnsi="Arial;Helvetica;sans-serif"/>
                <w:b w:val="false"/>
                <w:i w:val="false"/>
                <w:caps w:val="false"/>
                <w:smallCaps w:val="false"/>
                <w:sz w:val="20"/>
              </w:rPr>
              <w:t>holding</w:t>
            </w:r>
            <w:r>
              <w:rPr>
                <w:caps w:val="false"/>
                <w:smallCaps w:val="false"/>
                <w:spacing w:val="-4"/>
              </w:rPr>
              <w:t xml:space="preserve"> </w:t>
            </w:r>
            <w:r>
              <w:rPr>
                <w:rFonts w:ascii="Arial;Helvetica;sans-serif" w:hAnsi="Arial;Helvetica;sans-serif"/>
                <w:b w:val="false"/>
                <w:i w:val="false"/>
                <w:caps w:val="false"/>
                <w:smallCaps w:val="false"/>
                <w:sz w:val="20"/>
              </w:rPr>
              <w:t>more</w:t>
            </w:r>
            <w:r>
              <w:rPr>
                <w:caps w:val="false"/>
                <w:smallCaps w:val="false"/>
                <w:spacing w:val="-4"/>
              </w:rPr>
              <w:t xml:space="preserve"> </w:t>
            </w:r>
            <w:r>
              <w:rPr>
                <w:rFonts w:ascii="Arial;Helvetica;sans-serif" w:hAnsi="Arial;Helvetica;sans-serif"/>
                <w:b w:val="false"/>
                <w:i w:val="false"/>
                <w:caps w:val="false"/>
                <w:smallCaps w:val="false"/>
                <w:sz w:val="20"/>
              </w:rPr>
              <w:t>than 5%</w:t>
            </w:r>
            <w:r>
              <w:rPr>
                <w:caps w:val="false"/>
                <w:smallCaps w:val="false"/>
                <w:spacing w:val="-4"/>
              </w:rPr>
              <w:t xml:space="preserve"> </w:t>
            </w:r>
            <w:r>
              <w:rPr>
                <w:rFonts w:ascii="Arial;Helvetica;sans-serif" w:hAnsi="Arial;Helvetica;sans-serif"/>
                <w:b w:val="false"/>
                <w:i w:val="false"/>
                <w:caps w:val="false"/>
                <w:smallCaps w:val="false"/>
                <w:sz w:val="20"/>
              </w:rPr>
              <w:t>of</w:t>
            </w:r>
            <w:r>
              <w:rPr>
                <w:caps w:val="false"/>
                <w:smallCaps w:val="false"/>
                <w:spacing w:val="-3"/>
              </w:rPr>
              <w:t xml:space="preserve"> </w:t>
            </w:r>
            <w:r>
              <w:rPr>
                <w:rFonts w:ascii="Arial;Helvetica;sans-serif" w:hAnsi="Arial;Helvetica;sans-serif"/>
                <w:b w:val="false"/>
                <w:i w:val="false"/>
                <w:caps w:val="false"/>
                <w:smallCaps w:val="false"/>
                <w:sz w:val="20"/>
              </w:rPr>
              <w:t>outstanding</w:t>
            </w:r>
            <w:r>
              <w:rPr>
                <w:caps w:val="false"/>
                <w:smallCaps w:val="false"/>
                <w:spacing w:val="-3"/>
              </w:rPr>
              <w:t xml:space="preserve"> </w:t>
            </w:r>
            <w:r>
              <w:rPr>
                <w:rFonts w:ascii="Arial;Helvetica;sans-serif" w:hAnsi="Arial;Helvetica;sans-serif"/>
                <w:b w:val="false"/>
                <w:i w:val="false"/>
                <w:caps w:val="false"/>
                <w:smallCaps w:val="false"/>
                <w:sz w:val="20"/>
              </w:rPr>
              <w:t>equity</w:t>
            </w:r>
            <w:r>
              <w:rPr>
                <w:caps w:val="false"/>
                <w:smallCaps w:val="false"/>
                <w:spacing w:val="-3"/>
              </w:rPr>
              <w:t xml:space="preserve"> </w:t>
            </w:r>
            <w:r>
              <w:rPr>
                <w:rFonts w:ascii="Arial;Helvetica;sans-serif" w:hAnsi="Arial;Helvetica;sans-serif"/>
                <w:b w:val="false"/>
                <w:i w:val="false"/>
                <w:caps w:val="false"/>
                <w:smallCaps w:val="false"/>
                <w:sz w:val="20"/>
              </w:rPr>
              <w:t>in</w:t>
            </w:r>
            <w:r>
              <w:rPr>
                <w:caps w:val="false"/>
                <w:smallCaps w:val="false"/>
                <w:spacing w:val="-3"/>
              </w:rPr>
              <w:t xml:space="preserve"> </w:t>
            </w:r>
            <w:r>
              <w:rPr>
                <w:rFonts w:ascii="Arial;Helvetica;sans-serif" w:hAnsi="Arial;Helvetica;sans-serif"/>
                <w:b w:val="false"/>
                <w:i w:val="false"/>
                <w:caps w:val="false"/>
                <w:smallCaps w:val="false"/>
                <w:sz w:val="20"/>
              </w:rPr>
              <w:t>the</w:t>
            </w:r>
            <w:r>
              <w:rPr>
                <w:caps w:val="false"/>
                <w:smallCaps w:val="false"/>
                <w:spacing w:val="-3"/>
              </w:rPr>
              <w:t xml:space="preserve"> </w:t>
            </w:r>
            <w:r>
              <w:rPr>
                <w:rFonts w:ascii="Arial;Helvetica;sans-serif" w:hAnsi="Arial;Helvetica;sans-serif"/>
                <w:b w:val="false"/>
                <w:i w:val="false"/>
                <w:caps w:val="false"/>
                <w:smallCaps w:val="false"/>
                <w:sz w:val="20"/>
              </w:rPr>
              <w:t>company),</w:t>
            </w:r>
            <w:r>
              <w:rPr>
                <w:caps w:val="false"/>
                <w:smallCaps w:val="false"/>
                <w:spacing w:val="-3"/>
              </w:rPr>
              <w:t xml:space="preserve"> </w:t>
            </w:r>
            <w:r>
              <w:rPr>
                <w:rFonts w:ascii="Arial;Helvetica;sans-serif" w:hAnsi="Arial;Helvetica;sans-serif"/>
                <w:b w:val="false"/>
                <w:i w:val="false"/>
                <w:caps w:val="false"/>
                <w:smallCaps w:val="false"/>
                <w:sz w:val="20"/>
              </w:rPr>
              <w:t>volunteer,</w:t>
            </w:r>
            <w:r>
              <w:rPr>
                <w:caps w:val="false"/>
                <w:smallCaps w:val="false"/>
                <w:spacing w:val="-3"/>
              </w:rPr>
              <w:t xml:space="preserve"> </w:t>
            </w:r>
            <w:r>
              <w:rPr>
                <w:rFonts w:ascii="Arial;Helvetica;sans-serif" w:hAnsi="Arial;Helvetica;sans-serif"/>
                <w:b w:val="false"/>
                <w:i w:val="false"/>
                <w:caps w:val="false"/>
                <w:smallCaps w:val="false"/>
                <w:sz w:val="20"/>
              </w:rPr>
              <w:t>intern,</w:t>
            </w:r>
            <w:r>
              <w:rPr>
                <w:caps w:val="false"/>
                <w:smallCaps w:val="false"/>
                <w:spacing w:val="-3"/>
              </w:rPr>
              <w:t xml:space="preserve"> </w:t>
            </w:r>
            <w:r>
              <w:rPr>
                <w:rFonts w:ascii="Arial;Helvetica;sans-serif" w:hAnsi="Arial;Helvetica;sans-serif"/>
                <w:b w:val="false"/>
                <w:i w:val="false"/>
                <w:caps w:val="false"/>
                <w:smallCaps w:val="false"/>
                <w:sz w:val="20"/>
              </w:rPr>
              <w:t>or</w:t>
            </w:r>
            <w:r>
              <w:rPr>
                <w:caps w:val="false"/>
                <w:smallCaps w:val="false"/>
                <w:spacing w:val="-3"/>
              </w:rPr>
              <w:t xml:space="preserve"> </w:t>
            </w:r>
            <w:r>
              <w:rPr>
                <w:rFonts w:ascii="Arial;Helvetica;sans-serif" w:hAnsi="Arial;Helvetica;sans-serif"/>
                <w:b w:val="false"/>
                <w:i w:val="false"/>
                <w:caps w:val="false"/>
                <w:smallCaps w:val="false"/>
                <w:sz w:val="20"/>
              </w:rPr>
              <w:t>in</w:t>
            </w:r>
            <w:r>
              <w:rPr>
                <w:caps w:val="false"/>
                <w:smallCaps w:val="false"/>
                <w:spacing w:val="-3"/>
              </w:rPr>
              <w:t xml:space="preserve"> </w:t>
            </w:r>
            <w:r>
              <w:rPr>
                <w:rFonts w:ascii="Arial;Helvetica;sans-serif" w:hAnsi="Arial;Helvetica;sans-serif"/>
                <w:b w:val="false"/>
                <w:i w:val="false"/>
                <w:caps w:val="false"/>
                <w:smallCaps w:val="false"/>
                <w:sz w:val="20"/>
              </w:rPr>
              <w:t>any</w:t>
            </w:r>
            <w:r>
              <w:rPr>
                <w:caps w:val="false"/>
                <w:smallCaps w:val="false"/>
                <w:spacing w:val="-3"/>
              </w:rPr>
              <w:t xml:space="preserve"> </w:t>
            </w:r>
            <w:r>
              <w:rPr>
                <w:rFonts w:ascii="Arial;Helvetica;sans-serif" w:hAnsi="Arial;Helvetica;sans-serif"/>
                <w:b w:val="false"/>
                <w:i w:val="false"/>
                <w:caps w:val="false"/>
                <w:smallCaps w:val="false"/>
                <w:sz w:val="20"/>
              </w:rPr>
              <w:t>other</w:t>
            </w:r>
            <w:r>
              <w:rPr>
                <w:caps w:val="false"/>
                <w:smallCaps w:val="false"/>
                <w:spacing w:val="-3"/>
              </w:rPr>
              <w:t xml:space="preserve"> </w:t>
            </w:r>
            <w:r>
              <w:rPr>
                <w:rFonts w:ascii="Arial;Helvetica;sans-serif" w:hAnsi="Arial;Helvetica;sans-serif"/>
                <w:b w:val="false"/>
                <w:i w:val="false"/>
                <w:caps w:val="false"/>
                <w:smallCaps w:val="false"/>
                <w:sz w:val="20"/>
              </w:rPr>
              <w:t>similar</w:t>
            </w:r>
            <w:r>
              <w:rPr>
                <w:caps w:val="false"/>
                <w:smallCaps w:val="false"/>
                <w:spacing w:val="-3"/>
              </w:rPr>
              <w:t xml:space="preserve"> </w:t>
            </w:r>
            <w:r>
              <w:rPr>
                <w:rFonts w:ascii="Arial;Helvetica;sans-serif" w:hAnsi="Arial;Helvetica;sans-serif"/>
                <w:b w:val="false"/>
                <w:i w:val="false"/>
                <w:caps w:val="false"/>
                <w:smallCaps w:val="false"/>
                <w:sz w:val="20"/>
              </w:rPr>
              <w:t>capacity</w:t>
            </w:r>
            <w:r>
              <w:rPr>
                <w:caps w:val="false"/>
                <w:smallCaps w:val="false"/>
                <w:spacing w:val="-5"/>
              </w:rPr>
              <w:t xml:space="preserve"> </w:t>
            </w:r>
            <w:r>
              <w:rPr>
                <w:rFonts w:ascii="Arial;Helvetica;sans-serif" w:hAnsi="Arial;Helvetica;sans-serif"/>
                <w:b w:val="false"/>
                <w:i w:val="false"/>
                <w:caps w:val="false"/>
                <w:smallCaps w:val="false"/>
                <w:sz w:val="20"/>
              </w:rPr>
              <w:t>for</w:t>
            </w:r>
            <w:r>
              <w:rPr>
                <w:caps w:val="false"/>
                <w:smallCaps w:val="false"/>
                <w:spacing w:val="-3"/>
              </w:rPr>
              <w:t xml:space="preserve"> </w:t>
            </w:r>
            <w:r>
              <w:rPr>
                <w:rFonts w:ascii="Arial;Helvetica;sans-serif" w:hAnsi="Arial;Helvetica;sans-serif"/>
                <w:b w:val="false"/>
                <w:i w:val="false"/>
                <w:caps w:val="false"/>
                <w:smallCaps w:val="false"/>
                <w:sz w:val="20"/>
              </w:rPr>
              <w:t xml:space="preserve">a business entity engaged in the same or substantially similar business as TTEC Digital or TTEC Parent, their subsidiaries and affiliates, as their primary business purposes, including entities </w:t>
            </w:r>
            <w:r>
              <w:rPr>
                <w:rFonts w:ascii="Arial;Helvetica;sans-serif" w:hAnsi="Arial;Helvetica;sans-serif"/>
                <w:b w:val="false"/>
                <w:i w:val="false"/>
                <w:caps w:val="false"/>
                <w:smallCaps w:val="false"/>
                <w:spacing w:val="-2"/>
                <w:sz w:val="20"/>
              </w:rPr>
              <w:t>providing</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720" w:right="700" w:hanging="0"/>
        <w:jc w:val="left"/>
        <w:rPr>
          <w:rFonts w:ascii="Aptos" w:hAnsi="Aptos"/>
          <w:sz w:val="24"/>
        </w:rPr>
      </w:pPr>
      <w:r>
        <w:rPr>
          <w:rFonts w:ascii="Arial;Helvetica;sans-serif" w:hAnsi="Arial;Helvetica;sans-serif"/>
          <w:sz w:val="20"/>
        </w:rPr>
        <w:t>(i)business</w:t>
      </w:r>
      <w:r>
        <w:rPr>
          <w:rFonts w:ascii="Aptos" w:hAnsi="Aptos"/>
          <w:spacing w:val="-5"/>
          <w:sz w:val="24"/>
        </w:rPr>
        <w:t xml:space="preserve"> </w:t>
      </w:r>
      <w:r>
        <w:rPr>
          <w:rFonts w:ascii="Arial;Helvetica;sans-serif" w:hAnsi="Arial;Helvetica;sans-serif"/>
          <w:sz w:val="20"/>
        </w:rPr>
        <w:t>process</w:t>
      </w:r>
      <w:r>
        <w:rPr>
          <w:rFonts w:ascii="Aptos" w:hAnsi="Aptos"/>
          <w:spacing w:val="-5"/>
          <w:sz w:val="24"/>
        </w:rPr>
        <w:t xml:space="preserve"> </w:t>
      </w:r>
      <w:r>
        <w:rPr>
          <w:rFonts w:ascii="Arial;Helvetica;sans-serif" w:hAnsi="Arial;Helvetica;sans-serif"/>
          <w:sz w:val="20"/>
        </w:rPr>
        <w:t>outsourcing</w:t>
      </w:r>
      <w:r>
        <w:rPr>
          <w:rFonts w:ascii="Aptos" w:hAnsi="Aptos"/>
          <w:spacing w:val="-5"/>
          <w:sz w:val="24"/>
        </w:rPr>
        <w:t xml:space="preserve"> </w:t>
      </w:r>
      <w:r>
        <w:rPr>
          <w:rFonts w:ascii="Arial;Helvetica;sans-serif" w:hAnsi="Arial;Helvetica;sans-serif"/>
          <w:sz w:val="20"/>
        </w:rPr>
        <w:t>services</w:t>
      </w:r>
      <w:r>
        <w:rPr>
          <w:rFonts w:ascii="Aptos" w:hAnsi="Aptos"/>
          <w:spacing w:val="-5"/>
          <w:sz w:val="24"/>
        </w:rPr>
        <w:t xml:space="preserve"> </w:t>
      </w:r>
      <w:r>
        <w:rPr>
          <w:rFonts w:ascii="Arial;Helvetica;sans-serif" w:hAnsi="Arial;Helvetica;sans-serif"/>
          <w:sz w:val="20"/>
        </w:rPr>
        <w:t>in</w:t>
      </w:r>
      <w:r>
        <w:rPr>
          <w:rFonts w:ascii="Aptos" w:hAnsi="Aptos"/>
          <w:spacing w:val="-5"/>
          <w:sz w:val="24"/>
        </w:rPr>
        <w:t xml:space="preserve"> </w:t>
      </w:r>
      <w:r>
        <w:rPr>
          <w:rFonts w:ascii="Arial;Helvetica;sans-serif" w:hAnsi="Arial;Helvetica;sans-serif"/>
          <w:sz w:val="20"/>
        </w:rPr>
        <w:t>customer</w:t>
      </w:r>
      <w:r>
        <w:rPr>
          <w:rFonts w:ascii="Aptos" w:hAnsi="Aptos"/>
          <w:spacing w:val="-5"/>
          <w:sz w:val="24"/>
        </w:rPr>
        <w:t xml:space="preserve"> </w:t>
      </w:r>
      <w:r>
        <w:rPr>
          <w:rFonts w:ascii="Arial;Helvetica;sans-serif" w:hAnsi="Arial;Helvetica;sans-serif"/>
          <w:sz w:val="20"/>
        </w:rPr>
        <w:t>engagement</w:t>
      </w:r>
      <w:r>
        <w:rPr>
          <w:rFonts w:ascii="Aptos" w:hAnsi="Aptos"/>
          <w:spacing w:val="-5"/>
          <w:sz w:val="24"/>
        </w:rPr>
        <w:t xml:space="preserve"> </w:t>
      </w:r>
      <w:r>
        <w:rPr>
          <w:rFonts w:ascii="Arial;Helvetica;sans-serif" w:hAnsi="Arial;Helvetica;sans-serif"/>
          <w:sz w:val="20"/>
        </w:rPr>
        <w:t>("CX"),</w:t>
      </w:r>
      <w:r>
        <w:rPr>
          <w:rFonts w:ascii="Aptos" w:hAnsi="Aptos"/>
          <w:spacing w:val="-5"/>
          <w:sz w:val="24"/>
        </w:rPr>
        <w:t xml:space="preserve"> </w:t>
      </w:r>
      <w:r>
        <w:rPr>
          <w:rFonts w:ascii="Arial;Helvetica;sans-serif" w:hAnsi="Arial;Helvetica;sans-serif"/>
          <w:sz w:val="20"/>
        </w:rPr>
        <w:t>acquisition and growth, content moderation, fraud prevention, and data annotation solutions; and</w:t>
      </w:r>
    </w:p>
    <w:p>
      <w:pPr>
        <w:pStyle w:val="TextBody"/>
        <w:bidi w:val="0"/>
        <w:spacing w:lineRule="auto" w:line="285" w:before="202" w:after="283"/>
        <w:ind w:left="720" w:right="491" w:hanging="0"/>
        <w:jc w:val="left"/>
        <w:rPr>
          <w:rFonts w:ascii="Aptos" w:hAnsi="Aptos"/>
          <w:sz w:val="24"/>
        </w:rPr>
      </w:pPr>
      <w:r>
        <w:rPr>
          <w:rFonts w:ascii="Arial;Helvetica;sans-serif" w:hAnsi="Arial;Helvetica;sans-serif"/>
          <w:sz w:val="20"/>
        </w:rPr>
        <w:t>(ii)customer experience technology services including the sale of integrated software, hardware,</w:t>
      </w:r>
      <w:r>
        <w:rPr>
          <w:rFonts w:ascii="Aptos" w:hAnsi="Aptos"/>
          <w:spacing w:val="-2"/>
          <w:sz w:val="24"/>
        </w:rPr>
        <w:t xml:space="preserve"> </w:t>
      </w:r>
      <w:r>
        <w:rPr>
          <w:rFonts w:ascii="Arial;Helvetica;sans-serif" w:hAnsi="Arial;Helvetica;sans-serif"/>
          <w:sz w:val="20"/>
        </w:rPr>
        <w:t>consulting</w:t>
      </w:r>
      <w:r>
        <w:rPr>
          <w:rFonts w:ascii="Aptos" w:hAnsi="Aptos"/>
          <w:spacing w:val="-2"/>
          <w:sz w:val="24"/>
        </w:rPr>
        <w:t xml:space="preserve"> </w:t>
      </w:r>
      <w:r>
        <w:rPr>
          <w:rFonts w:ascii="Arial;Helvetica;sans-serif" w:hAnsi="Arial;Helvetica;sans-serif"/>
          <w:sz w:val="20"/>
        </w:rPr>
        <w:t>and</w:t>
      </w:r>
      <w:r>
        <w:rPr>
          <w:rFonts w:ascii="Aptos" w:hAnsi="Aptos"/>
          <w:spacing w:val="-2"/>
          <w:sz w:val="24"/>
        </w:rPr>
        <w:t xml:space="preserve"> </w:t>
      </w:r>
      <w:r>
        <w:rPr>
          <w:rFonts w:ascii="Arial;Helvetica;sans-serif" w:hAnsi="Arial;Helvetica;sans-serif"/>
          <w:sz w:val="20"/>
        </w:rPr>
        <w:t>other</w:t>
      </w:r>
      <w:r>
        <w:rPr>
          <w:rFonts w:ascii="Aptos" w:hAnsi="Aptos"/>
          <w:spacing w:val="-2"/>
          <w:sz w:val="24"/>
        </w:rPr>
        <w:t xml:space="preserve"> </w:t>
      </w:r>
      <w:r>
        <w:rPr>
          <w:rFonts w:ascii="Arial;Helvetica;sans-serif" w:hAnsi="Arial;Helvetica;sans-serif"/>
          <w:sz w:val="20"/>
        </w:rPr>
        <w:t>solutions,</w:t>
      </w:r>
      <w:r>
        <w:rPr>
          <w:rFonts w:ascii="Aptos" w:hAnsi="Aptos"/>
          <w:spacing w:val="-2"/>
          <w:sz w:val="24"/>
        </w:rPr>
        <w:t xml:space="preserve"> </w:t>
      </w:r>
      <w:r>
        <w:rPr>
          <w:rFonts w:ascii="Arial;Helvetica;sans-serif" w:hAnsi="Arial;Helvetica;sans-serif"/>
          <w:sz w:val="20"/>
        </w:rPr>
        <w:t>and</w:t>
      </w:r>
      <w:r>
        <w:rPr>
          <w:rFonts w:ascii="Aptos" w:hAnsi="Aptos"/>
          <w:spacing w:val="-2"/>
          <w:sz w:val="24"/>
        </w:rPr>
        <w:t xml:space="preserve"> </w:t>
      </w:r>
      <w:r>
        <w:rPr>
          <w:rFonts w:ascii="Arial;Helvetica;sans-serif" w:hAnsi="Arial;Helvetica;sans-serif"/>
          <w:sz w:val="20"/>
        </w:rPr>
        <w:t>professional</w:t>
      </w:r>
      <w:r>
        <w:rPr>
          <w:rFonts w:ascii="Aptos" w:hAnsi="Aptos"/>
          <w:spacing w:val="-2"/>
          <w:sz w:val="24"/>
        </w:rPr>
        <w:t xml:space="preserve"> </w:t>
      </w:r>
      <w:r>
        <w:rPr>
          <w:rFonts w:ascii="Arial;Helvetica;sans-serif" w:hAnsi="Arial;Helvetica;sans-serif"/>
          <w:sz w:val="20"/>
        </w:rPr>
        <w:t>services</w:t>
      </w:r>
      <w:r>
        <w:rPr>
          <w:rFonts w:ascii="Aptos" w:hAnsi="Aptos"/>
          <w:spacing w:val="-2"/>
          <w:sz w:val="24"/>
        </w:rPr>
        <w:t xml:space="preserve"> </w:t>
      </w:r>
      <w:r>
        <w:rPr>
          <w:rFonts w:ascii="Arial;Helvetica;sans-serif" w:hAnsi="Arial;Helvetica;sans-serif"/>
          <w:sz w:val="20"/>
        </w:rPr>
        <w:t>to</w:t>
      </w:r>
      <w:r>
        <w:rPr>
          <w:rFonts w:ascii="Aptos" w:hAnsi="Aptos"/>
          <w:spacing w:val="-2"/>
          <w:sz w:val="24"/>
        </w:rPr>
        <w:t xml:space="preserve"> </w:t>
      </w:r>
      <w:r>
        <w:rPr>
          <w:rFonts w:ascii="Arial;Helvetica;sans-serif" w:hAnsi="Arial;Helvetica;sans-serif"/>
          <w:sz w:val="20"/>
        </w:rPr>
        <w:t>manage</w:t>
      </w:r>
      <w:r>
        <w:rPr>
          <w:rFonts w:ascii="Aptos" w:hAnsi="Aptos"/>
          <w:spacing w:val="-2"/>
          <w:sz w:val="24"/>
        </w:rPr>
        <w:t xml:space="preserve"> </w:t>
      </w:r>
      <w:r>
        <w:rPr>
          <w:rFonts w:ascii="Arial;Helvetica;sans-serif" w:hAnsi="Arial;Helvetica;sans-serif"/>
          <w:sz w:val="20"/>
        </w:rPr>
        <w:t>omnichannel</w:t>
      </w:r>
      <w:r>
        <w:rPr>
          <w:rFonts w:ascii="Aptos" w:hAnsi="Aptos"/>
          <w:spacing w:val="-2"/>
          <w:sz w:val="24"/>
        </w:rPr>
        <w:t xml:space="preserve"> </w:t>
      </w:r>
      <w:r>
        <w:rPr>
          <w:rFonts w:ascii="Arial;Helvetica;sans-serif" w:hAnsi="Arial;Helvetica;sans-serif"/>
          <w:sz w:val="20"/>
        </w:rPr>
        <w:t>CX technology solutions used for contact centers, customer relationship management systems, unified</w:t>
      </w:r>
      <w:r>
        <w:rPr>
          <w:rFonts w:ascii="Aptos" w:hAnsi="Aptos"/>
          <w:spacing w:val="-6"/>
          <w:sz w:val="24"/>
        </w:rPr>
        <w:t xml:space="preserve"> </w:t>
      </w:r>
      <w:r>
        <w:rPr>
          <w:rFonts w:ascii="Arial;Helvetica;sans-serif" w:hAnsi="Arial;Helvetica;sans-serif"/>
          <w:sz w:val="20"/>
        </w:rPr>
        <w:t>communications,</w:t>
      </w:r>
      <w:r>
        <w:rPr>
          <w:rFonts w:ascii="Aptos" w:hAnsi="Aptos"/>
          <w:spacing w:val="-6"/>
          <w:sz w:val="24"/>
        </w:rPr>
        <w:t xml:space="preserve"> </w:t>
      </w:r>
      <w:r>
        <w:rPr>
          <w:rFonts w:ascii="Arial;Helvetica;sans-serif" w:hAnsi="Arial;Helvetica;sans-serif"/>
          <w:sz w:val="20"/>
        </w:rPr>
        <w:t>journey</w:t>
      </w:r>
      <w:r>
        <w:rPr>
          <w:rFonts w:ascii="Aptos" w:hAnsi="Aptos"/>
          <w:spacing w:val="-6"/>
          <w:sz w:val="24"/>
        </w:rPr>
        <w:t xml:space="preserve"> </w:t>
      </w:r>
      <w:r>
        <w:rPr>
          <w:rFonts w:ascii="Arial;Helvetica;sans-serif" w:hAnsi="Arial;Helvetica;sans-serif"/>
          <w:sz w:val="20"/>
        </w:rPr>
        <w:t>orchestration,</w:t>
      </w:r>
      <w:r>
        <w:rPr>
          <w:rFonts w:ascii="Aptos" w:hAnsi="Aptos"/>
          <w:spacing w:val="-6"/>
          <w:sz w:val="24"/>
        </w:rPr>
        <w:t xml:space="preserve"> </w:t>
      </w:r>
      <w:r>
        <w:rPr>
          <w:rFonts w:ascii="Arial;Helvetica;sans-serif" w:hAnsi="Arial;Helvetica;sans-serif"/>
          <w:sz w:val="20"/>
        </w:rPr>
        <w:t>conversational</w:t>
      </w:r>
      <w:r>
        <w:rPr>
          <w:rFonts w:ascii="Aptos" w:hAnsi="Aptos"/>
          <w:spacing w:val="-6"/>
          <w:sz w:val="24"/>
        </w:rPr>
        <w:t xml:space="preserve"> </w:t>
      </w:r>
      <w:r>
        <w:rPr>
          <w:rFonts w:ascii="Arial;Helvetica;sans-serif" w:hAnsi="Arial;Helvetica;sans-serif"/>
          <w:sz w:val="20"/>
        </w:rPr>
        <w:t>messaging,</w:t>
      </w:r>
      <w:r>
        <w:rPr>
          <w:rFonts w:ascii="Aptos" w:hAnsi="Aptos"/>
          <w:spacing w:val="-6"/>
          <w:sz w:val="24"/>
        </w:rPr>
        <w:t xml:space="preserve"> </w:t>
      </w:r>
      <w:r>
        <w:rPr>
          <w:rFonts w:ascii="Arial;Helvetica;sans-serif" w:hAnsi="Arial;Helvetica;sans-serif"/>
          <w:sz w:val="20"/>
        </w:rPr>
        <w:t>automation</w:t>
      </w:r>
      <w:r>
        <w:rPr>
          <w:rFonts w:ascii="Aptos" w:hAnsi="Aptos"/>
          <w:spacing w:val="-6"/>
          <w:sz w:val="24"/>
        </w:rPr>
        <w:t xml:space="preserve"> </w:t>
      </w:r>
      <w:r>
        <w:rPr>
          <w:rFonts w:ascii="Arial;Helvetica;sans-serif" w:hAnsi="Arial;Helvetica;sans-serif"/>
          <w:sz w:val="20"/>
        </w:rPr>
        <w:t>(including artificial intelligence, machine learning and robotic process automation), CX analytics, business intelligence, digital marketing and digital transformation services</w:t>
      </w:r>
    </w:p>
    <w:p>
      <w:pPr>
        <w:pStyle w:val="TextBody"/>
        <w:bidi w:val="0"/>
        <w:spacing w:lineRule="auto" w:line="285" w:before="200" w:after="0"/>
        <w:ind w:left="720" w:right="0" w:hanging="0"/>
        <w:jc w:val="left"/>
        <w:rPr>
          <w:rFonts w:ascii="Aptos" w:hAnsi="Aptos"/>
          <w:sz w:val="20"/>
        </w:rPr>
      </w:pPr>
      <w:r>
        <w:rPr>
          <w:rFonts w:ascii="Arial;Helvetica;sans-serif" w:hAnsi="Arial;Helvetica;sans-serif"/>
          <w:sz w:val="20"/>
        </w:rPr>
        <w:t>(collectively,</w:t>
      </w:r>
      <w:r>
        <w:rPr>
          <w:rFonts w:ascii="Aptos" w:hAnsi="Aptos"/>
          <w:spacing w:val="-11"/>
          <w:sz w:val="20"/>
        </w:rPr>
        <w:t xml:space="preserve"> </w:t>
      </w:r>
      <w:r>
        <w:rPr>
          <w:rFonts w:ascii="Arial;Helvetica;sans-serif" w:hAnsi="Arial;Helvetica;sans-serif"/>
          <w:sz w:val="20"/>
        </w:rPr>
        <w:t>"TTEC</w:t>
      </w:r>
      <w:r>
        <w:rPr>
          <w:rFonts w:ascii="Aptos" w:hAnsi="Aptos"/>
          <w:spacing w:val="-10"/>
          <w:sz w:val="20"/>
        </w:rPr>
        <w:t xml:space="preserve"> </w:t>
      </w:r>
      <w:r>
        <w:rPr>
          <w:rFonts w:ascii="Arial;Helvetica;sans-serif" w:hAnsi="Arial;Helvetica;sans-serif"/>
          <w:spacing w:val="-2"/>
          <w:sz w:val="20"/>
        </w:rPr>
        <w:t>Business").</w:t>
      </w:r>
    </w:p>
    <w:tbl>
      <w:tblPr>
        <w:tblW w:w="10205" w:type="dxa"/>
        <w:jc w:val="left"/>
        <w:tblInd w:w="0" w:type="dxa"/>
        <w:tblLayout w:type="fixed"/>
        <w:tblCellMar>
          <w:top w:w="0" w:type="dxa"/>
          <w:left w:w="0" w:type="dxa"/>
          <w:bottom w:w="0" w:type="dxa"/>
          <w:right w:w="0" w:type="dxa"/>
        </w:tblCellMar>
      </w:tblPr>
      <w:tblGrid>
        <w:gridCol w:w="23"/>
        <w:gridCol w:w="185"/>
        <w:gridCol w:w="9974"/>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w:t>
            </w:r>
          </w:p>
        </w:tc>
        <w:tc>
          <w:tcPr>
            <w:tcW w:w="9974"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 xml:space="preserve">Executive Non-Solicitation Undertaking. </w:t>
            </w:r>
            <w:r>
              <w:rPr>
                <w:rFonts w:ascii="Arial;Helvetica;sans-serif" w:hAnsi="Arial;Helvetica;sans-serif"/>
                <w:b w:val="false"/>
                <w:i w:val="false"/>
                <w:caps w:val="false"/>
                <w:smallCaps w:val="false"/>
                <w:sz w:val="20"/>
              </w:rPr>
              <w:t>The Executive agrees not to solicit, hire, recruit, attempt</w:t>
            </w:r>
            <w:r>
              <w:rPr>
                <w:caps w:val="false"/>
                <w:smallCaps w:val="false"/>
                <w:spacing w:val="-3"/>
              </w:rPr>
              <w:t xml:space="preserve"> </w:t>
            </w:r>
            <w:r>
              <w:rPr>
                <w:rFonts w:ascii="Arial;Helvetica;sans-serif" w:hAnsi="Arial;Helvetica;sans-serif"/>
                <w:b w:val="false"/>
                <w:i w:val="false"/>
                <w:caps w:val="false"/>
                <w:smallCaps w:val="false"/>
                <w:sz w:val="20"/>
              </w:rPr>
              <w:t>to</w:t>
            </w:r>
            <w:r>
              <w:rPr>
                <w:caps w:val="false"/>
                <w:smallCaps w:val="false"/>
                <w:spacing w:val="-3"/>
              </w:rPr>
              <w:t xml:space="preserve"> </w:t>
            </w:r>
            <w:r>
              <w:rPr>
                <w:rFonts w:ascii="Arial;Helvetica;sans-serif" w:hAnsi="Arial;Helvetica;sans-serif"/>
                <w:b w:val="false"/>
                <w:i w:val="false"/>
                <w:caps w:val="false"/>
                <w:smallCaps w:val="false"/>
                <w:sz w:val="20"/>
              </w:rPr>
              <w:t>hire</w:t>
            </w:r>
            <w:r>
              <w:rPr>
                <w:caps w:val="false"/>
                <w:smallCaps w:val="false"/>
                <w:spacing w:val="-3"/>
              </w:rPr>
              <w:t xml:space="preserve"> </w:t>
            </w:r>
            <w:r>
              <w:rPr>
                <w:rFonts w:ascii="Arial;Helvetica;sans-serif" w:hAnsi="Arial;Helvetica;sans-serif"/>
                <w:b w:val="false"/>
                <w:i w:val="false"/>
                <w:caps w:val="false"/>
                <w:smallCaps w:val="false"/>
                <w:sz w:val="20"/>
              </w:rPr>
              <w:t>or</w:t>
            </w:r>
            <w:r>
              <w:rPr>
                <w:caps w:val="false"/>
                <w:smallCaps w:val="false"/>
                <w:spacing w:val="-3"/>
              </w:rPr>
              <w:t xml:space="preserve"> </w:t>
            </w:r>
            <w:r>
              <w:rPr>
                <w:rFonts w:ascii="Arial;Helvetica;sans-serif" w:hAnsi="Arial;Helvetica;sans-serif"/>
                <w:b w:val="false"/>
                <w:i w:val="false"/>
                <w:caps w:val="false"/>
                <w:smallCaps w:val="false"/>
                <w:sz w:val="20"/>
              </w:rPr>
              <w:t>recruit,</w:t>
            </w:r>
            <w:r>
              <w:rPr>
                <w:caps w:val="false"/>
                <w:smallCaps w:val="false"/>
                <w:spacing w:val="-3"/>
              </w:rPr>
              <w:t xml:space="preserve"> </w:t>
            </w:r>
            <w:r>
              <w:rPr>
                <w:rFonts w:ascii="Arial;Helvetica;sans-serif" w:hAnsi="Arial;Helvetica;sans-serif"/>
                <w:b w:val="false"/>
                <w:i w:val="false"/>
                <w:caps w:val="false"/>
                <w:smallCaps w:val="false"/>
                <w:sz w:val="20"/>
              </w:rPr>
              <w:t>or</w:t>
            </w:r>
            <w:r>
              <w:rPr>
                <w:caps w:val="false"/>
                <w:smallCaps w:val="false"/>
                <w:spacing w:val="-3"/>
              </w:rPr>
              <w:t xml:space="preserve"> </w:t>
            </w:r>
            <w:r>
              <w:rPr>
                <w:rFonts w:ascii="Arial;Helvetica;sans-serif" w:hAnsi="Arial;Helvetica;sans-serif"/>
                <w:b w:val="false"/>
                <w:i w:val="false"/>
                <w:caps w:val="false"/>
                <w:smallCaps w:val="false"/>
                <w:sz w:val="20"/>
              </w:rPr>
              <w:t>induce</w:t>
            </w:r>
            <w:r>
              <w:rPr>
                <w:caps w:val="false"/>
                <w:smallCaps w:val="false"/>
                <w:spacing w:val="-3"/>
              </w:rPr>
              <w:t xml:space="preserve"> </w:t>
            </w:r>
            <w:r>
              <w:rPr>
                <w:rFonts w:ascii="Arial;Helvetica;sans-serif" w:hAnsi="Arial;Helvetica;sans-serif"/>
                <w:b w:val="false"/>
                <w:i w:val="false"/>
                <w:caps w:val="false"/>
                <w:smallCaps w:val="false"/>
                <w:sz w:val="20"/>
              </w:rPr>
              <w:t>the</w:t>
            </w:r>
            <w:r>
              <w:rPr>
                <w:caps w:val="false"/>
                <w:smallCaps w:val="false"/>
                <w:spacing w:val="-3"/>
              </w:rPr>
              <w:t xml:space="preserve"> </w:t>
            </w:r>
            <w:r>
              <w:rPr>
                <w:rFonts w:ascii="Arial;Helvetica;sans-serif" w:hAnsi="Arial;Helvetica;sans-serif"/>
                <w:b w:val="false"/>
                <w:i w:val="false"/>
                <w:caps w:val="false"/>
                <w:smallCaps w:val="false"/>
                <w:sz w:val="20"/>
              </w:rPr>
              <w:t>termination</w:t>
            </w:r>
            <w:r>
              <w:rPr>
                <w:caps w:val="false"/>
                <w:smallCaps w:val="false"/>
                <w:spacing w:val="-3"/>
              </w:rPr>
              <w:t xml:space="preserve"> </w:t>
            </w:r>
            <w:r>
              <w:rPr>
                <w:rFonts w:ascii="Arial;Helvetica;sans-serif" w:hAnsi="Arial;Helvetica;sans-serif"/>
                <w:b w:val="false"/>
                <w:i w:val="false"/>
                <w:caps w:val="false"/>
                <w:smallCaps w:val="false"/>
                <w:sz w:val="20"/>
              </w:rPr>
              <w:t>of</w:t>
            </w:r>
            <w:r>
              <w:rPr>
                <w:caps w:val="false"/>
                <w:smallCaps w:val="false"/>
                <w:spacing w:val="-3"/>
              </w:rPr>
              <w:t xml:space="preserve"> </w:t>
            </w:r>
            <w:r>
              <w:rPr>
                <w:rFonts w:ascii="Arial;Helvetica;sans-serif" w:hAnsi="Arial;Helvetica;sans-serif"/>
                <w:b w:val="false"/>
                <w:i w:val="false"/>
                <w:caps w:val="false"/>
                <w:smallCaps w:val="false"/>
                <w:sz w:val="20"/>
              </w:rPr>
              <w:t>employment</w:t>
            </w:r>
            <w:r>
              <w:rPr>
                <w:caps w:val="false"/>
                <w:smallCaps w:val="false"/>
                <w:spacing w:val="-3"/>
              </w:rPr>
              <w:t xml:space="preserve"> </w:t>
            </w:r>
            <w:r>
              <w:rPr>
                <w:rFonts w:ascii="Arial;Helvetica;sans-serif" w:hAnsi="Arial;Helvetica;sans-serif"/>
                <w:b w:val="false"/>
                <w:i w:val="false"/>
                <w:caps w:val="false"/>
                <w:smallCaps w:val="false"/>
                <w:sz w:val="20"/>
              </w:rPr>
              <w:t>(including</w:t>
            </w:r>
            <w:r>
              <w:rPr>
                <w:caps w:val="false"/>
                <w:smallCaps w:val="false"/>
                <w:spacing w:val="-3"/>
              </w:rPr>
              <w:t xml:space="preserve"> </w:t>
            </w:r>
            <w:r>
              <w:rPr>
                <w:rFonts w:ascii="Arial;Helvetica;sans-serif" w:hAnsi="Arial;Helvetica;sans-serif"/>
                <w:b w:val="false"/>
                <w:i w:val="false"/>
                <w:caps w:val="false"/>
                <w:smallCaps w:val="false"/>
                <w:sz w:val="20"/>
              </w:rPr>
              <w:t>by</w:t>
            </w:r>
            <w:r>
              <w:rPr>
                <w:caps w:val="false"/>
                <w:smallCaps w:val="false"/>
                <w:spacing w:val="-3"/>
              </w:rPr>
              <w:t xml:space="preserve"> </w:t>
            </w:r>
            <w:r>
              <w:rPr>
                <w:rFonts w:ascii="Arial;Helvetica;sans-serif" w:hAnsi="Arial;Helvetica;sans-serif"/>
                <w:b w:val="false"/>
                <w:i w:val="false"/>
                <w:caps w:val="false"/>
                <w:smallCaps w:val="false"/>
                <w:sz w:val="20"/>
              </w:rPr>
              <w:t>providing</w:t>
            </w:r>
            <w:r>
              <w:rPr>
                <w:caps w:val="false"/>
                <w:smallCaps w:val="false"/>
                <w:spacing w:val="-3"/>
              </w:rPr>
              <w:t xml:space="preserve"> </w:t>
            </w:r>
            <w:r>
              <w:rPr>
                <w:rFonts w:ascii="Arial;Helvetica;sans-serif" w:hAnsi="Arial;Helvetica;sans-serif"/>
                <w:b w:val="false"/>
                <w:i w:val="false"/>
                <w:caps w:val="false"/>
                <w:smallCaps w:val="false"/>
                <w:sz w:val="20"/>
              </w:rPr>
              <w:t>names of potential candidates to others to recruit or attempt to hire), of any then current employees of the Company or TTEC Parent or its subsidiaries and affiliates.</w:t>
            </w:r>
          </w:p>
        </w:tc>
        <w:tc>
          <w:tcPr>
            <w:tcW w:w="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3"/>
        <w:gridCol w:w="185"/>
        <w:gridCol w:w="9974"/>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w:t>
            </w:r>
          </w:p>
        </w:tc>
        <w:tc>
          <w:tcPr>
            <w:tcW w:w="9974"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 xml:space="preserve">Client Non-Solicitation Undertaking. </w:t>
            </w:r>
            <w:r>
              <w:rPr>
                <w:rFonts w:ascii="Arial;Helvetica;sans-serif" w:hAnsi="Arial;Helvetica;sans-serif"/>
                <w:b w:val="false"/>
                <w:i w:val="false"/>
                <w:caps w:val="false"/>
                <w:smallCaps w:val="false"/>
                <w:sz w:val="20"/>
              </w:rPr>
              <w:t>The Executive agrees not to solicit or interfere with business relationships between any affiliated company of TTEC Parent and current and prospective (currently actively pursued) clients of companies affiliated with TTEC Parent, or any</w:t>
            </w:r>
            <w:r>
              <w:rPr>
                <w:caps w:val="false"/>
                <w:smallCaps w:val="false"/>
                <w:spacing w:val="40"/>
              </w:rPr>
              <w:t xml:space="preserve"> </w:t>
            </w:r>
            <w:r>
              <w:rPr>
                <w:rFonts w:ascii="Arial;Helvetica;sans-serif" w:hAnsi="Arial;Helvetica;sans-serif"/>
                <w:b w:val="false"/>
                <w:i w:val="false"/>
                <w:caps w:val="false"/>
                <w:smallCaps w:val="false"/>
                <w:sz w:val="20"/>
              </w:rPr>
              <w:t>of its subsidiaries and affiliates, for purposes of offering or accepting goods or services similar to, or</w:t>
            </w:r>
            <w:r>
              <w:rPr>
                <w:caps w:val="false"/>
                <w:smallCaps w:val="false"/>
                <w:spacing w:val="-3"/>
              </w:rPr>
              <w:t xml:space="preserve"> </w:t>
            </w:r>
            <w:r>
              <w:rPr>
                <w:rFonts w:ascii="Arial;Helvetica;sans-serif" w:hAnsi="Arial;Helvetica;sans-serif"/>
                <w:b w:val="false"/>
                <w:i w:val="false"/>
                <w:caps w:val="false"/>
                <w:smallCaps w:val="false"/>
                <w:sz w:val="20"/>
              </w:rPr>
              <w:t>competitive</w:t>
            </w:r>
            <w:r>
              <w:rPr>
                <w:caps w:val="false"/>
                <w:smallCaps w:val="false"/>
                <w:spacing w:val="-3"/>
              </w:rPr>
              <w:t xml:space="preserve"> </w:t>
            </w:r>
            <w:r>
              <w:rPr>
                <w:rFonts w:ascii="Arial;Helvetica;sans-serif" w:hAnsi="Arial;Helvetica;sans-serif"/>
                <w:b w:val="false"/>
                <w:i w:val="false"/>
                <w:caps w:val="false"/>
                <w:smallCaps w:val="false"/>
                <w:sz w:val="20"/>
              </w:rPr>
              <w:t>with,</w:t>
            </w:r>
            <w:r>
              <w:rPr>
                <w:caps w:val="false"/>
                <w:smallCaps w:val="false"/>
                <w:spacing w:val="-3"/>
              </w:rPr>
              <w:t xml:space="preserve"> </w:t>
            </w:r>
            <w:r>
              <w:rPr>
                <w:rFonts w:ascii="Arial;Helvetica;sans-serif" w:hAnsi="Arial;Helvetica;sans-serif"/>
                <w:b w:val="false"/>
                <w:i w:val="false"/>
                <w:caps w:val="false"/>
                <w:smallCaps w:val="false"/>
                <w:sz w:val="20"/>
              </w:rPr>
              <w:t>those</w:t>
            </w:r>
            <w:r>
              <w:rPr>
                <w:caps w:val="false"/>
                <w:smallCaps w:val="false"/>
                <w:spacing w:val="-3"/>
              </w:rPr>
              <w:t xml:space="preserve"> </w:t>
            </w:r>
            <w:r>
              <w:rPr>
                <w:rFonts w:ascii="Arial;Helvetica;sans-serif" w:hAnsi="Arial;Helvetica;sans-serif"/>
                <w:b w:val="false"/>
                <w:i w:val="false"/>
                <w:caps w:val="false"/>
                <w:smallCaps w:val="false"/>
                <w:sz w:val="20"/>
              </w:rPr>
              <w:t>offered</w:t>
            </w:r>
            <w:r>
              <w:rPr>
                <w:caps w:val="false"/>
                <w:smallCaps w:val="false"/>
                <w:spacing w:val="-3"/>
              </w:rPr>
              <w:t xml:space="preserve"> </w:t>
            </w:r>
            <w:r>
              <w:rPr>
                <w:rFonts w:ascii="Arial;Helvetica;sans-serif" w:hAnsi="Arial;Helvetica;sans-serif"/>
                <w:b w:val="false"/>
                <w:i w:val="false"/>
                <w:caps w:val="false"/>
                <w:smallCaps w:val="false"/>
                <w:sz w:val="20"/>
              </w:rPr>
              <w:t>by</w:t>
            </w:r>
            <w:r>
              <w:rPr>
                <w:caps w:val="false"/>
                <w:smallCaps w:val="false"/>
                <w:spacing w:val="-3"/>
              </w:rPr>
              <w:t xml:space="preserve"> </w:t>
            </w:r>
            <w:r>
              <w:rPr>
                <w:rFonts w:ascii="Arial;Helvetica;sans-serif" w:hAnsi="Arial;Helvetica;sans-serif"/>
                <w:b w:val="false"/>
                <w:i w:val="false"/>
                <w:caps w:val="false"/>
                <w:smallCaps w:val="false"/>
                <w:sz w:val="20"/>
              </w:rPr>
              <w:t>TTEC</w:t>
            </w:r>
            <w:r>
              <w:rPr>
                <w:caps w:val="false"/>
                <w:smallCaps w:val="false"/>
                <w:spacing w:val="-4"/>
              </w:rPr>
              <w:t xml:space="preserve"> </w:t>
            </w:r>
            <w:r>
              <w:rPr>
                <w:rFonts w:ascii="Arial;Helvetica;sans-serif" w:hAnsi="Arial;Helvetica;sans-serif"/>
                <w:b w:val="false"/>
                <w:i w:val="false"/>
                <w:caps w:val="false"/>
                <w:smallCaps w:val="false"/>
                <w:sz w:val="20"/>
              </w:rPr>
              <w:t>Parent</w:t>
            </w:r>
            <w:r>
              <w:rPr>
                <w:caps w:val="false"/>
                <w:smallCaps w:val="false"/>
                <w:spacing w:val="-3"/>
              </w:rPr>
              <w:t xml:space="preserve"> </w:t>
            </w:r>
            <w:r>
              <w:rPr>
                <w:rFonts w:ascii="Arial;Helvetica;sans-serif" w:hAnsi="Arial;Helvetica;sans-serif"/>
                <w:b w:val="false"/>
                <w:i w:val="false"/>
                <w:caps w:val="false"/>
                <w:smallCaps w:val="false"/>
                <w:sz w:val="20"/>
              </w:rPr>
              <w:t>affiliated</w:t>
            </w:r>
            <w:r>
              <w:rPr>
                <w:caps w:val="false"/>
                <w:smallCaps w:val="false"/>
                <w:spacing w:val="-3"/>
              </w:rPr>
              <w:t xml:space="preserve"> </w:t>
            </w:r>
            <w:r>
              <w:rPr>
                <w:rFonts w:ascii="Arial;Helvetica;sans-serif" w:hAnsi="Arial;Helvetica;sans-serif"/>
                <w:b w:val="false"/>
                <w:i w:val="false"/>
                <w:caps w:val="false"/>
                <w:smallCaps w:val="false"/>
                <w:sz w:val="20"/>
              </w:rPr>
              <w:t>companies</w:t>
            </w:r>
            <w:r>
              <w:rPr>
                <w:caps w:val="false"/>
                <w:smallCaps w:val="false"/>
                <w:spacing w:val="-3"/>
              </w:rPr>
              <w:t xml:space="preserve"> </w:t>
            </w:r>
            <w:r>
              <w:rPr>
                <w:rFonts w:ascii="Arial;Helvetica;sans-serif" w:hAnsi="Arial;Helvetica;sans-serif"/>
                <w:b w:val="false"/>
                <w:i w:val="false"/>
                <w:caps w:val="false"/>
                <w:smallCaps w:val="false"/>
                <w:sz w:val="20"/>
              </w:rPr>
              <w:t>or</w:t>
            </w:r>
            <w:r>
              <w:rPr>
                <w:caps w:val="false"/>
                <w:smallCaps w:val="false"/>
                <w:spacing w:val="-3"/>
              </w:rPr>
              <w:t xml:space="preserve"> </w:t>
            </w:r>
            <w:r>
              <w:rPr>
                <w:rFonts w:ascii="Arial;Helvetica;sans-serif" w:hAnsi="Arial;Helvetica;sans-serif"/>
                <w:b w:val="false"/>
                <w:i w:val="false"/>
                <w:caps w:val="false"/>
                <w:smallCaps w:val="false"/>
                <w:sz w:val="20"/>
              </w:rPr>
              <w:t>any</w:t>
            </w:r>
            <w:r>
              <w:rPr>
                <w:caps w:val="false"/>
                <w:smallCaps w:val="false"/>
                <w:spacing w:val="-3"/>
              </w:rPr>
              <w:t xml:space="preserve"> </w:t>
            </w:r>
            <w:r>
              <w:rPr>
                <w:rFonts w:ascii="Arial;Helvetica;sans-serif" w:hAnsi="Arial;Helvetica;sans-serif"/>
                <w:b w:val="false"/>
                <w:i w:val="false"/>
                <w:caps w:val="false"/>
                <w:smallCaps w:val="false"/>
                <w:sz w:val="20"/>
              </w:rPr>
              <w:t>of</w:t>
            </w:r>
            <w:r>
              <w:rPr>
                <w:caps w:val="false"/>
                <w:smallCaps w:val="false"/>
                <w:spacing w:val="-3"/>
              </w:rPr>
              <w:t xml:space="preserve"> </w:t>
            </w:r>
            <w:r>
              <w:rPr>
                <w:rFonts w:ascii="Arial;Helvetica;sans-serif" w:hAnsi="Arial;Helvetica;sans-serif"/>
                <w:b w:val="false"/>
                <w:i w:val="false"/>
                <w:caps w:val="false"/>
                <w:smallCaps w:val="false"/>
                <w:sz w:val="20"/>
              </w:rPr>
              <w:t>their</w:t>
            </w:r>
            <w:r>
              <w:rPr>
                <w:caps w:val="false"/>
                <w:smallCaps w:val="false"/>
                <w:spacing w:val="-3"/>
              </w:rPr>
              <w:t xml:space="preserve"> </w:t>
            </w:r>
            <w:r>
              <w:rPr>
                <w:rFonts w:ascii="Arial;Helvetica;sans-serif" w:hAnsi="Arial;Helvetica;sans-serif"/>
                <w:b w:val="false"/>
                <w:i w:val="false"/>
                <w:caps w:val="false"/>
                <w:smallCaps w:val="false"/>
                <w:sz w:val="20"/>
              </w:rPr>
              <w:t>subsidiaries and affiliates.</w:t>
            </w:r>
          </w:p>
        </w:tc>
        <w:tc>
          <w:tcPr>
            <w:tcW w:w="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3"/>
        <w:gridCol w:w="185"/>
        <w:gridCol w:w="9974"/>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w:t>
            </w:r>
          </w:p>
        </w:tc>
        <w:tc>
          <w:tcPr>
            <w:tcW w:w="9974"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Restrictive</w:t>
            </w:r>
            <w:r>
              <w:rPr>
                <w:caps w:val="false"/>
                <w:smallCaps w:val="false"/>
                <w:spacing w:val="-3"/>
              </w:rPr>
              <w:t xml:space="preserve"> </w:t>
            </w:r>
            <w:r>
              <w:rPr>
                <w:rFonts w:ascii="Arial;Helvetica;sans-serif" w:hAnsi="Arial;Helvetica;sans-serif"/>
                <w:b/>
                <w:i w:val="false"/>
                <w:caps w:val="false"/>
                <w:smallCaps w:val="false"/>
                <w:sz w:val="20"/>
              </w:rPr>
              <w:t>Covenants</w:t>
            </w:r>
            <w:r>
              <w:rPr>
                <w:caps w:val="false"/>
                <w:smallCaps w:val="false"/>
                <w:spacing w:val="-3"/>
              </w:rPr>
              <w:t xml:space="preserve"> </w:t>
            </w:r>
            <w:r>
              <w:rPr>
                <w:rFonts w:ascii="Arial;Helvetica;sans-serif" w:hAnsi="Arial;Helvetica;sans-serif"/>
                <w:b/>
                <w:i w:val="false"/>
                <w:caps w:val="false"/>
                <w:smallCaps w:val="false"/>
                <w:sz w:val="20"/>
              </w:rPr>
              <w:t>Territory.</w:t>
            </w:r>
            <w:r>
              <w:rPr>
                <w:caps w:val="false"/>
                <w:smallCaps w:val="false"/>
                <w:spacing w:val="-3"/>
              </w:rPr>
              <w:t xml:space="preserve"> </w:t>
            </w:r>
            <w:r>
              <w:rPr>
                <w:rFonts w:ascii="Arial;Helvetica;sans-serif" w:hAnsi="Arial;Helvetica;sans-serif"/>
                <w:b w:val="false"/>
                <w:i w:val="false"/>
                <w:caps w:val="false"/>
                <w:smallCaps w:val="false"/>
                <w:sz w:val="20"/>
              </w:rPr>
              <w:t>The</w:t>
            </w:r>
            <w:r>
              <w:rPr>
                <w:caps w:val="false"/>
                <w:smallCaps w:val="false"/>
                <w:spacing w:val="-3"/>
              </w:rPr>
              <w:t xml:space="preserve"> </w:t>
            </w:r>
            <w:r>
              <w:rPr>
                <w:rFonts w:ascii="Arial;Helvetica;sans-serif" w:hAnsi="Arial;Helvetica;sans-serif"/>
                <w:b w:val="false"/>
                <w:i w:val="false"/>
                <w:caps w:val="false"/>
                <w:smallCaps w:val="false"/>
                <w:sz w:val="20"/>
              </w:rPr>
              <w:t>restrictive</w:t>
            </w:r>
            <w:r>
              <w:rPr>
                <w:caps w:val="false"/>
                <w:smallCaps w:val="false"/>
                <w:spacing w:val="-3"/>
              </w:rPr>
              <w:t xml:space="preserve"> </w:t>
            </w:r>
            <w:r>
              <w:rPr>
                <w:rFonts w:ascii="Arial;Helvetica;sans-serif" w:hAnsi="Arial;Helvetica;sans-serif"/>
                <w:b w:val="false"/>
                <w:i w:val="false"/>
                <w:caps w:val="false"/>
                <w:smallCaps w:val="false"/>
                <w:sz w:val="20"/>
              </w:rPr>
              <w:t>covenants’</w:t>
            </w:r>
            <w:r>
              <w:rPr>
                <w:caps w:val="false"/>
                <w:smallCaps w:val="false"/>
                <w:spacing w:val="-3"/>
              </w:rPr>
              <w:t xml:space="preserve"> </w:t>
            </w:r>
            <w:r>
              <w:rPr>
                <w:rFonts w:ascii="Arial;Helvetica;sans-serif" w:hAnsi="Arial;Helvetica;sans-serif"/>
                <w:b w:val="false"/>
                <w:i w:val="false"/>
                <w:caps w:val="false"/>
                <w:smallCaps w:val="false"/>
                <w:sz w:val="20"/>
              </w:rPr>
              <w:t>undertakings</w:t>
            </w:r>
            <w:r>
              <w:rPr>
                <w:caps w:val="false"/>
                <w:smallCaps w:val="false"/>
                <w:spacing w:val="-3"/>
              </w:rPr>
              <w:t xml:space="preserve"> </w:t>
            </w:r>
            <w:r>
              <w:rPr>
                <w:rFonts w:ascii="Arial;Helvetica;sans-serif" w:hAnsi="Arial;Helvetica;sans-serif"/>
                <w:b w:val="false"/>
                <w:i w:val="false"/>
                <w:caps w:val="false"/>
                <w:smallCaps w:val="false"/>
                <w:sz w:val="20"/>
              </w:rPr>
              <w:t>outlined</w:t>
            </w:r>
            <w:r>
              <w:rPr>
                <w:caps w:val="false"/>
                <w:smallCaps w:val="false"/>
                <w:spacing w:val="-3"/>
              </w:rPr>
              <w:t xml:space="preserve"> </w:t>
            </w:r>
            <w:r>
              <w:rPr>
                <w:rFonts w:ascii="Arial;Helvetica;sans-serif" w:hAnsi="Arial;Helvetica;sans-serif"/>
                <w:b w:val="false"/>
                <w:i w:val="false"/>
                <w:caps w:val="false"/>
                <w:smallCaps w:val="false"/>
                <w:sz w:val="20"/>
              </w:rPr>
              <w:t>in</w:t>
            </w:r>
            <w:r>
              <w:rPr>
                <w:caps w:val="false"/>
                <w:smallCaps w:val="false"/>
                <w:spacing w:val="-4"/>
              </w:rPr>
              <w:t xml:space="preserve"> </w:t>
            </w:r>
            <w:r>
              <w:rPr>
                <w:rFonts w:ascii="Arial;Helvetica;sans-serif" w:hAnsi="Arial;Helvetica;sans-serif"/>
                <w:b w:val="false"/>
                <w:i w:val="false"/>
                <w:caps w:val="false"/>
                <w:smallCaps w:val="false"/>
                <w:sz w:val="20"/>
              </w:rPr>
              <w:t>Paragraphs 5(a), 5(b), and 5(c) shall be limited by the territory where the Executive performs services for TTEC</w:t>
            </w:r>
            <w:r>
              <w:rPr>
                <w:caps w:val="false"/>
                <w:smallCaps w:val="false"/>
                <w:spacing w:val="-4"/>
              </w:rPr>
              <w:t xml:space="preserve"> </w:t>
            </w:r>
            <w:r>
              <w:rPr>
                <w:rFonts w:ascii="Arial;Helvetica;sans-serif" w:hAnsi="Arial;Helvetica;sans-serif"/>
                <w:b w:val="false"/>
                <w:i w:val="false"/>
                <w:caps w:val="false"/>
                <w:smallCaps w:val="false"/>
                <w:sz w:val="20"/>
              </w:rPr>
              <w:t>Digital</w:t>
            </w:r>
            <w:r>
              <w:rPr>
                <w:caps w:val="false"/>
                <w:smallCaps w:val="false"/>
                <w:spacing w:val="-3"/>
              </w:rPr>
              <w:t xml:space="preserve"> </w:t>
            </w:r>
            <w:r>
              <w:rPr>
                <w:rFonts w:ascii="Arial;Helvetica;sans-serif" w:hAnsi="Arial;Helvetica;sans-serif"/>
                <w:b w:val="false"/>
                <w:i w:val="false"/>
                <w:caps w:val="false"/>
                <w:smallCaps w:val="false"/>
                <w:sz w:val="20"/>
              </w:rPr>
              <w:t>and</w:t>
            </w:r>
            <w:r>
              <w:rPr>
                <w:caps w:val="false"/>
                <w:smallCaps w:val="false"/>
                <w:spacing w:val="-3"/>
              </w:rPr>
              <w:t xml:space="preserve"> </w:t>
            </w:r>
            <w:r>
              <w:rPr>
                <w:rFonts w:ascii="Arial;Helvetica;sans-serif" w:hAnsi="Arial;Helvetica;sans-serif"/>
                <w:b w:val="false"/>
                <w:i w:val="false"/>
                <w:caps w:val="false"/>
                <w:smallCaps w:val="false"/>
                <w:sz w:val="20"/>
              </w:rPr>
              <w:t>TTEC</w:t>
            </w:r>
            <w:r>
              <w:rPr>
                <w:caps w:val="false"/>
                <w:smallCaps w:val="false"/>
                <w:spacing w:val="-4"/>
              </w:rPr>
              <w:t xml:space="preserve"> </w:t>
            </w:r>
            <w:r>
              <w:rPr>
                <w:rFonts w:ascii="Arial;Helvetica;sans-serif" w:hAnsi="Arial;Helvetica;sans-serif"/>
                <w:b w:val="false"/>
                <w:i w:val="false"/>
                <w:caps w:val="false"/>
                <w:smallCaps w:val="false"/>
                <w:sz w:val="20"/>
              </w:rPr>
              <w:t>Parent,</w:t>
            </w:r>
            <w:r>
              <w:rPr>
                <w:caps w:val="false"/>
                <w:smallCaps w:val="false"/>
                <w:spacing w:val="-3"/>
              </w:rPr>
              <w:t xml:space="preserve"> </w:t>
            </w:r>
            <w:r>
              <w:rPr>
                <w:rFonts w:ascii="Arial;Helvetica;sans-serif" w:hAnsi="Arial;Helvetica;sans-serif"/>
                <w:b w:val="false"/>
                <w:i w:val="false"/>
                <w:caps w:val="false"/>
                <w:smallCaps w:val="false"/>
                <w:sz w:val="20"/>
              </w:rPr>
              <w:t>as</w:t>
            </w:r>
            <w:r>
              <w:rPr>
                <w:caps w:val="false"/>
                <w:smallCaps w:val="false"/>
                <w:spacing w:val="-3"/>
              </w:rPr>
              <w:t xml:space="preserve"> </w:t>
            </w:r>
            <w:r>
              <w:rPr>
                <w:rFonts w:ascii="Arial;Helvetica;sans-serif" w:hAnsi="Arial;Helvetica;sans-serif"/>
                <w:b w:val="false"/>
                <w:i w:val="false"/>
                <w:caps w:val="false"/>
                <w:smallCaps w:val="false"/>
                <w:sz w:val="20"/>
              </w:rPr>
              <w:t>contemplated</w:t>
            </w:r>
            <w:r>
              <w:rPr>
                <w:caps w:val="false"/>
                <w:smallCaps w:val="false"/>
                <w:spacing w:val="-3"/>
              </w:rPr>
              <w:t xml:space="preserve"> </w:t>
            </w:r>
            <w:r>
              <w:rPr>
                <w:rFonts w:ascii="Arial;Helvetica;sans-serif" w:hAnsi="Arial;Helvetica;sans-serif"/>
                <w:b w:val="false"/>
                <w:i w:val="false"/>
                <w:caps w:val="false"/>
                <w:smallCaps w:val="false"/>
                <w:sz w:val="20"/>
              </w:rPr>
              <w:t>in</w:t>
            </w:r>
            <w:r>
              <w:rPr>
                <w:caps w:val="false"/>
                <w:smallCaps w:val="false"/>
                <w:spacing w:val="-3"/>
              </w:rPr>
              <w:t xml:space="preserve"> </w:t>
            </w:r>
            <w:r>
              <w:rPr>
                <w:rFonts w:ascii="Arial;Helvetica;sans-serif" w:hAnsi="Arial;Helvetica;sans-serif"/>
                <w:b w:val="false"/>
                <w:i w:val="false"/>
                <w:caps w:val="false"/>
                <w:smallCaps w:val="false"/>
                <w:sz w:val="20"/>
              </w:rPr>
              <w:t>this</w:t>
            </w:r>
            <w:r>
              <w:rPr>
                <w:caps w:val="false"/>
                <w:smallCaps w:val="false"/>
                <w:spacing w:val="-3"/>
              </w:rPr>
              <w:t xml:space="preserve"> </w:t>
            </w:r>
            <w:r>
              <w:rPr>
                <w:rFonts w:ascii="Arial;Helvetica;sans-serif" w:hAnsi="Arial;Helvetica;sans-serif"/>
                <w:b w:val="false"/>
                <w:i w:val="false"/>
                <w:caps w:val="false"/>
                <w:smallCaps w:val="false"/>
                <w:sz w:val="20"/>
              </w:rPr>
              <w:t>Agreement,</w:t>
            </w:r>
            <w:r>
              <w:rPr>
                <w:caps w:val="false"/>
                <w:smallCaps w:val="false"/>
                <w:spacing w:val="-3"/>
              </w:rPr>
              <w:t xml:space="preserve"> </w:t>
            </w:r>
            <w:r>
              <w:rPr>
                <w:rFonts w:ascii="Arial;Helvetica;sans-serif" w:hAnsi="Arial;Helvetica;sans-serif"/>
                <w:b w:val="false"/>
                <w:i w:val="false"/>
                <w:caps w:val="false"/>
                <w:smallCaps w:val="false"/>
                <w:sz w:val="20"/>
              </w:rPr>
              <w:t>including</w:t>
            </w:r>
            <w:r>
              <w:rPr>
                <w:caps w:val="false"/>
                <w:smallCaps w:val="false"/>
                <w:spacing w:val="-3"/>
              </w:rPr>
              <w:t xml:space="preserve"> </w:t>
            </w:r>
            <w:r>
              <w:rPr>
                <w:rFonts w:ascii="Arial;Helvetica;sans-serif" w:hAnsi="Arial;Helvetica;sans-serif"/>
                <w:b w:val="false"/>
                <w:i w:val="false"/>
                <w:caps w:val="false"/>
                <w:smallCaps w:val="false"/>
                <w:sz w:val="20"/>
              </w:rPr>
              <w:t>the</w:t>
            </w:r>
            <w:r>
              <w:rPr>
                <w:caps w:val="false"/>
                <w:smallCaps w:val="false"/>
                <w:spacing w:val="-3"/>
              </w:rPr>
              <w:t xml:space="preserve"> </w:t>
            </w:r>
            <w:r>
              <w:rPr>
                <w:rFonts w:ascii="Arial;Helvetica;sans-serif" w:hAnsi="Arial;Helvetica;sans-serif"/>
                <w:b w:val="false"/>
                <w:i w:val="false"/>
                <w:caps w:val="false"/>
                <w:smallCaps w:val="false"/>
                <w:sz w:val="20"/>
              </w:rPr>
              <w:t>Executive’s</w:t>
            </w:r>
            <w:r>
              <w:rPr>
                <w:caps w:val="false"/>
                <w:smallCaps w:val="false"/>
                <w:spacing w:val="-3"/>
              </w:rPr>
              <w:t xml:space="preserve"> </w:t>
            </w:r>
            <w:r>
              <w:rPr>
                <w:rFonts w:ascii="Arial;Helvetica;sans-serif" w:hAnsi="Arial;Helvetica;sans-serif"/>
                <w:b w:val="false"/>
                <w:i w:val="false"/>
                <w:caps w:val="false"/>
                <w:smallCaps w:val="false"/>
                <w:sz w:val="20"/>
              </w:rPr>
              <w:t>role as the head of Corporate Development for TTEC</w:t>
            </w:r>
            <w:r>
              <w:rPr>
                <w:caps w:val="false"/>
                <w:smallCaps w:val="false"/>
                <w:spacing w:val="-1"/>
              </w:rPr>
              <w:t xml:space="preserve"> </w:t>
            </w:r>
            <w:r>
              <w:rPr>
                <w:rFonts w:ascii="Arial;Helvetica;sans-serif" w:hAnsi="Arial;Helvetica;sans-serif"/>
                <w:b w:val="false"/>
                <w:i w:val="false"/>
                <w:caps w:val="false"/>
                <w:smallCaps w:val="false"/>
                <w:sz w:val="20"/>
              </w:rPr>
              <w:t xml:space="preserve">Parent. For the avoidance of </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0" w:right="0" w:hanging="0"/>
        <w:jc w:val="right"/>
        <w:rPr>
          <w:rFonts w:ascii="Arial;Helvetica;sans-serif" w:hAnsi="Arial;Helvetica;sans-serif"/>
          <w:sz w:val="22"/>
        </w:rPr>
      </w:pPr>
      <w:r>
        <w:rPr>
          <w:rFonts w:ascii="Arial;Helvetica;sans-serif" w:hAnsi="Arial;Helvetica;sans-serif"/>
          <w:sz w:val="22"/>
        </w:rPr>
        <w:t xml:space="preserve">Page </w:t>
      </w:r>
      <w:r>
        <w:rPr>
          <w:rFonts w:ascii="Arial;Helvetica;sans-serif" w:hAnsi="Arial;Helvetica;sans-serif"/>
          <w:b/>
          <w:sz w:val="22"/>
        </w:rPr>
        <w:t>9</w:t>
      </w:r>
      <w:r>
        <w:rPr>
          <w:rFonts w:ascii="Arial;Helvetica;sans-serif" w:hAnsi="Arial;Helvetica;sans-serif"/>
          <w:sz w:val="22"/>
        </w:rPr>
        <w:t xml:space="preserve"> of </w:t>
      </w:r>
      <w:r>
        <w:rPr>
          <w:rFonts w:ascii="Arial;Helvetica;sans-serif" w:hAnsi="Arial;Helvetica;sans-serif"/>
          <w:b/>
          <w:sz w:val="22"/>
        </w:rPr>
        <w:t>15</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
        <w:gridCol w:w="10136"/>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36"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doubt, the term 'performs</w:t>
            </w:r>
            <w:r>
              <w:rPr>
                <w:caps w:val="false"/>
                <w:smallCaps w:val="false"/>
                <w:spacing w:val="-3"/>
              </w:rPr>
              <w:t xml:space="preserve"> </w:t>
            </w:r>
            <w:r>
              <w:rPr>
                <w:rFonts w:ascii="Arial;Helvetica;sans-serif" w:hAnsi="Arial;Helvetica;sans-serif"/>
                <w:b w:val="false"/>
                <w:i w:val="false"/>
                <w:caps w:val="false"/>
                <w:smallCaps w:val="false"/>
                <w:sz w:val="20"/>
              </w:rPr>
              <w:t>services</w:t>
            </w:r>
            <w:r>
              <w:rPr>
                <w:caps w:val="false"/>
                <w:smallCaps w:val="false"/>
                <w:spacing w:val="-3"/>
              </w:rPr>
              <w:t xml:space="preserve"> </w:t>
            </w:r>
            <w:r>
              <w:rPr>
                <w:rFonts w:ascii="Arial;Helvetica;sans-serif" w:hAnsi="Arial;Helvetica;sans-serif"/>
                <w:b w:val="false"/>
                <w:i w:val="false"/>
                <w:caps w:val="false"/>
                <w:smallCaps w:val="false"/>
                <w:sz w:val="20"/>
              </w:rPr>
              <w:t>for'</w:t>
            </w:r>
            <w:r>
              <w:rPr>
                <w:caps w:val="false"/>
                <w:smallCaps w:val="false"/>
                <w:spacing w:val="-3"/>
              </w:rPr>
              <w:t xml:space="preserve"> </w:t>
            </w:r>
            <w:r>
              <w:rPr>
                <w:rFonts w:ascii="Arial;Helvetica;sans-serif" w:hAnsi="Arial;Helvetica;sans-serif"/>
                <w:b w:val="false"/>
                <w:i w:val="false"/>
                <w:caps w:val="false"/>
                <w:smallCaps w:val="false"/>
                <w:sz w:val="20"/>
              </w:rPr>
              <w:t>shall</w:t>
            </w:r>
            <w:r>
              <w:rPr>
                <w:caps w:val="false"/>
                <w:smallCaps w:val="false"/>
                <w:spacing w:val="-3"/>
              </w:rPr>
              <w:t xml:space="preserve"> </w:t>
            </w:r>
            <w:r>
              <w:rPr>
                <w:rFonts w:ascii="Arial;Helvetica;sans-serif" w:hAnsi="Arial;Helvetica;sans-serif"/>
                <w:b w:val="false"/>
                <w:i w:val="false"/>
                <w:caps w:val="false"/>
                <w:smallCaps w:val="false"/>
                <w:sz w:val="20"/>
              </w:rPr>
              <w:t>not</w:t>
            </w:r>
            <w:r>
              <w:rPr>
                <w:caps w:val="false"/>
                <w:smallCaps w:val="false"/>
                <w:spacing w:val="-3"/>
              </w:rPr>
              <w:t xml:space="preserve"> </w:t>
            </w:r>
            <w:r>
              <w:rPr>
                <w:rFonts w:ascii="Arial;Helvetica;sans-serif" w:hAnsi="Arial;Helvetica;sans-serif"/>
                <w:b w:val="false"/>
                <w:i w:val="false"/>
                <w:caps w:val="false"/>
                <w:smallCaps w:val="false"/>
                <w:sz w:val="20"/>
              </w:rPr>
              <w:t>be</w:t>
            </w:r>
            <w:r>
              <w:rPr>
                <w:caps w:val="false"/>
                <w:smallCaps w:val="false"/>
                <w:spacing w:val="-3"/>
              </w:rPr>
              <w:t xml:space="preserve"> </w:t>
            </w:r>
            <w:r>
              <w:rPr>
                <w:rFonts w:ascii="Arial;Helvetica;sans-serif" w:hAnsi="Arial;Helvetica;sans-serif"/>
                <w:b w:val="false"/>
                <w:i w:val="false"/>
                <w:caps w:val="false"/>
                <w:smallCaps w:val="false"/>
                <w:sz w:val="20"/>
              </w:rPr>
              <w:t>limited</w:t>
            </w:r>
            <w:r>
              <w:rPr>
                <w:caps w:val="false"/>
                <w:smallCaps w:val="false"/>
                <w:spacing w:val="-3"/>
              </w:rPr>
              <w:t xml:space="preserve"> </w:t>
            </w:r>
            <w:r>
              <w:rPr>
                <w:rFonts w:ascii="Arial;Helvetica;sans-serif" w:hAnsi="Arial;Helvetica;sans-serif"/>
                <w:b w:val="false"/>
                <w:i w:val="false"/>
                <w:caps w:val="false"/>
                <w:smallCaps w:val="false"/>
                <w:sz w:val="20"/>
              </w:rPr>
              <w:t>to</w:t>
            </w:r>
            <w:r>
              <w:rPr>
                <w:caps w:val="false"/>
                <w:smallCaps w:val="false"/>
                <w:spacing w:val="-3"/>
              </w:rPr>
              <w:t xml:space="preserve"> </w:t>
            </w:r>
            <w:r>
              <w:rPr>
                <w:rFonts w:ascii="Arial;Helvetica;sans-serif" w:hAnsi="Arial;Helvetica;sans-serif"/>
                <w:b w:val="false"/>
                <w:i w:val="false"/>
                <w:caps w:val="false"/>
                <w:smallCaps w:val="false"/>
                <w:sz w:val="20"/>
              </w:rPr>
              <w:t>'works</w:t>
            </w:r>
            <w:r>
              <w:rPr>
                <w:caps w:val="false"/>
                <w:smallCaps w:val="false"/>
                <w:spacing w:val="-3"/>
              </w:rPr>
              <w:t xml:space="preserve"> </w:t>
            </w:r>
            <w:r>
              <w:rPr>
                <w:rFonts w:ascii="Arial;Helvetica;sans-serif" w:hAnsi="Arial;Helvetica;sans-serif"/>
                <w:b w:val="false"/>
                <w:i w:val="false"/>
                <w:caps w:val="false"/>
                <w:smallCaps w:val="false"/>
                <w:sz w:val="20"/>
              </w:rPr>
              <w:t>at'</w:t>
            </w:r>
            <w:r>
              <w:rPr>
                <w:caps w:val="false"/>
                <w:smallCaps w:val="false"/>
                <w:spacing w:val="-3"/>
              </w:rPr>
              <w:t xml:space="preserve"> </w:t>
            </w:r>
            <w:r>
              <w:rPr>
                <w:rFonts w:ascii="Arial;Helvetica;sans-serif" w:hAnsi="Arial;Helvetica;sans-serif"/>
                <w:b w:val="false"/>
                <w:i w:val="false"/>
                <w:caps w:val="false"/>
                <w:smallCaps w:val="false"/>
                <w:sz w:val="20"/>
              </w:rPr>
              <w:t>or</w:t>
            </w:r>
            <w:r>
              <w:rPr>
                <w:caps w:val="false"/>
                <w:smallCaps w:val="false"/>
                <w:spacing w:val="-3"/>
              </w:rPr>
              <w:t xml:space="preserve"> </w:t>
            </w:r>
            <w:r>
              <w:rPr>
                <w:rFonts w:ascii="Arial;Helvetica;sans-serif" w:hAnsi="Arial;Helvetica;sans-serif"/>
                <w:b w:val="false"/>
                <w:i w:val="false"/>
                <w:caps w:val="false"/>
                <w:smallCaps w:val="false"/>
                <w:sz w:val="20"/>
              </w:rPr>
              <w:t>any</w:t>
            </w:r>
            <w:r>
              <w:rPr>
                <w:caps w:val="false"/>
                <w:smallCaps w:val="false"/>
                <w:spacing w:val="-3"/>
              </w:rPr>
              <w:t xml:space="preserve"> </w:t>
            </w:r>
            <w:r>
              <w:rPr>
                <w:rFonts w:ascii="Arial;Helvetica;sans-serif" w:hAnsi="Arial;Helvetica;sans-serif"/>
                <w:b w:val="false"/>
                <w:i w:val="false"/>
                <w:caps w:val="false"/>
                <w:smallCaps w:val="false"/>
                <w:sz w:val="20"/>
              </w:rPr>
              <w:t>other</w:t>
            </w:r>
            <w:r>
              <w:rPr>
                <w:caps w:val="false"/>
                <w:smallCaps w:val="false"/>
                <w:spacing w:val="-3"/>
              </w:rPr>
              <w:t xml:space="preserve"> </w:t>
            </w:r>
            <w:r>
              <w:rPr>
                <w:rFonts w:ascii="Arial;Helvetica;sans-serif" w:hAnsi="Arial;Helvetica;sans-serif"/>
                <w:b w:val="false"/>
                <w:i w:val="false"/>
                <w:caps w:val="false"/>
                <w:smallCaps w:val="false"/>
                <w:sz w:val="20"/>
              </w:rPr>
              <w:t>limitation</w:t>
            </w:r>
            <w:r>
              <w:rPr>
                <w:caps w:val="false"/>
                <w:smallCaps w:val="false"/>
                <w:spacing w:val="-3"/>
              </w:rPr>
              <w:t xml:space="preserve"> </w:t>
            </w:r>
            <w:r>
              <w:rPr>
                <w:rFonts w:ascii="Arial;Helvetica;sans-serif" w:hAnsi="Arial;Helvetica;sans-serif"/>
                <w:b w:val="false"/>
                <w:i w:val="false"/>
                <w:caps w:val="false"/>
                <w:smallCaps w:val="false"/>
                <w:sz w:val="20"/>
              </w:rPr>
              <w:t>delineating</w:t>
            </w:r>
            <w:r>
              <w:rPr>
                <w:caps w:val="false"/>
                <w:smallCaps w:val="false"/>
                <w:spacing w:val="-3"/>
              </w:rPr>
              <w:t xml:space="preserve"> </w:t>
            </w:r>
            <w:r>
              <w:rPr>
                <w:rFonts w:ascii="Arial;Helvetica;sans-serif" w:hAnsi="Arial;Helvetica;sans-serif"/>
                <w:b w:val="false"/>
                <w:i w:val="false"/>
                <w:caps w:val="false"/>
                <w:smallCaps w:val="false"/>
                <w:sz w:val="20"/>
              </w:rPr>
              <w:t>where the</w:t>
            </w:r>
            <w:r>
              <w:rPr>
                <w:caps w:val="false"/>
                <w:smallCaps w:val="false"/>
                <w:spacing w:val="-1"/>
              </w:rPr>
              <w:t xml:space="preserve"> </w:t>
            </w:r>
            <w:r>
              <w:rPr>
                <w:rFonts w:ascii="Arial;Helvetica;sans-serif" w:hAnsi="Arial;Helvetica;sans-serif"/>
                <w:b w:val="false"/>
                <w:i w:val="false"/>
                <w:caps w:val="false"/>
                <w:smallCaps w:val="false"/>
                <w:sz w:val="20"/>
              </w:rPr>
              <w:t>Executive</w:t>
            </w:r>
            <w:r>
              <w:rPr>
                <w:caps w:val="false"/>
                <w:smallCaps w:val="false"/>
                <w:spacing w:val="-1"/>
              </w:rPr>
              <w:t xml:space="preserve"> </w:t>
            </w:r>
            <w:r>
              <w:rPr>
                <w:rFonts w:ascii="Arial;Helvetica;sans-serif" w:hAnsi="Arial;Helvetica;sans-serif"/>
                <w:b w:val="false"/>
                <w:i w:val="false"/>
                <w:caps w:val="false"/>
                <w:smallCaps w:val="false"/>
                <w:sz w:val="20"/>
              </w:rPr>
              <w:t>performs</w:t>
            </w:r>
            <w:r>
              <w:rPr>
                <w:caps w:val="false"/>
                <w:smallCaps w:val="false"/>
                <w:spacing w:val="-1"/>
              </w:rPr>
              <w:t xml:space="preserve"> </w:t>
            </w:r>
            <w:r>
              <w:rPr>
                <w:rFonts w:ascii="Arial;Helvetica;sans-serif" w:hAnsi="Arial;Helvetica;sans-serif"/>
                <w:b w:val="false"/>
                <w:i w:val="false"/>
                <w:caps w:val="false"/>
                <w:smallCaps w:val="false"/>
                <w:sz w:val="20"/>
              </w:rPr>
              <w:t>the</w:t>
            </w:r>
            <w:r>
              <w:rPr>
                <w:caps w:val="false"/>
                <w:smallCaps w:val="false"/>
                <w:spacing w:val="-1"/>
              </w:rPr>
              <w:t xml:space="preserve"> </w:t>
            </w:r>
            <w:r>
              <w:rPr>
                <w:rFonts w:ascii="Arial;Helvetica;sans-serif" w:hAnsi="Arial;Helvetica;sans-serif"/>
                <w:b w:val="false"/>
                <w:i w:val="false"/>
                <w:caps w:val="false"/>
                <w:smallCaps w:val="false"/>
                <w:sz w:val="20"/>
              </w:rPr>
              <w:t>actual</w:t>
            </w:r>
            <w:r>
              <w:rPr>
                <w:caps w:val="false"/>
                <w:smallCaps w:val="false"/>
                <w:spacing w:val="-1"/>
              </w:rPr>
              <w:t xml:space="preserve"> </w:t>
            </w:r>
            <w:r>
              <w:rPr>
                <w:rFonts w:ascii="Arial;Helvetica;sans-serif" w:hAnsi="Arial;Helvetica;sans-serif"/>
                <w:b w:val="false"/>
                <w:i w:val="false"/>
                <w:caps w:val="false"/>
                <w:smallCaps w:val="false"/>
                <w:sz w:val="20"/>
              </w:rPr>
              <w:t>services,</w:t>
            </w:r>
            <w:r>
              <w:rPr>
                <w:caps w:val="false"/>
                <w:smallCaps w:val="false"/>
                <w:spacing w:val="-1"/>
              </w:rPr>
              <w:t xml:space="preserve"> </w:t>
            </w:r>
            <w:r>
              <w:rPr>
                <w:rFonts w:ascii="Arial;Helvetica;sans-serif" w:hAnsi="Arial;Helvetica;sans-serif"/>
                <w:b w:val="false"/>
                <w:i w:val="false"/>
                <w:caps w:val="false"/>
                <w:smallCaps w:val="false"/>
                <w:sz w:val="20"/>
              </w:rPr>
              <w:t>but</w:t>
            </w:r>
            <w:r>
              <w:rPr>
                <w:caps w:val="false"/>
                <w:smallCaps w:val="false"/>
                <w:spacing w:val="-1"/>
              </w:rPr>
              <w:t xml:space="preserve"> </w:t>
            </w:r>
            <w:r>
              <w:rPr>
                <w:rFonts w:ascii="Arial;Helvetica;sans-serif" w:hAnsi="Arial;Helvetica;sans-serif"/>
                <w:b w:val="false"/>
                <w:i w:val="false"/>
                <w:caps w:val="false"/>
                <w:smallCaps w:val="false"/>
                <w:sz w:val="20"/>
              </w:rPr>
              <w:t>instead</w:t>
            </w:r>
            <w:r>
              <w:rPr>
                <w:caps w:val="false"/>
                <w:smallCaps w:val="false"/>
                <w:spacing w:val="-1"/>
              </w:rPr>
              <w:t xml:space="preserve"> </w:t>
            </w:r>
            <w:r>
              <w:rPr>
                <w:rFonts w:ascii="Arial;Helvetica;sans-serif" w:hAnsi="Arial;Helvetica;sans-serif"/>
                <w:b w:val="false"/>
                <w:i w:val="false"/>
                <w:caps w:val="false"/>
                <w:smallCaps w:val="false"/>
                <w:sz w:val="20"/>
              </w:rPr>
              <w:t>shall</w:t>
            </w:r>
            <w:r>
              <w:rPr>
                <w:caps w:val="false"/>
                <w:smallCaps w:val="false"/>
                <w:spacing w:val="-1"/>
              </w:rPr>
              <w:t xml:space="preserve"> </w:t>
            </w:r>
            <w:r>
              <w:rPr>
                <w:rFonts w:ascii="Arial;Helvetica;sans-serif" w:hAnsi="Arial;Helvetica;sans-serif"/>
                <w:b w:val="false"/>
                <w:i w:val="false"/>
                <w:caps w:val="false"/>
                <w:smallCaps w:val="false"/>
                <w:sz w:val="20"/>
              </w:rPr>
              <w:t>relate</w:t>
            </w:r>
            <w:r>
              <w:rPr>
                <w:caps w:val="false"/>
                <w:smallCaps w:val="false"/>
                <w:spacing w:val="-1"/>
              </w:rPr>
              <w:t xml:space="preserve"> </w:t>
            </w:r>
            <w:r>
              <w:rPr>
                <w:rFonts w:ascii="Arial;Helvetica;sans-serif" w:hAnsi="Arial;Helvetica;sans-serif"/>
                <w:b w:val="false"/>
                <w:i w:val="false"/>
                <w:caps w:val="false"/>
                <w:smallCaps w:val="false"/>
                <w:sz w:val="20"/>
              </w:rPr>
              <w:t>to</w:t>
            </w:r>
            <w:r>
              <w:rPr>
                <w:caps w:val="false"/>
                <w:smallCaps w:val="false"/>
                <w:spacing w:val="-1"/>
              </w:rPr>
              <w:t xml:space="preserve"> </w:t>
            </w:r>
            <w:r>
              <w:rPr>
                <w:rFonts w:ascii="Arial;Helvetica;sans-serif" w:hAnsi="Arial;Helvetica;sans-serif"/>
                <w:b w:val="false"/>
                <w:i w:val="false"/>
                <w:caps w:val="false"/>
                <w:smallCaps w:val="false"/>
                <w:sz w:val="20"/>
              </w:rPr>
              <w:t>the</w:t>
            </w:r>
            <w:r>
              <w:rPr>
                <w:caps w:val="false"/>
                <w:smallCaps w:val="false"/>
                <w:spacing w:val="-1"/>
              </w:rPr>
              <w:t xml:space="preserve"> </w:t>
            </w:r>
            <w:r>
              <w:rPr>
                <w:rFonts w:ascii="Arial;Helvetica;sans-serif" w:hAnsi="Arial;Helvetica;sans-serif"/>
                <w:b w:val="false"/>
                <w:i w:val="false"/>
                <w:caps w:val="false"/>
                <w:smallCaps w:val="false"/>
                <w:sz w:val="20"/>
              </w:rPr>
              <w:t>entire</w:t>
            </w:r>
            <w:r>
              <w:rPr>
                <w:caps w:val="false"/>
                <w:smallCaps w:val="false"/>
                <w:spacing w:val="-1"/>
              </w:rPr>
              <w:t xml:space="preserve"> </w:t>
            </w:r>
            <w:r>
              <w:rPr>
                <w:rFonts w:ascii="Arial;Helvetica;sans-serif" w:hAnsi="Arial;Helvetica;sans-serif"/>
                <w:b w:val="false"/>
                <w:i w:val="false"/>
                <w:caps w:val="false"/>
                <w:smallCaps w:val="false"/>
                <w:sz w:val="20"/>
              </w:rPr>
              <w:t>territory</w:t>
            </w:r>
            <w:r>
              <w:rPr>
                <w:caps w:val="false"/>
                <w:smallCaps w:val="false"/>
                <w:spacing w:val="-1"/>
              </w:rPr>
              <w:t xml:space="preserve"> </w:t>
            </w:r>
            <w:r>
              <w:rPr>
                <w:rFonts w:ascii="Arial;Helvetica;sans-serif" w:hAnsi="Arial;Helvetica;sans-serif"/>
                <w:b w:val="false"/>
                <w:i w:val="false"/>
                <w:caps w:val="false"/>
                <w:smallCaps w:val="false"/>
                <w:sz w:val="20"/>
              </w:rPr>
              <w:t>where the Company and/or TTEC Parent benefit and are reasonably expected to benefit from the Executive's services.</w:t>
            </w:r>
          </w:p>
        </w:tc>
        <w:tc>
          <w:tcPr>
            <w:tcW w:w="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3"/>
        <w:gridCol w:w="185"/>
        <w:gridCol w:w="9974"/>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e.</w:t>
            </w:r>
          </w:p>
        </w:tc>
        <w:tc>
          <w:tcPr>
            <w:tcW w:w="9974"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Non-Disclosure</w:t>
            </w:r>
            <w:r>
              <w:rPr>
                <w:caps w:val="false"/>
                <w:smallCaps w:val="false"/>
                <w:spacing w:val="-3"/>
              </w:rPr>
              <w:t xml:space="preserve"> </w:t>
            </w:r>
            <w:r>
              <w:rPr>
                <w:rFonts w:ascii="Arial;Helvetica;sans-serif" w:hAnsi="Arial;Helvetica;sans-serif"/>
                <w:b/>
                <w:i w:val="false"/>
                <w:caps w:val="false"/>
                <w:smallCaps w:val="false"/>
                <w:sz w:val="20"/>
              </w:rPr>
              <w:t>Undertaking.</w:t>
            </w:r>
            <w:r>
              <w:rPr>
                <w:caps w:val="false"/>
                <w:smallCaps w:val="false"/>
                <w:spacing w:val="-3"/>
              </w:rPr>
              <w:t xml:space="preserve"> </w:t>
            </w:r>
            <w:r>
              <w:rPr>
                <w:rFonts w:ascii="Arial;Helvetica;sans-serif" w:hAnsi="Arial;Helvetica;sans-serif"/>
                <w:b w:val="false"/>
                <w:i w:val="false"/>
                <w:caps w:val="false"/>
                <w:smallCaps w:val="false"/>
                <w:sz w:val="20"/>
              </w:rPr>
              <w:t>During</w:t>
            </w:r>
            <w:r>
              <w:rPr>
                <w:caps w:val="false"/>
                <w:smallCaps w:val="false"/>
                <w:spacing w:val="-3"/>
              </w:rPr>
              <w:t xml:space="preserve"> </w:t>
            </w:r>
            <w:r>
              <w:rPr>
                <w:rFonts w:ascii="Arial;Helvetica;sans-serif" w:hAnsi="Arial;Helvetica;sans-serif"/>
                <w:b w:val="false"/>
                <w:i w:val="false"/>
                <w:caps w:val="false"/>
                <w:smallCaps w:val="false"/>
                <w:sz w:val="20"/>
              </w:rPr>
              <w:t>the</w:t>
            </w:r>
            <w:r>
              <w:rPr>
                <w:caps w:val="false"/>
                <w:smallCaps w:val="false"/>
                <w:spacing w:val="-3"/>
              </w:rPr>
              <w:t xml:space="preserve"> </w:t>
            </w:r>
            <w:r>
              <w:rPr>
                <w:rFonts w:ascii="Arial;Helvetica;sans-serif" w:hAnsi="Arial;Helvetica;sans-serif"/>
                <w:b w:val="false"/>
                <w:i w:val="false"/>
                <w:caps w:val="false"/>
                <w:smallCaps w:val="false"/>
                <w:sz w:val="20"/>
              </w:rPr>
              <w:t>term</w:t>
            </w:r>
            <w:r>
              <w:rPr>
                <w:caps w:val="false"/>
                <w:smallCaps w:val="false"/>
                <w:spacing w:val="-4"/>
              </w:rPr>
              <w:t xml:space="preserve"> </w:t>
            </w:r>
            <w:r>
              <w:rPr>
                <w:rFonts w:ascii="Arial;Helvetica;sans-serif" w:hAnsi="Arial;Helvetica;sans-serif"/>
                <w:b w:val="false"/>
                <w:i w:val="false"/>
                <w:caps w:val="false"/>
                <w:smallCaps w:val="false"/>
                <w:sz w:val="20"/>
              </w:rPr>
              <w:t>of</w:t>
            </w:r>
            <w:r>
              <w:rPr>
                <w:caps w:val="false"/>
                <w:smallCaps w:val="false"/>
                <w:spacing w:val="-3"/>
              </w:rPr>
              <w:t xml:space="preserve"> </w:t>
            </w:r>
            <w:r>
              <w:rPr>
                <w:rFonts w:ascii="Arial;Helvetica;sans-serif" w:hAnsi="Arial;Helvetica;sans-serif"/>
                <w:b w:val="false"/>
                <w:i w:val="false"/>
                <w:caps w:val="false"/>
                <w:smallCaps w:val="false"/>
                <w:sz w:val="20"/>
              </w:rPr>
              <w:t>this</w:t>
            </w:r>
            <w:r>
              <w:rPr>
                <w:caps w:val="false"/>
                <w:smallCaps w:val="false"/>
                <w:spacing w:val="-3"/>
              </w:rPr>
              <w:t xml:space="preserve"> </w:t>
            </w:r>
            <w:r>
              <w:rPr>
                <w:rFonts w:ascii="Arial;Helvetica;sans-serif" w:hAnsi="Arial;Helvetica;sans-serif"/>
                <w:b w:val="false"/>
                <w:i w:val="false"/>
                <w:caps w:val="false"/>
                <w:smallCaps w:val="false"/>
                <w:sz w:val="20"/>
              </w:rPr>
              <w:t>Agreement</w:t>
            </w:r>
            <w:r>
              <w:rPr>
                <w:caps w:val="false"/>
                <w:smallCaps w:val="false"/>
                <w:spacing w:val="-3"/>
              </w:rPr>
              <w:t xml:space="preserve"> </w:t>
            </w:r>
            <w:r>
              <w:rPr>
                <w:rFonts w:ascii="Arial;Helvetica;sans-serif" w:hAnsi="Arial;Helvetica;sans-serif"/>
                <w:b w:val="false"/>
                <w:i w:val="false"/>
                <w:caps w:val="false"/>
                <w:smallCaps w:val="false"/>
                <w:sz w:val="20"/>
              </w:rPr>
              <w:t>and</w:t>
            </w:r>
            <w:r>
              <w:rPr>
                <w:caps w:val="false"/>
                <w:smallCaps w:val="false"/>
                <w:spacing w:val="-4"/>
              </w:rPr>
              <w:t xml:space="preserve"> </w:t>
            </w:r>
            <w:r>
              <w:rPr>
                <w:rFonts w:ascii="Arial;Helvetica;sans-serif" w:hAnsi="Arial;Helvetica;sans-serif"/>
                <w:b w:val="false"/>
                <w:i w:val="false"/>
                <w:caps w:val="false"/>
                <w:smallCaps w:val="false"/>
                <w:sz w:val="20"/>
              </w:rPr>
              <w:t>at</w:t>
            </w:r>
            <w:r>
              <w:rPr>
                <w:caps w:val="false"/>
                <w:smallCaps w:val="false"/>
                <w:spacing w:val="-3"/>
              </w:rPr>
              <w:t xml:space="preserve"> </w:t>
            </w:r>
            <w:r>
              <w:rPr>
                <w:rFonts w:ascii="Arial;Helvetica;sans-serif" w:hAnsi="Arial;Helvetica;sans-serif"/>
                <w:b w:val="false"/>
                <w:i w:val="false"/>
                <w:caps w:val="false"/>
                <w:smallCaps w:val="false"/>
                <w:sz w:val="20"/>
              </w:rPr>
              <w:t>all</w:t>
            </w:r>
            <w:r>
              <w:rPr>
                <w:caps w:val="false"/>
                <w:smallCaps w:val="false"/>
                <w:spacing w:val="-3"/>
              </w:rPr>
              <w:t xml:space="preserve"> </w:t>
            </w:r>
            <w:r>
              <w:rPr>
                <w:rFonts w:ascii="Arial;Helvetica;sans-serif" w:hAnsi="Arial;Helvetica;sans-serif"/>
                <w:b w:val="false"/>
                <w:i w:val="false"/>
                <w:caps w:val="false"/>
                <w:smallCaps w:val="false"/>
                <w:sz w:val="20"/>
              </w:rPr>
              <w:t>times</w:t>
            </w:r>
            <w:r>
              <w:rPr>
                <w:caps w:val="false"/>
                <w:smallCaps w:val="false"/>
                <w:spacing w:val="-3"/>
              </w:rPr>
              <w:t xml:space="preserve"> </w:t>
            </w:r>
            <w:r>
              <w:rPr>
                <w:rFonts w:ascii="Arial;Helvetica;sans-serif" w:hAnsi="Arial;Helvetica;sans-serif"/>
                <w:b w:val="false"/>
                <w:i w:val="false"/>
                <w:caps w:val="false"/>
                <w:smallCaps w:val="false"/>
                <w:sz w:val="20"/>
              </w:rPr>
              <w:t>thereafter,</w:t>
            </w:r>
            <w:r>
              <w:rPr>
                <w:caps w:val="false"/>
                <w:smallCaps w:val="false"/>
                <w:spacing w:val="-4"/>
              </w:rPr>
              <w:t xml:space="preserve"> </w:t>
            </w:r>
            <w:r>
              <w:rPr>
                <w:rFonts w:ascii="Arial;Helvetica;sans-serif" w:hAnsi="Arial;Helvetica;sans-serif"/>
                <w:b w:val="false"/>
                <w:i w:val="false"/>
                <w:caps w:val="false"/>
                <w:smallCaps w:val="false"/>
                <w:sz w:val="20"/>
              </w:rPr>
              <w:t>the Executive shall hold in strict confidence and shall not, directly or indirectly, disclose to any third party or use for the Executive's own benefit or the benefit of any person or entity other than the Company and TTEC Parent, any TTEC Parent’s or the Company’s Confidential Information.</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198" w:after="0"/>
        <w:ind w:left="720" w:right="367" w:hanging="0"/>
        <w:jc w:val="left"/>
        <w:rPr>
          <w:rFonts w:ascii="Aptos" w:hAnsi="Aptos"/>
          <w:sz w:val="20"/>
        </w:rPr>
      </w:pPr>
      <w:r>
        <w:rPr>
          <w:rFonts w:ascii="Arial;Helvetica;sans-serif" w:hAnsi="Arial;Helvetica;sans-serif"/>
          <w:sz w:val="20"/>
        </w:rPr>
        <w:t>For purposes of this Agreement, "Confidential Information" means all non-public, proprietary, or confidential</w:t>
      </w:r>
      <w:r>
        <w:rPr>
          <w:rFonts w:ascii="Aptos" w:hAnsi="Aptos"/>
          <w:spacing w:val="-1"/>
          <w:sz w:val="20"/>
        </w:rPr>
        <w:t xml:space="preserve"> </w:t>
      </w:r>
      <w:r>
        <w:rPr>
          <w:rFonts w:ascii="Arial;Helvetica;sans-serif" w:hAnsi="Arial;Helvetica;sans-serif"/>
          <w:sz w:val="20"/>
        </w:rPr>
        <w:t>information</w:t>
      </w:r>
      <w:r>
        <w:rPr>
          <w:rFonts w:ascii="Aptos" w:hAnsi="Aptos"/>
          <w:spacing w:val="-1"/>
          <w:sz w:val="20"/>
        </w:rPr>
        <w:t xml:space="preserve"> </w:t>
      </w:r>
      <w:r>
        <w:rPr>
          <w:rFonts w:ascii="Arial;Helvetica;sans-serif" w:hAnsi="Arial;Helvetica;sans-serif"/>
          <w:sz w:val="20"/>
        </w:rPr>
        <w:t>of</w:t>
      </w:r>
      <w:r>
        <w:rPr>
          <w:rFonts w:ascii="Aptos" w:hAnsi="Aptos"/>
          <w:spacing w:val="-1"/>
          <w:sz w:val="20"/>
        </w:rPr>
        <w:t xml:space="preserve"> </w:t>
      </w:r>
      <w:r>
        <w:rPr>
          <w:rFonts w:ascii="Arial;Helvetica;sans-serif" w:hAnsi="Arial;Helvetica;sans-serif"/>
          <w:sz w:val="20"/>
        </w:rPr>
        <w:t>the</w:t>
      </w:r>
      <w:r>
        <w:rPr>
          <w:rFonts w:ascii="Aptos" w:hAnsi="Aptos"/>
          <w:spacing w:val="-1"/>
          <w:sz w:val="20"/>
        </w:rPr>
        <w:t xml:space="preserve"> </w:t>
      </w:r>
      <w:r>
        <w:rPr>
          <w:rFonts w:ascii="Arial;Helvetica;sans-serif" w:hAnsi="Arial;Helvetica;sans-serif"/>
          <w:sz w:val="20"/>
        </w:rPr>
        <w:t>Company</w:t>
      </w:r>
      <w:r>
        <w:rPr>
          <w:rFonts w:ascii="Aptos" w:hAnsi="Aptos"/>
          <w:spacing w:val="-3"/>
          <w:sz w:val="20"/>
        </w:rPr>
        <w:t xml:space="preserve"> </w:t>
      </w:r>
      <w:r>
        <w:rPr>
          <w:rFonts w:ascii="Arial;Helvetica;sans-serif" w:hAnsi="Arial;Helvetica;sans-serif"/>
          <w:sz w:val="20"/>
        </w:rPr>
        <w:t>or</w:t>
      </w:r>
      <w:r>
        <w:rPr>
          <w:rFonts w:ascii="Aptos" w:hAnsi="Aptos"/>
          <w:spacing w:val="-1"/>
          <w:sz w:val="20"/>
        </w:rPr>
        <w:t xml:space="preserve"> </w:t>
      </w:r>
      <w:r>
        <w:rPr>
          <w:rFonts w:ascii="Arial;Helvetica;sans-serif" w:hAnsi="Arial;Helvetica;sans-serif"/>
          <w:sz w:val="20"/>
        </w:rPr>
        <w:t>TTEC</w:t>
      </w:r>
      <w:r>
        <w:rPr>
          <w:rFonts w:ascii="Aptos" w:hAnsi="Aptos"/>
          <w:spacing w:val="-2"/>
          <w:sz w:val="20"/>
        </w:rPr>
        <w:t xml:space="preserve"> </w:t>
      </w:r>
      <w:r>
        <w:rPr>
          <w:rFonts w:ascii="Arial;Helvetica;sans-serif" w:hAnsi="Arial;Helvetica;sans-serif"/>
          <w:sz w:val="20"/>
        </w:rPr>
        <w:t>Parent</w:t>
      </w:r>
      <w:r>
        <w:rPr>
          <w:rFonts w:ascii="Aptos" w:hAnsi="Aptos"/>
          <w:spacing w:val="-1"/>
          <w:sz w:val="20"/>
        </w:rPr>
        <w:t xml:space="preserve"> </w:t>
      </w:r>
      <w:r>
        <w:rPr>
          <w:rFonts w:ascii="Arial;Helvetica;sans-serif" w:hAnsi="Arial;Helvetica;sans-serif"/>
          <w:sz w:val="20"/>
        </w:rPr>
        <w:t>and</w:t>
      </w:r>
      <w:r>
        <w:rPr>
          <w:rFonts w:ascii="Aptos" w:hAnsi="Aptos"/>
          <w:spacing w:val="-1"/>
          <w:sz w:val="20"/>
        </w:rPr>
        <w:t xml:space="preserve"> </w:t>
      </w:r>
      <w:r>
        <w:rPr>
          <w:rFonts w:ascii="Arial;Helvetica;sans-serif" w:hAnsi="Arial;Helvetica;sans-serif"/>
          <w:sz w:val="20"/>
        </w:rPr>
        <w:t>their</w:t>
      </w:r>
      <w:r>
        <w:rPr>
          <w:rFonts w:ascii="Aptos" w:hAnsi="Aptos"/>
          <w:spacing w:val="-1"/>
          <w:sz w:val="20"/>
        </w:rPr>
        <w:t xml:space="preserve"> </w:t>
      </w:r>
      <w:r>
        <w:rPr>
          <w:rFonts w:ascii="Arial;Helvetica;sans-serif" w:hAnsi="Arial;Helvetica;sans-serif"/>
          <w:sz w:val="20"/>
        </w:rPr>
        <w:t>affiliates,</w:t>
      </w:r>
      <w:r>
        <w:rPr>
          <w:rFonts w:ascii="Aptos" w:hAnsi="Aptos"/>
          <w:spacing w:val="-1"/>
          <w:sz w:val="20"/>
        </w:rPr>
        <w:t xml:space="preserve"> </w:t>
      </w:r>
      <w:r>
        <w:rPr>
          <w:rFonts w:ascii="Arial;Helvetica;sans-serif" w:hAnsi="Arial;Helvetica;sans-serif"/>
          <w:sz w:val="20"/>
        </w:rPr>
        <w:t>in</w:t>
      </w:r>
      <w:r>
        <w:rPr>
          <w:rFonts w:ascii="Aptos" w:hAnsi="Aptos"/>
          <w:spacing w:val="-1"/>
          <w:sz w:val="20"/>
        </w:rPr>
        <w:t xml:space="preserve"> </w:t>
      </w:r>
      <w:r>
        <w:rPr>
          <w:rFonts w:ascii="Arial;Helvetica;sans-serif" w:hAnsi="Arial;Helvetica;sans-serif"/>
          <w:sz w:val="20"/>
        </w:rPr>
        <w:t>any</w:t>
      </w:r>
      <w:r>
        <w:rPr>
          <w:rFonts w:ascii="Aptos" w:hAnsi="Aptos"/>
          <w:spacing w:val="-1"/>
          <w:sz w:val="20"/>
        </w:rPr>
        <w:t xml:space="preserve"> </w:t>
      </w:r>
      <w:r>
        <w:rPr>
          <w:rFonts w:ascii="Arial;Helvetica;sans-serif" w:hAnsi="Arial;Helvetica;sans-serif"/>
          <w:sz w:val="20"/>
        </w:rPr>
        <w:t>form,</w:t>
      </w:r>
      <w:r>
        <w:rPr>
          <w:rFonts w:ascii="Aptos" w:hAnsi="Aptos"/>
          <w:spacing w:val="-1"/>
          <w:sz w:val="20"/>
        </w:rPr>
        <w:t xml:space="preserve"> </w:t>
      </w:r>
      <w:r>
        <w:rPr>
          <w:rFonts w:ascii="Arial;Helvetica;sans-serif" w:hAnsi="Arial;Helvetica;sans-serif"/>
          <w:sz w:val="20"/>
        </w:rPr>
        <w:t>including but not limited to trade secrets, business plans, financial data, customer and vendor lists, pricing strategies, product development information, personnel records, operational methods, technical data, and software. Confidential Information shall not include information that: (a) becomes generally</w:t>
      </w:r>
      <w:r>
        <w:rPr>
          <w:rFonts w:ascii="Aptos" w:hAnsi="Aptos"/>
          <w:spacing w:val="-1"/>
          <w:sz w:val="20"/>
        </w:rPr>
        <w:t xml:space="preserve"> </w:t>
      </w:r>
      <w:r>
        <w:rPr>
          <w:rFonts w:ascii="Arial;Helvetica;sans-serif" w:hAnsi="Arial;Helvetica;sans-serif"/>
          <w:sz w:val="20"/>
        </w:rPr>
        <w:t>available</w:t>
      </w:r>
      <w:r>
        <w:rPr>
          <w:rFonts w:ascii="Aptos" w:hAnsi="Aptos"/>
          <w:spacing w:val="-1"/>
          <w:sz w:val="20"/>
        </w:rPr>
        <w:t xml:space="preserve"> </w:t>
      </w:r>
      <w:r>
        <w:rPr>
          <w:rFonts w:ascii="Arial;Helvetica;sans-serif" w:hAnsi="Arial;Helvetica;sans-serif"/>
          <w:sz w:val="20"/>
        </w:rPr>
        <w:t>to</w:t>
      </w:r>
      <w:r>
        <w:rPr>
          <w:rFonts w:ascii="Aptos" w:hAnsi="Aptos"/>
          <w:spacing w:val="-1"/>
          <w:sz w:val="20"/>
        </w:rPr>
        <w:t xml:space="preserve"> </w:t>
      </w:r>
      <w:r>
        <w:rPr>
          <w:rFonts w:ascii="Arial;Helvetica;sans-serif" w:hAnsi="Arial;Helvetica;sans-serif"/>
          <w:sz w:val="20"/>
        </w:rPr>
        <w:t>the</w:t>
      </w:r>
      <w:r>
        <w:rPr>
          <w:rFonts w:ascii="Aptos" w:hAnsi="Aptos"/>
          <w:spacing w:val="-1"/>
          <w:sz w:val="20"/>
        </w:rPr>
        <w:t xml:space="preserve"> </w:t>
      </w:r>
      <w:r>
        <w:rPr>
          <w:rFonts w:ascii="Arial;Helvetica;sans-serif" w:hAnsi="Arial;Helvetica;sans-serif"/>
          <w:sz w:val="20"/>
        </w:rPr>
        <w:t>public</w:t>
      </w:r>
      <w:r>
        <w:rPr>
          <w:rFonts w:ascii="Aptos" w:hAnsi="Aptos"/>
          <w:spacing w:val="-1"/>
          <w:sz w:val="20"/>
        </w:rPr>
        <w:t xml:space="preserve"> </w:t>
      </w:r>
      <w:r>
        <w:rPr>
          <w:rFonts w:ascii="Arial;Helvetica;sans-serif" w:hAnsi="Arial;Helvetica;sans-serif"/>
          <w:sz w:val="20"/>
        </w:rPr>
        <w:t>through</w:t>
      </w:r>
      <w:r>
        <w:rPr>
          <w:rFonts w:ascii="Aptos" w:hAnsi="Aptos"/>
          <w:spacing w:val="-1"/>
          <w:sz w:val="20"/>
        </w:rPr>
        <w:t xml:space="preserve"> </w:t>
      </w:r>
      <w:r>
        <w:rPr>
          <w:rFonts w:ascii="Arial;Helvetica;sans-serif" w:hAnsi="Arial;Helvetica;sans-serif"/>
          <w:sz w:val="20"/>
        </w:rPr>
        <w:t>no</w:t>
      </w:r>
      <w:r>
        <w:rPr>
          <w:rFonts w:ascii="Aptos" w:hAnsi="Aptos"/>
          <w:spacing w:val="-1"/>
          <w:sz w:val="20"/>
        </w:rPr>
        <w:t xml:space="preserve"> </w:t>
      </w:r>
      <w:r>
        <w:rPr>
          <w:rFonts w:ascii="Arial;Helvetica;sans-serif" w:hAnsi="Arial;Helvetica;sans-serif"/>
          <w:sz w:val="20"/>
        </w:rPr>
        <w:t>fault</w:t>
      </w:r>
      <w:r>
        <w:rPr>
          <w:rFonts w:ascii="Aptos" w:hAnsi="Aptos"/>
          <w:spacing w:val="-1"/>
          <w:sz w:val="20"/>
        </w:rPr>
        <w:t xml:space="preserve"> </w:t>
      </w:r>
      <w:r>
        <w:rPr>
          <w:rFonts w:ascii="Arial;Helvetica;sans-serif" w:hAnsi="Arial;Helvetica;sans-serif"/>
          <w:sz w:val="20"/>
        </w:rPr>
        <w:t>of</w:t>
      </w:r>
      <w:r>
        <w:rPr>
          <w:rFonts w:ascii="Aptos" w:hAnsi="Aptos"/>
          <w:spacing w:val="-1"/>
          <w:sz w:val="20"/>
        </w:rPr>
        <w:t xml:space="preserve"> </w:t>
      </w:r>
      <w:r>
        <w:rPr>
          <w:rFonts w:ascii="Arial;Helvetica;sans-serif" w:hAnsi="Arial;Helvetica;sans-serif"/>
          <w:sz w:val="20"/>
        </w:rPr>
        <w:t>Executive;</w:t>
      </w:r>
      <w:r>
        <w:rPr>
          <w:rFonts w:ascii="Aptos" w:hAnsi="Aptos"/>
          <w:spacing w:val="-1"/>
          <w:sz w:val="20"/>
        </w:rPr>
        <w:t xml:space="preserve"> </w:t>
      </w:r>
      <w:r>
        <w:rPr>
          <w:rFonts w:ascii="Arial;Helvetica;sans-serif" w:hAnsi="Arial;Helvetica;sans-serif"/>
          <w:sz w:val="20"/>
        </w:rPr>
        <w:t>(b)</w:t>
      </w:r>
      <w:r>
        <w:rPr>
          <w:rFonts w:ascii="Aptos" w:hAnsi="Aptos"/>
          <w:spacing w:val="-1"/>
          <w:sz w:val="20"/>
        </w:rPr>
        <w:t xml:space="preserve"> </w:t>
      </w:r>
      <w:r>
        <w:rPr>
          <w:rFonts w:ascii="Arial;Helvetica;sans-serif" w:hAnsi="Arial;Helvetica;sans-serif"/>
          <w:sz w:val="20"/>
        </w:rPr>
        <w:t>was</w:t>
      </w:r>
      <w:r>
        <w:rPr>
          <w:rFonts w:ascii="Aptos" w:hAnsi="Aptos"/>
          <w:spacing w:val="-1"/>
          <w:sz w:val="20"/>
        </w:rPr>
        <w:t xml:space="preserve"> </w:t>
      </w:r>
      <w:r>
        <w:rPr>
          <w:rFonts w:ascii="Arial;Helvetica;sans-serif" w:hAnsi="Arial;Helvetica;sans-serif"/>
          <w:sz w:val="20"/>
        </w:rPr>
        <w:t>known</w:t>
      </w:r>
      <w:r>
        <w:rPr>
          <w:rFonts w:ascii="Aptos" w:hAnsi="Aptos"/>
          <w:spacing w:val="-1"/>
          <w:sz w:val="20"/>
        </w:rPr>
        <w:t xml:space="preserve"> </w:t>
      </w:r>
      <w:r>
        <w:rPr>
          <w:rFonts w:ascii="Arial;Helvetica;sans-serif" w:hAnsi="Arial;Helvetica;sans-serif"/>
          <w:sz w:val="20"/>
        </w:rPr>
        <w:t>to</w:t>
      </w:r>
      <w:r>
        <w:rPr>
          <w:rFonts w:ascii="Aptos" w:hAnsi="Aptos"/>
          <w:spacing w:val="-1"/>
          <w:sz w:val="20"/>
        </w:rPr>
        <w:t xml:space="preserve"> </w:t>
      </w:r>
      <w:r>
        <w:rPr>
          <w:rFonts w:ascii="Arial;Helvetica;sans-serif" w:hAnsi="Arial;Helvetica;sans-serif"/>
          <w:sz w:val="20"/>
        </w:rPr>
        <w:t>Executive</w:t>
      </w:r>
      <w:r>
        <w:rPr>
          <w:rFonts w:ascii="Aptos" w:hAnsi="Aptos"/>
          <w:spacing w:val="-1"/>
          <w:sz w:val="20"/>
        </w:rPr>
        <w:t xml:space="preserve"> </w:t>
      </w:r>
      <w:r>
        <w:rPr>
          <w:rFonts w:ascii="Arial;Helvetica;sans-serif" w:hAnsi="Arial;Helvetica;sans-serif"/>
          <w:sz w:val="20"/>
        </w:rPr>
        <w:t>prior</w:t>
      </w:r>
      <w:r>
        <w:rPr>
          <w:rFonts w:ascii="Aptos" w:hAnsi="Aptos"/>
          <w:spacing w:val="-1"/>
          <w:sz w:val="20"/>
        </w:rPr>
        <w:t xml:space="preserve"> </w:t>
      </w:r>
      <w:r>
        <w:rPr>
          <w:rFonts w:ascii="Arial;Helvetica;sans-serif" w:hAnsi="Arial;Helvetica;sans-serif"/>
          <w:sz w:val="20"/>
        </w:rPr>
        <w:t>to disclosure by the Company; (c) is received from a third party not bound by a confidentiality obligation;</w:t>
      </w:r>
      <w:r>
        <w:rPr>
          <w:rFonts w:ascii="Aptos" w:hAnsi="Aptos"/>
          <w:spacing w:val="-3"/>
          <w:sz w:val="20"/>
        </w:rPr>
        <w:t xml:space="preserve"> </w:t>
      </w:r>
      <w:r>
        <w:rPr>
          <w:rFonts w:ascii="Arial;Helvetica;sans-serif" w:hAnsi="Arial;Helvetica;sans-serif"/>
          <w:sz w:val="20"/>
        </w:rPr>
        <w:t>or</w:t>
      </w:r>
      <w:r>
        <w:rPr>
          <w:rFonts w:ascii="Aptos" w:hAnsi="Aptos"/>
          <w:spacing w:val="-3"/>
          <w:sz w:val="20"/>
        </w:rPr>
        <w:t xml:space="preserve"> </w:t>
      </w:r>
      <w:r>
        <w:rPr>
          <w:rFonts w:ascii="Arial;Helvetica;sans-serif" w:hAnsi="Arial;Helvetica;sans-serif"/>
          <w:sz w:val="20"/>
        </w:rPr>
        <w:t>(d)</w:t>
      </w:r>
      <w:r>
        <w:rPr>
          <w:rFonts w:ascii="Aptos" w:hAnsi="Aptos"/>
          <w:spacing w:val="-3"/>
          <w:sz w:val="20"/>
        </w:rPr>
        <w:t xml:space="preserve"> </w:t>
      </w:r>
      <w:r>
        <w:rPr>
          <w:rFonts w:ascii="Arial;Helvetica;sans-serif" w:hAnsi="Arial;Helvetica;sans-serif"/>
          <w:sz w:val="20"/>
        </w:rPr>
        <w:t>is</w:t>
      </w:r>
      <w:r>
        <w:rPr>
          <w:rFonts w:ascii="Aptos" w:hAnsi="Aptos"/>
          <w:spacing w:val="-3"/>
          <w:sz w:val="20"/>
        </w:rPr>
        <w:t xml:space="preserve"> </w:t>
      </w:r>
      <w:r>
        <w:rPr>
          <w:rFonts w:ascii="Arial;Helvetica;sans-serif" w:hAnsi="Arial;Helvetica;sans-serif"/>
          <w:sz w:val="20"/>
        </w:rPr>
        <w:t>independently</w:t>
      </w:r>
      <w:r>
        <w:rPr>
          <w:rFonts w:ascii="Aptos" w:hAnsi="Aptos"/>
          <w:spacing w:val="-3"/>
          <w:sz w:val="20"/>
        </w:rPr>
        <w:t xml:space="preserve"> </w:t>
      </w:r>
      <w:r>
        <w:rPr>
          <w:rFonts w:ascii="Arial;Helvetica;sans-serif" w:hAnsi="Arial;Helvetica;sans-serif"/>
          <w:sz w:val="20"/>
        </w:rPr>
        <w:t>developed</w:t>
      </w:r>
      <w:r>
        <w:rPr>
          <w:rFonts w:ascii="Aptos" w:hAnsi="Aptos"/>
          <w:spacing w:val="-3"/>
          <w:sz w:val="20"/>
        </w:rPr>
        <w:t xml:space="preserve"> </w:t>
      </w:r>
      <w:r>
        <w:rPr>
          <w:rFonts w:ascii="Arial;Helvetica;sans-serif" w:hAnsi="Arial;Helvetica;sans-serif"/>
          <w:sz w:val="20"/>
        </w:rPr>
        <w:t>by</w:t>
      </w:r>
      <w:r>
        <w:rPr>
          <w:rFonts w:ascii="Aptos" w:hAnsi="Aptos"/>
          <w:spacing w:val="-3"/>
          <w:sz w:val="20"/>
        </w:rPr>
        <w:t xml:space="preserve"> </w:t>
      </w:r>
      <w:r>
        <w:rPr>
          <w:rFonts w:ascii="Arial;Helvetica;sans-serif" w:hAnsi="Arial;Helvetica;sans-serif"/>
          <w:sz w:val="20"/>
        </w:rPr>
        <w:t>Executive</w:t>
      </w:r>
      <w:r>
        <w:rPr>
          <w:rFonts w:ascii="Aptos" w:hAnsi="Aptos"/>
          <w:spacing w:val="-3"/>
          <w:sz w:val="20"/>
        </w:rPr>
        <w:t xml:space="preserve"> </w:t>
      </w:r>
      <w:r>
        <w:rPr>
          <w:rFonts w:ascii="Arial;Helvetica;sans-serif" w:hAnsi="Arial;Helvetica;sans-serif"/>
          <w:sz w:val="20"/>
        </w:rPr>
        <w:t>without</w:t>
      </w:r>
      <w:r>
        <w:rPr>
          <w:rFonts w:ascii="Aptos" w:hAnsi="Aptos"/>
          <w:spacing w:val="-3"/>
          <w:sz w:val="20"/>
        </w:rPr>
        <w:t xml:space="preserve"> </w:t>
      </w:r>
      <w:r>
        <w:rPr>
          <w:rFonts w:ascii="Arial;Helvetica;sans-serif" w:hAnsi="Arial;Helvetica;sans-serif"/>
          <w:sz w:val="20"/>
        </w:rPr>
        <w:t>use</w:t>
      </w:r>
      <w:r>
        <w:rPr>
          <w:rFonts w:ascii="Aptos" w:hAnsi="Aptos"/>
          <w:spacing w:val="-3"/>
          <w:sz w:val="20"/>
        </w:rPr>
        <w:t xml:space="preserve"> </w:t>
      </w:r>
      <w:r>
        <w:rPr>
          <w:rFonts w:ascii="Arial;Helvetica;sans-serif" w:hAnsi="Arial;Helvetica;sans-serif"/>
          <w:sz w:val="20"/>
        </w:rPr>
        <w:t>of</w:t>
      </w:r>
      <w:r>
        <w:rPr>
          <w:rFonts w:ascii="Aptos" w:hAnsi="Aptos"/>
          <w:spacing w:val="-3"/>
          <w:sz w:val="20"/>
        </w:rPr>
        <w:t xml:space="preserve"> </w:t>
      </w:r>
      <w:r>
        <w:rPr>
          <w:rFonts w:ascii="Arial;Helvetica;sans-serif" w:hAnsi="Arial;Helvetica;sans-serif"/>
          <w:sz w:val="20"/>
        </w:rPr>
        <w:t>Confidential</w:t>
      </w:r>
      <w:r>
        <w:rPr>
          <w:rFonts w:ascii="Aptos" w:hAnsi="Aptos"/>
          <w:spacing w:val="-3"/>
          <w:sz w:val="20"/>
        </w:rPr>
        <w:t xml:space="preserve"> </w:t>
      </w:r>
      <w:r>
        <w:rPr>
          <w:rFonts w:ascii="Arial;Helvetica;sans-serif" w:hAnsi="Arial;Helvetica;sans-serif"/>
          <w:sz w:val="20"/>
        </w:rPr>
        <w:t>Information.</w:t>
      </w:r>
    </w:p>
    <w:p>
      <w:pPr>
        <w:pStyle w:val="TextBody"/>
        <w:bidi w:val="0"/>
        <w:spacing w:lineRule="auto" w:line="285" w:before="200" w:after="0"/>
        <w:ind w:left="720" w:right="386" w:hanging="0"/>
        <w:jc w:val="left"/>
        <w:rPr>
          <w:rFonts w:ascii="Aptos" w:hAnsi="Aptos"/>
          <w:sz w:val="20"/>
        </w:rPr>
      </w:pPr>
      <w:r>
        <w:rPr>
          <w:rFonts w:ascii="Arial;Helvetica;sans-serif" w:hAnsi="Arial;Helvetica;sans-serif"/>
          <w:sz w:val="20"/>
        </w:rPr>
        <w:t>The Executive acknowledges that unauthorized disclosure or use of Confidential Information would cause irreparable harm to the Company and TTEC Parent, and that the obligations herein are</w:t>
      </w:r>
      <w:r>
        <w:rPr>
          <w:rFonts w:ascii="Aptos" w:hAnsi="Aptos"/>
          <w:spacing w:val="-3"/>
          <w:sz w:val="20"/>
        </w:rPr>
        <w:t xml:space="preserve"> </w:t>
      </w:r>
      <w:r>
        <w:rPr>
          <w:rFonts w:ascii="Arial;Helvetica;sans-serif" w:hAnsi="Arial;Helvetica;sans-serif"/>
          <w:sz w:val="20"/>
        </w:rPr>
        <w:t>in</w:t>
      </w:r>
      <w:r>
        <w:rPr>
          <w:rFonts w:ascii="Aptos" w:hAnsi="Aptos"/>
          <w:spacing w:val="-3"/>
          <w:sz w:val="20"/>
        </w:rPr>
        <w:t xml:space="preserve"> </w:t>
      </w:r>
      <w:r>
        <w:rPr>
          <w:rFonts w:ascii="Arial;Helvetica;sans-serif" w:hAnsi="Arial;Helvetica;sans-serif"/>
          <w:sz w:val="20"/>
        </w:rPr>
        <w:t>addition</w:t>
      </w:r>
      <w:r>
        <w:rPr>
          <w:rFonts w:ascii="Aptos" w:hAnsi="Aptos"/>
          <w:spacing w:val="-3"/>
          <w:sz w:val="20"/>
        </w:rPr>
        <w:t xml:space="preserve"> </w:t>
      </w:r>
      <w:r>
        <w:rPr>
          <w:rFonts w:ascii="Arial;Helvetica;sans-serif" w:hAnsi="Arial;Helvetica;sans-serif"/>
          <w:sz w:val="20"/>
        </w:rPr>
        <w:t>to</w:t>
      </w:r>
      <w:r>
        <w:rPr>
          <w:rFonts w:ascii="Aptos" w:hAnsi="Aptos"/>
          <w:spacing w:val="-3"/>
          <w:sz w:val="20"/>
        </w:rPr>
        <w:t xml:space="preserve"> </w:t>
      </w:r>
      <w:r>
        <w:rPr>
          <w:rFonts w:ascii="Arial;Helvetica;sans-serif" w:hAnsi="Arial;Helvetica;sans-serif"/>
          <w:sz w:val="20"/>
        </w:rPr>
        <w:t>any</w:t>
      </w:r>
      <w:r>
        <w:rPr>
          <w:rFonts w:ascii="Aptos" w:hAnsi="Aptos"/>
          <w:spacing w:val="-3"/>
          <w:sz w:val="20"/>
        </w:rPr>
        <w:t xml:space="preserve"> </w:t>
      </w:r>
      <w:r>
        <w:rPr>
          <w:rFonts w:ascii="Arial;Helvetica;sans-serif" w:hAnsi="Arial;Helvetica;sans-serif"/>
          <w:sz w:val="20"/>
        </w:rPr>
        <w:t>protections</w:t>
      </w:r>
      <w:r>
        <w:rPr>
          <w:rFonts w:ascii="Aptos" w:hAnsi="Aptos"/>
          <w:spacing w:val="-3"/>
          <w:sz w:val="20"/>
        </w:rPr>
        <w:t xml:space="preserve"> </w:t>
      </w:r>
      <w:r>
        <w:rPr>
          <w:rFonts w:ascii="Arial;Helvetica;sans-serif" w:hAnsi="Arial;Helvetica;sans-serif"/>
          <w:sz w:val="20"/>
        </w:rPr>
        <w:t>afforded</w:t>
      </w:r>
      <w:r>
        <w:rPr>
          <w:rFonts w:ascii="Aptos" w:hAnsi="Aptos"/>
          <w:spacing w:val="-3"/>
          <w:sz w:val="20"/>
        </w:rPr>
        <w:t xml:space="preserve"> </w:t>
      </w:r>
      <w:r>
        <w:rPr>
          <w:rFonts w:ascii="Arial;Helvetica;sans-serif" w:hAnsi="Arial;Helvetica;sans-serif"/>
          <w:sz w:val="20"/>
        </w:rPr>
        <w:t>under</w:t>
      </w:r>
      <w:r>
        <w:rPr>
          <w:rFonts w:ascii="Aptos" w:hAnsi="Aptos"/>
          <w:spacing w:val="-3"/>
          <w:sz w:val="20"/>
        </w:rPr>
        <w:t xml:space="preserve"> </w:t>
      </w:r>
      <w:r>
        <w:rPr>
          <w:rFonts w:ascii="Arial;Helvetica;sans-serif" w:hAnsi="Arial;Helvetica;sans-serif"/>
          <w:sz w:val="20"/>
        </w:rPr>
        <w:t>the</w:t>
      </w:r>
      <w:r>
        <w:rPr>
          <w:rFonts w:ascii="Aptos" w:hAnsi="Aptos"/>
          <w:spacing w:val="-3"/>
          <w:sz w:val="20"/>
        </w:rPr>
        <w:t xml:space="preserve"> </w:t>
      </w:r>
      <w:r>
        <w:rPr>
          <w:rFonts w:ascii="Arial;Helvetica;sans-serif" w:hAnsi="Arial;Helvetica;sans-serif"/>
          <w:sz w:val="20"/>
        </w:rPr>
        <w:t>Colorado</w:t>
      </w:r>
      <w:r>
        <w:rPr>
          <w:rFonts w:ascii="Aptos" w:hAnsi="Aptos"/>
          <w:spacing w:val="-3"/>
          <w:sz w:val="20"/>
        </w:rPr>
        <w:t xml:space="preserve"> </w:t>
      </w:r>
      <w:r>
        <w:rPr>
          <w:rFonts w:ascii="Arial;Helvetica;sans-serif" w:hAnsi="Arial;Helvetica;sans-serif"/>
          <w:sz w:val="20"/>
        </w:rPr>
        <w:t>Uniform</w:t>
      </w:r>
      <w:r>
        <w:rPr>
          <w:rFonts w:ascii="Aptos" w:hAnsi="Aptos"/>
          <w:spacing w:val="-4"/>
          <w:sz w:val="20"/>
        </w:rPr>
        <w:t xml:space="preserve"> </w:t>
      </w:r>
      <w:r>
        <w:rPr>
          <w:rFonts w:ascii="Arial;Helvetica;sans-serif" w:hAnsi="Arial;Helvetica;sans-serif"/>
          <w:sz w:val="20"/>
        </w:rPr>
        <w:t>Trade</w:t>
      </w:r>
      <w:r>
        <w:rPr>
          <w:rFonts w:ascii="Aptos" w:hAnsi="Aptos"/>
          <w:spacing w:val="-3"/>
          <w:sz w:val="20"/>
        </w:rPr>
        <w:t xml:space="preserve"> </w:t>
      </w:r>
      <w:r>
        <w:rPr>
          <w:rFonts w:ascii="Arial;Helvetica;sans-serif" w:hAnsi="Arial;Helvetica;sans-serif"/>
          <w:sz w:val="20"/>
        </w:rPr>
        <w:t>Secrets</w:t>
      </w:r>
      <w:r>
        <w:rPr>
          <w:rFonts w:ascii="Aptos" w:hAnsi="Aptos"/>
          <w:spacing w:val="-3"/>
          <w:sz w:val="20"/>
        </w:rPr>
        <w:t xml:space="preserve"> </w:t>
      </w:r>
      <w:r>
        <w:rPr>
          <w:rFonts w:ascii="Arial;Helvetica;sans-serif" w:hAnsi="Arial;Helvetica;sans-serif"/>
          <w:sz w:val="20"/>
        </w:rPr>
        <w:t>Act,</w:t>
      </w:r>
      <w:r>
        <w:rPr>
          <w:rFonts w:ascii="Aptos" w:hAnsi="Aptos"/>
          <w:spacing w:val="-3"/>
          <w:sz w:val="20"/>
        </w:rPr>
        <w:t xml:space="preserve"> </w:t>
      </w:r>
      <w:r>
        <w:rPr>
          <w:rFonts w:ascii="Arial;Helvetica;sans-serif" w:hAnsi="Arial;Helvetica;sans-serif"/>
          <w:sz w:val="20"/>
        </w:rPr>
        <w:t>C.R.S.</w:t>
      </w:r>
    </w:p>
    <w:p>
      <w:pPr>
        <w:pStyle w:val="TextBody"/>
        <w:bidi w:val="0"/>
        <w:spacing w:lineRule="auto" w:line="285" w:before="1" w:after="0"/>
        <w:ind w:left="720" w:right="0" w:hanging="0"/>
        <w:jc w:val="left"/>
        <w:rPr>
          <w:rFonts w:ascii="Aptos" w:hAnsi="Aptos"/>
          <w:sz w:val="20"/>
        </w:rPr>
      </w:pPr>
      <w:r>
        <w:rPr>
          <w:rFonts w:ascii="Arial;Helvetica;sans-serif" w:hAnsi="Arial;Helvetica;sans-serif"/>
          <w:sz w:val="20"/>
        </w:rPr>
        <w:t>§</w:t>
      </w:r>
      <w:r>
        <w:rPr>
          <w:rFonts w:ascii="Aptos" w:hAnsi="Aptos"/>
          <w:spacing w:val="-5"/>
          <w:sz w:val="20"/>
        </w:rPr>
        <w:t xml:space="preserve"> </w:t>
      </w:r>
      <w:r>
        <w:rPr>
          <w:rFonts w:ascii="Arial;Helvetica;sans-serif" w:hAnsi="Arial;Helvetica;sans-serif"/>
          <w:sz w:val="20"/>
        </w:rPr>
        <w:t>7-74-101</w:t>
      </w:r>
      <w:r>
        <w:rPr>
          <w:rFonts w:ascii="Aptos" w:hAnsi="Aptos"/>
          <w:spacing w:val="-5"/>
          <w:sz w:val="20"/>
        </w:rPr>
        <w:t xml:space="preserve"> </w:t>
      </w:r>
      <w:r>
        <w:rPr>
          <w:rFonts w:ascii="Arial;Helvetica;sans-serif" w:hAnsi="Arial;Helvetica;sans-serif"/>
          <w:sz w:val="20"/>
        </w:rPr>
        <w:t>et</w:t>
      </w:r>
      <w:r>
        <w:rPr>
          <w:rFonts w:ascii="Aptos" w:hAnsi="Aptos"/>
          <w:spacing w:val="-5"/>
          <w:sz w:val="20"/>
        </w:rPr>
        <w:t xml:space="preserve"> </w:t>
      </w:r>
      <w:r>
        <w:rPr>
          <w:rFonts w:ascii="Arial;Helvetica;sans-serif" w:hAnsi="Arial;Helvetica;sans-serif"/>
          <w:sz w:val="20"/>
        </w:rPr>
        <w:t>seq.,</w:t>
      </w:r>
      <w:r>
        <w:rPr>
          <w:rFonts w:ascii="Aptos" w:hAnsi="Aptos"/>
          <w:spacing w:val="-4"/>
          <w:sz w:val="20"/>
        </w:rPr>
        <w:t xml:space="preserve"> </w:t>
      </w:r>
      <w:r>
        <w:rPr>
          <w:rFonts w:ascii="Arial;Helvetica;sans-serif" w:hAnsi="Arial;Helvetica;sans-serif"/>
          <w:sz w:val="20"/>
        </w:rPr>
        <w:t>or</w:t>
      </w:r>
      <w:r>
        <w:rPr>
          <w:rFonts w:ascii="Aptos" w:hAnsi="Aptos"/>
          <w:spacing w:val="-5"/>
          <w:sz w:val="20"/>
        </w:rPr>
        <w:t xml:space="preserve"> </w:t>
      </w:r>
      <w:r>
        <w:rPr>
          <w:rFonts w:ascii="Arial;Helvetica;sans-serif" w:hAnsi="Arial;Helvetica;sans-serif"/>
          <w:sz w:val="20"/>
        </w:rPr>
        <w:t>other</w:t>
      </w:r>
      <w:r>
        <w:rPr>
          <w:rFonts w:ascii="Aptos" w:hAnsi="Aptos"/>
          <w:spacing w:val="-5"/>
          <w:sz w:val="20"/>
        </w:rPr>
        <w:t xml:space="preserve"> </w:t>
      </w:r>
      <w:r>
        <w:rPr>
          <w:rFonts w:ascii="Arial;Helvetica;sans-serif" w:hAnsi="Arial;Helvetica;sans-serif"/>
          <w:sz w:val="20"/>
        </w:rPr>
        <w:t>applicable</w:t>
      </w:r>
      <w:r>
        <w:rPr>
          <w:rFonts w:ascii="Aptos" w:hAnsi="Aptos"/>
          <w:spacing w:val="-4"/>
          <w:sz w:val="20"/>
        </w:rPr>
        <w:t xml:space="preserve"> </w:t>
      </w:r>
      <w:r>
        <w:rPr>
          <w:rFonts w:ascii="Arial;Helvetica;sans-serif" w:hAnsi="Arial;Helvetica;sans-serif"/>
          <w:spacing w:val="-4"/>
          <w:sz w:val="20"/>
        </w:rPr>
        <w:t>law.</w:t>
      </w:r>
    </w:p>
    <w:p>
      <w:pPr>
        <w:pStyle w:val="TextBody"/>
        <w:bidi w:val="0"/>
        <w:spacing w:lineRule="auto" w:line="285" w:before="202" w:after="0"/>
        <w:ind w:left="720" w:right="367" w:hanging="0"/>
        <w:jc w:val="left"/>
        <w:rPr>
          <w:rFonts w:ascii="Aptos" w:hAnsi="Aptos"/>
          <w:sz w:val="20"/>
        </w:rPr>
      </w:pPr>
      <w:r>
        <w:rPr>
          <w:rFonts w:ascii="Arial;Helvetica;sans-serif" w:hAnsi="Arial;Helvetica;sans-serif"/>
          <w:sz w:val="20"/>
        </w:rPr>
        <w:t>Nothing in this Agreement shall prohibit the Executive from: (i) making disclosures required by law, regulation, or court order, provided that the Executive gives the Company prompt written notice (to the extent legally permissible) so that the Company may seek a protective order; (ii) communicating</w:t>
      </w:r>
      <w:r>
        <w:rPr>
          <w:rFonts w:ascii="Aptos" w:hAnsi="Aptos"/>
          <w:spacing w:val="-3"/>
          <w:sz w:val="20"/>
        </w:rPr>
        <w:t xml:space="preserve"> </w:t>
      </w:r>
      <w:r>
        <w:rPr>
          <w:rFonts w:ascii="Arial;Helvetica;sans-serif" w:hAnsi="Arial;Helvetica;sans-serif"/>
          <w:sz w:val="20"/>
        </w:rPr>
        <w:t>with</w:t>
      </w:r>
      <w:r>
        <w:rPr>
          <w:rFonts w:ascii="Aptos" w:hAnsi="Aptos"/>
          <w:spacing w:val="-3"/>
          <w:sz w:val="20"/>
        </w:rPr>
        <w:t xml:space="preserve"> </w:t>
      </w:r>
      <w:r>
        <w:rPr>
          <w:rFonts w:ascii="Arial;Helvetica;sans-serif" w:hAnsi="Arial;Helvetica;sans-serif"/>
          <w:sz w:val="20"/>
        </w:rPr>
        <w:t>any</w:t>
      </w:r>
      <w:r>
        <w:rPr>
          <w:rFonts w:ascii="Aptos" w:hAnsi="Aptos"/>
          <w:spacing w:val="-3"/>
          <w:sz w:val="20"/>
        </w:rPr>
        <w:t xml:space="preserve"> </w:t>
      </w:r>
      <w:r>
        <w:rPr>
          <w:rFonts w:ascii="Arial;Helvetica;sans-serif" w:hAnsi="Arial;Helvetica;sans-serif"/>
          <w:sz w:val="20"/>
        </w:rPr>
        <w:t>federal,</w:t>
      </w:r>
      <w:r>
        <w:rPr>
          <w:rFonts w:ascii="Aptos" w:hAnsi="Aptos"/>
          <w:spacing w:val="-3"/>
          <w:sz w:val="20"/>
        </w:rPr>
        <w:t xml:space="preserve"> </w:t>
      </w:r>
      <w:r>
        <w:rPr>
          <w:rFonts w:ascii="Arial;Helvetica;sans-serif" w:hAnsi="Arial;Helvetica;sans-serif"/>
          <w:sz w:val="20"/>
        </w:rPr>
        <w:t>state,</w:t>
      </w:r>
      <w:r>
        <w:rPr>
          <w:rFonts w:ascii="Aptos" w:hAnsi="Aptos"/>
          <w:spacing w:val="-3"/>
          <w:sz w:val="20"/>
        </w:rPr>
        <w:t xml:space="preserve"> </w:t>
      </w:r>
      <w:r>
        <w:rPr>
          <w:rFonts w:ascii="Arial;Helvetica;sans-serif" w:hAnsi="Arial;Helvetica;sans-serif"/>
          <w:sz w:val="20"/>
        </w:rPr>
        <w:t>or</w:t>
      </w:r>
      <w:r>
        <w:rPr>
          <w:rFonts w:ascii="Aptos" w:hAnsi="Aptos"/>
          <w:spacing w:val="-3"/>
          <w:sz w:val="20"/>
        </w:rPr>
        <w:t xml:space="preserve"> </w:t>
      </w:r>
      <w:r>
        <w:rPr>
          <w:rFonts w:ascii="Arial;Helvetica;sans-serif" w:hAnsi="Arial;Helvetica;sans-serif"/>
          <w:sz w:val="20"/>
        </w:rPr>
        <w:t>local</w:t>
      </w:r>
      <w:r>
        <w:rPr>
          <w:rFonts w:ascii="Aptos" w:hAnsi="Aptos"/>
          <w:spacing w:val="-3"/>
          <w:sz w:val="20"/>
        </w:rPr>
        <w:t xml:space="preserve"> </w:t>
      </w:r>
      <w:r>
        <w:rPr>
          <w:rFonts w:ascii="Arial;Helvetica;sans-serif" w:hAnsi="Arial;Helvetica;sans-serif"/>
          <w:sz w:val="20"/>
        </w:rPr>
        <w:t>governmental</w:t>
      </w:r>
      <w:r>
        <w:rPr>
          <w:rFonts w:ascii="Aptos" w:hAnsi="Aptos"/>
          <w:spacing w:val="-3"/>
          <w:sz w:val="20"/>
        </w:rPr>
        <w:t xml:space="preserve"> </w:t>
      </w:r>
      <w:r>
        <w:rPr>
          <w:rFonts w:ascii="Arial;Helvetica;sans-serif" w:hAnsi="Arial;Helvetica;sans-serif"/>
          <w:sz w:val="20"/>
        </w:rPr>
        <w:t>agency,</w:t>
      </w:r>
      <w:r>
        <w:rPr>
          <w:rFonts w:ascii="Aptos" w:hAnsi="Aptos"/>
          <w:spacing w:val="-3"/>
          <w:sz w:val="20"/>
        </w:rPr>
        <w:t xml:space="preserve"> </w:t>
      </w:r>
      <w:r>
        <w:rPr>
          <w:rFonts w:ascii="Arial;Helvetica;sans-serif" w:hAnsi="Arial;Helvetica;sans-serif"/>
          <w:sz w:val="20"/>
        </w:rPr>
        <w:t>including</w:t>
      </w:r>
      <w:r>
        <w:rPr>
          <w:rFonts w:ascii="Aptos" w:hAnsi="Aptos"/>
          <w:spacing w:val="-3"/>
          <w:sz w:val="20"/>
        </w:rPr>
        <w:t xml:space="preserve"> </w:t>
      </w:r>
      <w:r>
        <w:rPr>
          <w:rFonts w:ascii="Arial;Helvetica;sans-serif" w:hAnsi="Arial;Helvetica;sans-serif"/>
          <w:sz w:val="20"/>
        </w:rPr>
        <w:t>the</w:t>
      </w:r>
      <w:r>
        <w:rPr>
          <w:rFonts w:ascii="Aptos" w:hAnsi="Aptos"/>
          <w:spacing w:val="-3"/>
          <w:sz w:val="20"/>
        </w:rPr>
        <w:t xml:space="preserve"> </w:t>
      </w:r>
      <w:r>
        <w:rPr>
          <w:rFonts w:ascii="Arial;Helvetica;sans-serif" w:hAnsi="Arial;Helvetica;sans-serif"/>
          <w:sz w:val="20"/>
        </w:rPr>
        <w:t>Securities</w:t>
      </w:r>
      <w:r>
        <w:rPr>
          <w:rFonts w:ascii="Aptos" w:hAnsi="Aptos"/>
          <w:spacing w:val="-3"/>
          <w:sz w:val="20"/>
        </w:rPr>
        <w:t xml:space="preserve"> </w:t>
      </w:r>
      <w:r>
        <w:rPr>
          <w:rFonts w:ascii="Arial;Helvetica;sans-serif" w:hAnsi="Arial;Helvetica;sans-serif"/>
          <w:sz w:val="20"/>
        </w:rPr>
        <w:t>and Exchange Commission, the Equal Employment Opportunity Commission, or the Colorado Civil Rights Division; or (iii) making disclosures protected under applicable whistleblower provisions.</w:t>
      </w:r>
    </w:p>
    <w:p>
      <w:pPr>
        <w:pStyle w:val="TextBody"/>
        <w:bidi w:val="0"/>
        <w:spacing w:lineRule="auto" w:line="285" w:before="0" w:after="0"/>
        <w:ind w:left="720" w:right="441" w:hanging="0"/>
        <w:jc w:val="left"/>
        <w:rPr>
          <w:rFonts w:ascii="Aptos" w:hAnsi="Aptos"/>
          <w:sz w:val="20"/>
        </w:rPr>
      </w:pPr>
      <w:r>
        <w:rPr>
          <w:rFonts w:ascii="Arial;Helvetica;sans-serif" w:hAnsi="Arial;Helvetica;sans-serif"/>
          <w:sz w:val="20"/>
        </w:rPr>
        <w:t>Pursuant to the Defend Trade Secrets Act of 2016, 18 U.S.C. § 1833(b), the Executive shall not be</w:t>
      </w:r>
      <w:r>
        <w:rPr>
          <w:rFonts w:ascii="Aptos" w:hAnsi="Aptos"/>
          <w:spacing w:val="-3"/>
          <w:sz w:val="20"/>
        </w:rPr>
        <w:t xml:space="preserve"> </w:t>
      </w:r>
      <w:r>
        <w:rPr>
          <w:rFonts w:ascii="Arial;Helvetica;sans-serif" w:hAnsi="Arial;Helvetica;sans-serif"/>
          <w:sz w:val="20"/>
        </w:rPr>
        <w:t>held</w:t>
      </w:r>
      <w:r>
        <w:rPr>
          <w:rFonts w:ascii="Aptos" w:hAnsi="Aptos"/>
          <w:spacing w:val="-3"/>
          <w:sz w:val="20"/>
        </w:rPr>
        <w:t xml:space="preserve"> </w:t>
      </w:r>
      <w:r>
        <w:rPr>
          <w:rFonts w:ascii="Arial;Helvetica;sans-serif" w:hAnsi="Arial;Helvetica;sans-serif"/>
          <w:sz w:val="20"/>
        </w:rPr>
        <w:t>criminally</w:t>
      </w:r>
      <w:r>
        <w:rPr>
          <w:rFonts w:ascii="Aptos" w:hAnsi="Aptos"/>
          <w:spacing w:val="-3"/>
          <w:sz w:val="20"/>
        </w:rPr>
        <w:t xml:space="preserve"> </w:t>
      </w:r>
      <w:r>
        <w:rPr>
          <w:rFonts w:ascii="Arial;Helvetica;sans-serif" w:hAnsi="Arial;Helvetica;sans-serif"/>
          <w:sz w:val="20"/>
        </w:rPr>
        <w:t>or</w:t>
      </w:r>
      <w:r>
        <w:rPr>
          <w:rFonts w:ascii="Aptos" w:hAnsi="Aptos"/>
          <w:spacing w:val="-3"/>
          <w:sz w:val="20"/>
        </w:rPr>
        <w:t xml:space="preserve"> </w:t>
      </w:r>
      <w:r>
        <w:rPr>
          <w:rFonts w:ascii="Arial;Helvetica;sans-serif" w:hAnsi="Arial;Helvetica;sans-serif"/>
          <w:sz w:val="20"/>
        </w:rPr>
        <w:t>civilly</w:t>
      </w:r>
      <w:r>
        <w:rPr>
          <w:rFonts w:ascii="Aptos" w:hAnsi="Aptos"/>
          <w:spacing w:val="-3"/>
          <w:sz w:val="20"/>
        </w:rPr>
        <w:t xml:space="preserve"> </w:t>
      </w:r>
      <w:r>
        <w:rPr>
          <w:rFonts w:ascii="Arial;Helvetica;sans-serif" w:hAnsi="Arial;Helvetica;sans-serif"/>
          <w:sz w:val="20"/>
        </w:rPr>
        <w:t>liable</w:t>
      </w:r>
      <w:r>
        <w:rPr>
          <w:rFonts w:ascii="Aptos" w:hAnsi="Aptos"/>
          <w:spacing w:val="-3"/>
          <w:sz w:val="20"/>
        </w:rPr>
        <w:t xml:space="preserve"> </w:t>
      </w:r>
      <w:r>
        <w:rPr>
          <w:rFonts w:ascii="Arial;Helvetica;sans-serif" w:hAnsi="Arial;Helvetica;sans-serif"/>
          <w:sz w:val="20"/>
        </w:rPr>
        <w:t>under</w:t>
      </w:r>
      <w:r>
        <w:rPr>
          <w:rFonts w:ascii="Aptos" w:hAnsi="Aptos"/>
          <w:spacing w:val="-3"/>
          <w:sz w:val="20"/>
        </w:rPr>
        <w:t xml:space="preserve"> </w:t>
      </w:r>
      <w:r>
        <w:rPr>
          <w:rFonts w:ascii="Arial;Helvetica;sans-serif" w:hAnsi="Arial;Helvetica;sans-serif"/>
          <w:sz w:val="20"/>
        </w:rPr>
        <w:t>any</w:t>
      </w:r>
      <w:r>
        <w:rPr>
          <w:rFonts w:ascii="Aptos" w:hAnsi="Aptos"/>
          <w:spacing w:val="-3"/>
          <w:sz w:val="20"/>
        </w:rPr>
        <w:t xml:space="preserve"> </w:t>
      </w:r>
      <w:r>
        <w:rPr>
          <w:rFonts w:ascii="Arial;Helvetica;sans-serif" w:hAnsi="Arial;Helvetica;sans-serif"/>
          <w:sz w:val="20"/>
        </w:rPr>
        <w:t>federal</w:t>
      </w:r>
      <w:r>
        <w:rPr>
          <w:rFonts w:ascii="Aptos" w:hAnsi="Aptos"/>
          <w:spacing w:val="-3"/>
          <w:sz w:val="20"/>
        </w:rPr>
        <w:t xml:space="preserve"> </w:t>
      </w:r>
      <w:r>
        <w:rPr>
          <w:rFonts w:ascii="Arial;Helvetica;sans-serif" w:hAnsi="Arial;Helvetica;sans-serif"/>
          <w:sz w:val="20"/>
        </w:rPr>
        <w:t>or</w:t>
      </w:r>
      <w:r>
        <w:rPr>
          <w:rFonts w:ascii="Aptos" w:hAnsi="Aptos"/>
          <w:spacing w:val="-3"/>
          <w:sz w:val="20"/>
        </w:rPr>
        <w:t xml:space="preserve"> </w:t>
      </w:r>
      <w:r>
        <w:rPr>
          <w:rFonts w:ascii="Arial;Helvetica;sans-serif" w:hAnsi="Arial;Helvetica;sans-serif"/>
          <w:sz w:val="20"/>
        </w:rPr>
        <w:t>state</w:t>
      </w:r>
      <w:r>
        <w:rPr>
          <w:rFonts w:ascii="Aptos" w:hAnsi="Aptos"/>
          <w:spacing w:val="-3"/>
          <w:sz w:val="20"/>
        </w:rPr>
        <w:t xml:space="preserve"> </w:t>
      </w:r>
      <w:r>
        <w:rPr>
          <w:rFonts w:ascii="Arial;Helvetica;sans-serif" w:hAnsi="Arial;Helvetica;sans-serif"/>
          <w:sz w:val="20"/>
        </w:rPr>
        <w:t>trade</w:t>
      </w:r>
      <w:r>
        <w:rPr>
          <w:rFonts w:ascii="Aptos" w:hAnsi="Aptos"/>
          <w:spacing w:val="-3"/>
          <w:sz w:val="20"/>
        </w:rPr>
        <w:t xml:space="preserve"> </w:t>
      </w:r>
      <w:r>
        <w:rPr>
          <w:rFonts w:ascii="Arial;Helvetica;sans-serif" w:hAnsi="Arial;Helvetica;sans-serif"/>
          <w:sz w:val="20"/>
        </w:rPr>
        <w:t>secret</w:t>
      </w:r>
      <w:r>
        <w:rPr>
          <w:rFonts w:ascii="Aptos" w:hAnsi="Aptos"/>
          <w:spacing w:val="-3"/>
          <w:sz w:val="20"/>
        </w:rPr>
        <w:t xml:space="preserve"> </w:t>
      </w:r>
      <w:r>
        <w:rPr>
          <w:rFonts w:ascii="Arial;Helvetica;sans-serif" w:hAnsi="Arial;Helvetica;sans-serif"/>
          <w:sz w:val="20"/>
        </w:rPr>
        <w:t>law</w:t>
      </w:r>
      <w:r>
        <w:rPr>
          <w:rFonts w:ascii="Aptos" w:hAnsi="Aptos"/>
          <w:spacing w:val="-4"/>
          <w:sz w:val="20"/>
        </w:rPr>
        <w:t xml:space="preserve"> </w:t>
      </w:r>
      <w:r>
        <w:rPr>
          <w:rFonts w:ascii="Arial;Helvetica;sans-serif" w:hAnsi="Arial;Helvetica;sans-serif"/>
          <w:sz w:val="20"/>
        </w:rPr>
        <w:t>for</w:t>
      </w:r>
      <w:r>
        <w:rPr>
          <w:rFonts w:ascii="Aptos" w:hAnsi="Aptos"/>
          <w:spacing w:val="-3"/>
          <w:sz w:val="20"/>
        </w:rPr>
        <w:t xml:space="preserve"> </w:t>
      </w:r>
      <w:r>
        <w:rPr>
          <w:rFonts w:ascii="Arial;Helvetica;sans-serif" w:hAnsi="Arial;Helvetica;sans-serif"/>
          <w:sz w:val="20"/>
        </w:rPr>
        <w:t>disclosing</w:t>
      </w:r>
      <w:r>
        <w:rPr>
          <w:rFonts w:ascii="Aptos" w:hAnsi="Aptos"/>
          <w:spacing w:val="-3"/>
          <w:sz w:val="20"/>
        </w:rPr>
        <w:t xml:space="preserve"> </w:t>
      </w:r>
      <w:r>
        <w:rPr>
          <w:rFonts w:ascii="Arial;Helvetica;sans-serif" w:hAnsi="Arial;Helvetica;sans-serif"/>
          <w:sz w:val="20"/>
        </w:rPr>
        <w:t>a</w:t>
      </w:r>
      <w:r>
        <w:rPr>
          <w:rFonts w:ascii="Aptos" w:hAnsi="Aptos"/>
          <w:spacing w:val="-3"/>
          <w:sz w:val="20"/>
        </w:rPr>
        <w:t xml:space="preserve"> </w:t>
      </w:r>
      <w:r>
        <w:rPr>
          <w:rFonts w:ascii="Arial;Helvetica;sans-serif" w:hAnsi="Arial;Helvetica;sans-serif"/>
          <w:sz w:val="20"/>
        </w:rPr>
        <w:t xml:space="preserve">trade secret in confidence to a government official or attorney solely to report or investigate a suspected violation of law, or in a complaint or document filed under seal in a lawsuit or </w:t>
      </w:r>
      <w:r>
        <w:rPr>
          <w:rFonts w:ascii="Arial;Helvetica;sans-serif" w:hAnsi="Arial;Helvetica;sans-serif"/>
          <w:spacing w:val="-2"/>
          <w:sz w:val="20"/>
        </w:rPr>
        <w:t>proceeding.</w:t>
      </w:r>
    </w:p>
    <w:p>
      <w:pPr>
        <w:pStyle w:val="TextBody"/>
        <w:bidi w:val="0"/>
        <w:spacing w:lineRule="auto" w:line="285" w:before="197" w:after="0"/>
        <w:ind w:left="720" w:right="341" w:hanging="0"/>
        <w:jc w:val="left"/>
        <w:rPr>
          <w:rFonts w:ascii="Aptos" w:hAnsi="Aptos"/>
          <w:sz w:val="20"/>
        </w:rPr>
      </w:pPr>
      <w:r>
        <w:rPr>
          <w:rFonts w:ascii="Arial;Helvetica;sans-serif" w:hAnsi="Arial;Helvetica;sans-serif"/>
          <w:sz w:val="20"/>
        </w:rPr>
        <w:t>Upon</w:t>
      </w:r>
      <w:r>
        <w:rPr>
          <w:rFonts w:ascii="Aptos" w:hAnsi="Aptos"/>
          <w:spacing w:val="-4"/>
          <w:sz w:val="20"/>
        </w:rPr>
        <w:t xml:space="preserve"> </w:t>
      </w:r>
      <w:r>
        <w:rPr>
          <w:rFonts w:ascii="Arial;Helvetica;sans-serif" w:hAnsi="Arial;Helvetica;sans-serif"/>
          <w:sz w:val="20"/>
        </w:rPr>
        <w:t>termination</w:t>
      </w:r>
      <w:r>
        <w:rPr>
          <w:rFonts w:ascii="Aptos" w:hAnsi="Aptos"/>
          <w:spacing w:val="-4"/>
          <w:sz w:val="20"/>
        </w:rPr>
        <w:t xml:space="preserve"> </w:t>
      </w:r>
      <w:r>
        <w:rPr>
          <w:rFonts w:ascii="Arial;Helvetica;sans-serif" w:hAnsi="Arial;Helvetica;sans-serif"/>
          <w:sz w:val="20"/>
        </w:rPr>
        <w:t>of</w:t>
      </w:r>
      <w:r>
        <w:rPr>
          <w:rFonts w:ascii="Aptos" w:hAnsi="Aptos"/>
          <w:spacing w:val="-4"/>
          <w:sz w:val="20"/>
        </w:rPr>
        <w:t xml:space="preserve"> </w:t>
      </w:r>
      <w:r>
        <w:rPr>
          <w:rFonts w:ascii="Arial;Helvetica;sans-serif" w:hAnsi="Arial;Helvetica;sans-serif"/>
          <w:sz w:val="20"/>
        </w:rPr>
        <w:t>employment</w:t>
      </w:r>
      <w:r>
        <w:rPr>
          <w:rFonts w:ascii="Aptos" w:hAnsi="Aptos"/>
          <w:spacing w:val="-4"/>
          <w:sz w:val="20"/>
        </w:rPr>
        <w:t xml:space="preserve"> </w:t>
      </w:r>
      <w:r>
        <w:rPr>
          <w:rFonts w:ascii="Arial;Helvetica;sans-serif" w:hAnsi="Arial;Helvetica;sans-serif"/>
          <w:sz w:val="20"/>
        </w:rPr>
        <w:t>or</w:t>
      </w:r>
      <w:r>
        <w:rPr>
          <w:rFonts w:ascii="Aptos" w:hAnsi="Aptos"/>
          <w:spacing w:val="-4"/>
          <w:sz w:val="20"/>
        </w:rPr>
        <w:t xml:space="preserve"> </w:t>
      </w:r>
      <w:r>
        <w:rPr>
          <w:rFonts w:ascii="Arial;Helvetica;sans-serif" w:hAnsi="Arial;Helvetica;sans-serif"/>
          <w:sz w:val="20"/>
        </w:rPr>
        <w:t>at</w:t>
      </w:r>
      <w:r>
        <w:rPr>
          <w:rFonts w:ascii="Aptos" w:hAnsi="Aptos"/>
          <w:spacing w:val="-4"/>
          <w:sz w:val="20"/>
        </w:rPr>
        <w:t xml:space="preserve"> </w:t>
      </w:r>
      <w:r>
        <w:rPr>
          <w:rFonts w:ascii="Arial;Helvetica;sans-serif" w:hAnsi="Arial;Helvetica;sans-serif"/>
          <w:sz w:val="20"/>
        </w:rPr>
        <w:t>the</w:t>
      </w:r>
      <w:r>
        <w:rPr>
          <w:rFonts w:ascii="Aptos" w:hAnsi="Aptos"/>
          <w:spacing w:val="-4"/>
          <w:sz w:val="20"/>
        </w:rPr>
        <w:t xml:space="preserve"> </w:t>
      </w:r>
      <w:r>
        <w:rPr>
          <w:rFonts w:ascii="Arial;Helvetica;sans-serif" w:hAnsi="Arial;Helvetica;sans-serif"/>
          <w:sz w:val="20"/>
        </w:rPr>
        <w:t>Company's</w:t>
      </w:r>
      <w:r>
        <w:rPr>
          <w:rFonts w:ascii="Aptos" w:hAnsi="Aptos"/>
          <w:spacing w:val="-4"/>
          <w:sz w:val="20"/>
        </w:rPr>
        <w:t xml:space="preserve"> </w:t>
      </w:r>
      <w:r>
        <w:rPr>
          <w:rFonts w:ascii="Arial;Helvetica;sans-serif" w:hAnsi="Arial;Helvetica;sans-serif"/>
          <w:sz w:val="20"/>
        </w:rPr>
        <w:t>request,</w:t>
      </w:r>
      <w:r>
        <w:rPr>
          <w:rFonts w:ascii="Aptos" w:hAnsi="Aptos"/>
          <w:spacing w:val="-4"/>
          <w:sz w:val="20"/>
        </w:rPr>
        <w:t xml:space="preserve"> </w:t>
      </w:r>
      <w:r>
        <w:rPr>
          <w:rFonts w:ascii="Arial;Helvetica;sans-serif" w:hAnsi="Arial;Helvetica;sans-serif"/>
          <w:sz w:val="20"/>
        </w:rPr>
        <w:t>Executive</w:t>
      </w:r>
      <w:r>
        <w:rPr>
          <w:rFonts w:ascii="Aptos" w:hAnsi="Aptos"/>
          <w:spacing w:val="-4"/>
          <w:sz w:val="20"/>
        </w:rPr>
        <w:t xml:space="preserve"> </w:t>
      </w:r>
      <w:r>
        <w:rPr>
          <w:rFonts w:ascii="Arial;Helvetica;sans-serif" w:hAnsi="Arial;Helvetica;sans-serif"/>
          <w:sz w:val="20"/>
        </w:rPr>
        <w:t>shall</w:t>
      </w:r>
      <w:r>
        <w:rPr>
          <w:rFonts w:ascii="Aptos" w:hAnsi="Aptos"/>
          <w:spacing w:val="-4"/>
          <w:sz w:val="20"/>
        </w:rPr>
        <w:t xml:space="preserve"> </w:t>
      </w:r>
      <w:r>
        <w:rPr>
          <w:rFonts w:ascii="Arial;Helvetica;sans-serif" w:hAnsi="Arial;Helvetica;sans-serif"/>
          <w:sz w:val="20"/>
        </w:rPr>
        <w:t>promptly</w:t>
      </w:r>
      <w:r>
        <w:rPr>
          <w:rFonts w:ascii="Aptos" w:hAnsi="Aptos"/>
          <w:spacing w:val="-4"/>
          <w:sz w:val="20"/>
        </w:rPr>
        <w:t xml:space="preserve"> </w:t>
      </w:r>
      <w:r>
        <w:rPr>
          <w:rFonts w:ascii="Arial;Helvetica;sans-serif" w:hAnsi="Arial;Helvetica;sans-serif"/>
          <w:sz w:val="20"/>
        </w:rPr>
        <w:t>return</w:t>
      </w:r>
      <w:r>
        <w:rPr>
          <w:rFonts w:ascii="Aptos" w:hAnsi="Aptos"/>
          <w:spacing w:val="-4"/>
          <w:sz w:val="20"/>
        </w:rPr>
        <w:t xml:space="preserve"> </w:t>
      </w:r>
      <w:r>
        <w:rPr>
          <w:rFonts w:ascii="Arial;Helvetica;sans-serif" w:hAnsi="Arial;Helvetica;sans-serif"/>
          <w:sz w:val="20"/>
        </w:rPr>
        <w:t>or destroy all materials containing Confidential Information, including electronic copies on personal devices or cloud accounts, and shall certify such return or destruction in writing upon request.</w:t>
      </w:r>
    </w:p>
    <w:p>
      <w:pPr>
        <w:pStyle w:val="TextBody"/>
        <w:bidi w:val="0"/>
        <w:spacing w:lineRule="auto" w:line="285" w:before="1" w:after="0"/>
        <w:ind w:left="720" w:right="386" w:hanging="0"/>
        <w:jc w:val="left"/>
        <w:rPr>
          <w:rFonts w:ascii="Aptos" w:hAnsi="Aptos"/>
          <w:sz w:val="20"/>
        </w:rPr>
      </w:pPr>
      <w:r>
        <w:rPr>
          <w:rFonts w:ascii="Arial;Helvetica;sans-serif" w:hAnsi="Arial;Helvetica;sans-serif"/>
          <w:sz w:val="20"/>
        </w:rPr>
        <w:t>The</w:t>
      </w:r>
      <w:r>
        <w:rPr>
          <w:rFonts w:ascii="Aptos" w:hAnsi="Aptos"/>
          <w:spacing w:val="-3"/>
          <w:sz w:val="20"/>
        </w:rPr>
        <w:t xml:space="preserve"> </w:t>
      </w:r>
      <w:r>
        <w:rPr>
          <w:rFonts w:ascii="Arial;Helvetica;sans-serif" w:hAnsi="Arial;Helvetica;sans-serif"/>
          <w:sz w:val="20"/>
        </w:rPr>
        <w:t>obligations</w:t>
      </w:r>
      <w:r>
        <w:rPr>
          <w:rFonts w:ascii="Aptos" w:hAnsi="Aptos"/>
          <w:spacing w:val="-3"/>
          <w:sz w:val="20"/>
        </w:rPr>
        <w:t xml:space="preserve"> </w:t>
      </w:r>
      <w:r>
        <w:rPr>
          <w:rFonts w:ascii="Arial;Helvetica;sans-serif" w:hAnsi="Arial;Helvetica;sans-serif"/>
          <w:sz w:val="20"/>
        </w:rPr>
        <w:t>under</w:t>
      </w:r>
      <w:r>
        <w:rPr>
          <w:rFonts w:ascii="Aptos" w:hAnsi="Aptos"/>
          <w:spacing w:val="-3"/>
          <w:sz w:val="20"/>
        </w:rPr>
        <w:t xml:space="preserve"> </w:t>
      </w:r>
      <w:r>
        <w:rPr>
          <w:rFonts w:ascii="Arial;Helvetica;sans-serif" w:hAnsi="Arial;Helvetica;sans-serif"/>
          <w:sz w:val="20"/>
        </w:rPr>
        <w:t>this</w:t>
      </w:r>
      <w:r>
        <w:rPr>
          <w:rFonts w:ascii="Aptos" w:hAnsi="Aptos"/>
          <w:spacing w:val="-3"/>
          <w:sz w:val="20"/>
        </w:rPr>
        <w:t xml:space="preserve"> </w:t>
      </w:r>
      <w:r>
        <w:rPr>
          <w:rFonts w:ascii="Arial;Helvetica;sans-serif" w:hAnsi="Arial;Helvetica;sans-serif"/>
          <w:sz w:val="20"/>
        </w:rPr>
        <w:t>section</w:t>
      </w:r>
      <w:r>
        <w:rPr>
          <w:rFonts w:ascii="Aptos" w:hAnsi="Aptos"/>
          <w:spacing w:val="-3"/>
          <w:sz w:val="20"/>
        </w:rPr>
        <w:t xml:space="preserve"> </w:t>
      </w:r>
      <w:r>
        <w:rPr>
          <w:rFonts w:ascii="Arial;Helvetica;sans-serif" w:hAnsi="Arial;Helvetica;sans-serif"/>
          <w:sz w:val="20"/>
        </w:rPr>
        <w:t>shall</w:t>
      </w:r>
      <w:r>
        <w:rPr>
          <w:rFonts w:ascii="Aptos" w:hAnsi="Aptos"/>
          <w:spacing w:val="-3"/>
          <w:sz w:val="20"/>
        </w:rPr>
        <w:t xml:space="preserve"> </w:t>
      </w:r>
      <w:r>
        <w:rPr>
          <w:rFonts w:ascii="Arial;Helvetica;sans-serif" w:hAnsi="Arial;Helvetica;sans-serif"/>
          <w:sz w:val="20"/>
        </w:rPr>
        <w:t>survive</w:t>
      </w:r>
      <w:r>
        <w:rPr>
          <w:rFonts w:ascii="Aptos" w:hAnsi="Aptos"/>
          <w:spacing w:val="-3"/>
          <w:sz w:val="20"/>
        </w:rPr>
        <w:t xml:space="preserve"> </w:t>
      </w:r>
      <w:r>
        <w:rPr>
          <w:rFonts w:ascii="Arial;Helvetica;sans-serif" w:hAnsi="Arial;Helvetica;sans-serif"/>
          <w:sz w:val="20"/>
        </w:rPr>
        <w:t>termination</w:t>
      </w:r>
      <w:r>
        <w:rPr>
          <w:rFonts w:ascii="Aptos" w:hAnsi="Aptos"/>
          <w:spacing w:val="-3"/>
          <w:sz w:val="20"/>
        </w:rPr>
        <w:t xml:space="preserve"> </w:t>
      </w:r>
      <w:r>
        <w:rPr>
          <w:rFonts w:ascii="Arial;Helvetica;sans-serif" w:hAnsi="Arial;Helvetica;sans-serif"/>
          <w:sz w:val="20"/>
        </w:rPr>
        <w:t>of</w:t>
      </w:r>
      <w:r>
        <w:rPr>
          <w:rFonts w:ascii="Aptos" w:hAnsi="Aptos"/>
          <w:spacing w:val="-3"/>
          <w:sz w:val="20"/>
        </w:rPr>
        <w:t xml:space="preserve"> </w:t>
      </w:r>
      <w:r>
        <w:rPr>
          <w:rFonts w:ascii="Arial;Helvetica;sans-serif" w:hAnsi="Arial;Helvetica;sans-serif"/>
          <w:sz w:val="20"/>
        </w:rPr>
        <w:t>Executive's</w:t>
      </w:r>
      <w:r>
        <w:rPr>
          <w:rFonts w:ascii="Aptos" w:hAnsi="Aptos"/>
          <w:spacing w:val="-3"/>
          <w:sz w:val="20"/>
        </w:rPr>
        <w:t xml:space="preserve"> </w:t>
      </w:r>
      <w:r>
        <w:rPr>
          <w:rFonts w:ascii="Arial;Helvetica;sans-serif" w:hAnsi="Arial;Helvetica;sans-serif"/>
          <w:sz w:val="20"/>
        </w:rPr>
        <w:t>employment</w:t>
      </w:r>
      <w:r>
        <w:rPr>
          <w:rFonts w:ascii="Aptos" w:hAnsi="Aptos"/>
          <w:spacing w:val="-3"/>
          <w:sz w:val="20"/>
        </w:rPr>
        <w:t xml:space="preserve"> </w:t>
      </w:r>
      <w:r>
        <w:rPr>
          <w:rFonts w:ascii="Arial;Helvetica;sans-serif" w:hAnsi="Arial;Helvetica;sans-serif"/>
          <w:sz w:val="20"/>
        </w:rPr>
        <w:t>and</w:t>
      </w:r>
      <w:r>
        <w:rPr>
          <w:rFonts w:ascii="Aptos" w:hAnsi="Aptos"/>
          <w:spacing w:val="-3"/>
          <w:sz w:val="20"/>
        </w:rPr>
        <w:t xml:space="preserve"> </w:t>
      </w:r>
      <w:r>
        <w:rPr>
          <w:rFonts w:ascii="Arial;Helvetica;sans-serif" w:hAnsi="Arial;Helvetica;sans-serif"/>
          <w:sz w:val="20"/>
        </w:rPr>
        <w:t>this Agreement for so long as the Confidential Information retains its confidential nature or, with respect to trade secrets, for so long as such information qualifies as a trade secret under applicable law.</w:t>
      </w:r>
    </w:p>
    <w:p>
      <w:pPr>
        <w:pStyle w:val="TextBody"/>
        <w:bidi w:val="0"/>
        <w:spacing w:lineRule="auto" w:line="285" w:before="204" w:after="0"/>
        <w:ind w:left="720" w:right="503" w:hanging="0"/>
        <w:jc w:val="left"/>
        <w:rPr>
          <w:rFonts w:ascii="Aptos" w:hAnsi="Aptos"/>
          <w:sz w:val="20"/>
        </w:rPr>
      </w:pPr>
      <w:r>
        <w:rPr>
          <w:rFonts w:ascii="Arial;Helvetica;sans-serif" w:hAnsi="Arial;Helvetica;sans-serif"/>
          <w:sz w:val="20"/>
        </w:rPr>
        <w:t>Executive</w:t>
      </w:r>
      <w:r>
        <w:rPr>
          <w:rFonts w:ascii="Aptos" w:hAnsi="Aptos"/>
          <w:spacing w:val="-3"/>
          <w:sz w:val="20"/>
        </w:rPr>
        <w:t xml:space="preserve"> </w:t>
      </w:r>
      <w:r>
        <w:rPr>
          <w:rFonts w:ascii="Arial;Helvetica;sans-serif" w:hAnsi="Arial;Helvetica;sans-serif"/>
          <w:sz w:val="20"/>
        </w:rPr>
        <w:t>acknowledges</w:t>
      </w:r>
      <w:r>
        <w:rPr>
          <w:rFonts w:ascii="Aptos" w:hAnsi="Aptos"/>
          <w:spacing w:val="-3"/>
          <w:sz w:val="20"/>
        </w:rPr>
        <w:t xml:space="preserve"> </w:t>
      </w:r>
      <w:r>
        <w:rPr>
          <w:rFonts w:ascii="Arial;Helvetica;sans-serif" w:hAnsi="Arial;Helvetica;sans-serif"/>
          <w:sz w:val="20"/>
        </w:rPr>
        <w:t>and</w:t>
      </w:r>
      <w:r>
        <w:rPr>
          <w:rFonts w:ascii="Aptos" w:hAnsi="Aptos"/>
          <w:spacing w:val="-3"/>
          <w:sz w:val="20"/>
        </w:rPr>
        <w:t xml:space="preserve"> </w:t>
      </w:r>
      <w:r>
        <w:rPr>
          <w:rFonts w:ascii="Arial;Helvetica;sans-serif" w:hAnsi="Arial;Helvetica;sans-serif"/>
          <w:sz w:val="20"/>
        </w:rPr>
        <w:t>agrees</w:t>
      </w:r>
      <w:r>
        <w:rPr>
          <w:rFonts w:ascii="Aptos" w:hAnsi="Aptos"/>
          <w:spacing w:val="-3"/>
          <w:sz w:val="20"/>
        </w:rPr>
        <w:t xml:space="preserve"> </w:t>
      </w:r>
      <w:r>
        <w:rPr>
          <w:rFonts w:ascii="Arial;Helvetica;sans-serif" w:hAnsi="Arial;Helvetica;sans-serif"/>
          <w:sz w:val="20"/>
        </w:rPr>
        <w:t>that</w:t>
      </w:r>
      <w:r>
        <w:rPr>
          <w:rFonts w:ascii="Aptos" w:hAnsi="Aptos"/>
          <w:spacing w:val="-3"/>
          <w:sz w:val="20"/>
        </w:rPr>
        <w:t xml:space="preserve"> </w:t>
      </w:r>
      <w:r>
        <w:rPr>
          <w:rFonts w:ascii="Arial;Helvetica;sans-serif" w:hAnsi="Arial;Helvetica;sans-serif"/>
          <w:sz w:val="20"/>
        </w:rPr>
        <w:t>any</w:t>
      </w:r>
      <w:r>
        <w:rPr>
          <w:rFonts w:ascii="Aptos" w:hAnsi="Aptos"/>
          <w:spacing w:val="-3"/>
          <w:sz w:val="20"/>
        </w:rPr>
        <w:t xml:space="preserve"> </w:t>
      </w:r>
      <w:r>
        <w:rPr>
          <w:rFonts w:ascii="Arial;Helvetica;sans-serif" w:hAnsi="Arial;Helvetica;sans-serif"/>
          <w:sz w:val="20"/>
        </w:rPr>
        <w:t>breach</w:t>
      </w:r>
      <w:r>
        <w:rPr>
          <w:rFonts w:ascii="Aptos" w:hAnsi="Aptos"/>
          <w:spacing w:val="-3"/>
          <w:sz w:val="20"/>
        </w:rPr>
        <w:t xml:space="preserve"> </w:t>
      </w:r>
      <w:r>
        <w:rPr>
          <w:rFonts w:ascii="Arial;Helvetica;sans-serif" w:hAnsi="Arial;Helvetica;sans-serif"/>
          <w:sz w:val="20"/>
        </w:rPr>
        <w:t>or</w:t>
      </w:r>
      <w:r>
        <w:rPr>
          <w:rFonts w:ascii="Aptos" w:hAnsi="Aptos"/>
          <w:spacing w:val="-3"/>
          <w:sz w:val="20"/>
        </w:rPr>
        <w:t xml:space="preserve"> </w:t>
      </w:r>
      <w:r>
        <w:rPr>
          <w:rFonts w:ascii="Arial;Helvetica;sans-serif" w:hAnsi="Arial;Helvetica;sans-serif"/>
          <w:sz w:val="20"/>
        </w:rPr>
        <w:t>threatened</w:t>
      </w:r>
      <w:r>
        <w:rPr>
          <w:rFonts w:ascii="Aptos" w:hAnsi="Aptos"/>
          <w:spacing w:val="-3"/>
          <w:sz w:val="20"/>
        </w:rPr>
        <w:t xml:space="preserve"> </w:t>
      </w:r>
      <w:r>
        <w:rPr>
          <w:rFonts w:ascii="Arial;Helvetica;sans-serif" w:hAnsi="Arial;Helvetica;sans-serif"/>
          <w:sz w:val="20"/>
        </w:rPr>
        <w:t>breach</w:t>
      </w:r>
      <w:r>
        <w:rPr>
          <w:rFonts w:ascii="Aptos" w:hAnsi="Aptos"/>
          <w:spacing w:val="-3"/>
          <w:sz w:val="20"/>
        </w:rPr>
        <w:t xml:space="preserve"> </w:t>
      </w:r>
      <w:r>
        <w:rPr>
          <w:rFonts w:ascii="Arial;Helvetica;sans-serif" w:hAnsi="Arial;Helvetica;sans-serif"/>
          <w:sz w:val="20"/>
        </w:rPr>
        <w:t>of</w:t>
      </w:r>
      <w:r>
        <w:rPr>
          <w:rFonts w:ascii="Aptos" w:hAnsi="Aptos"/>
          <w:spacing w:val="-3"/>
          <w:sz w:val="20"/>
        </w:rPr>
        <w:t xml:space="preserve"> </w:t>
      </w:r>
      <w:r>
        <w:rPr>
          <w:rFonts w:ascii="Arial;Helvetica;sans-serif" w:hAnsi="Arial;Helvetica;sans-serif"/>
          <w:sz w:val="20"/>
        </w:rPr>
        <w:t>this</w:t>
      </w:r>
      <w:r>
        <w:rPr>
          <w:rFonts w:ascii="Aptos" w:hAnsi="Aptos"/>
          <w:spacing w:val="-3"/>
          <w:sz w:val="20"/>
        </w:rPr>
        <w:t xml:space="preserve"> </w:t>
      </w:r>
      <w:r>
        <w:rPr>
          <w:rFonts w:ascii="Arial;Helvetica;sans-serif" w:hAnsi="Arial;Helvetica;sans-serif"/>
          <w:sz w:val="20"/>
        </w:rPr>
        <w:t>section</w:t>
      </w:r>
      <w:r>
        <w:rPr>
          <w:rFonts w:ascii="Aptos" w:hAnsi="Aptos"/>
          <w:spacing w:val="-3"/>
          <w:sz w:val="20"/>
        </w:rPr>
        <w:t xml:space="preserve"> </w:t>
      </w:r>
      <w:r>
        <w:rPr>
          <w:rFonts w:ascii="Arial;Helvetica;sans-serif" w:hAnsi="Arial;Helvetica;sans-serif"/>
          <w:sz w:val="20"/>
        </w:rPr>
        <w:t>would cause irreparable injury to the Company and TTEC Parent for which monetary damages alone would be an inadequate remedy, and that the Company and TTEC Parent shall be entitled to seek injunctive relief, specific performance, or other equitable remedies from any court of competent jurisdiction, without the necessity of proving actual damages or posting any bond, in addition to all other remedies available at law or in equity.</w:t>
      </w:r>
    </w:p>
    <w:tbl>
      <w:tblPr>
        <w:tblW w:w="10205" w:type="dxa"/>
        <w:jc w:val="left"/>
        <w:tblInd w:w="0" w:type="dxa"/>
        <w:tblLayout w:type="fixed"/>
        <w:tblCellMar>
          <w:top w:w="0" w:type="dxa"/>
          <w:left w:w="0" w:type="dxa"/>
          <w:bottom w:w="0" w:type="dxa"/>
          <w:right w:w="0" w:type="dxa"/>
        </w:tblCellMar>
      </w:tblPr>
      <w:tblGrid>
        <w:gridCol w:w="23"/>
        <w:gridCol w:w="140"/>
        <w:gridCol w:w="1001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w:t>
            </w:r>
          </w:p>
        </w:tc>
        <w:tc>
          <w:tcPr>
            <w:tcW w:w="10019"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Timely Notice.</w:t>
            </w:r>
            <w:r>
              <w:rPr>
                <w:caps w:val="false"/>
                <w:smallCaps w:val="false"/>
                <w:spacing w:val="40"/>
              </w:rPr>
              <w:t xml:space="preserve"> </w:t>
            </w:r>
            <w:r>
              <w:rPr>
                <w:rFonts w:ascii="Arial;Helvetica;sans-serif" w:hAnsi="Arial;Helvetica;sans-serif"/>
                <w:b w:val="false"/>
                <w:i w:val="false"/>
                <w:caps w:val="false"/>
                <w:smallCaps w:val="false"/>
                <w:sz w:val="20"/>
              </w:rPr>
              <w:t>The Executive acknowledges that he received timely notice of the restrictive covenants</w:t>
            </w:r>
            <w:r>
              <w:rPr>
                <w:caps w:val="false"/>
                <w:smallCaps w:val="false"/>
                <w:spacing w:val="-3"/>
              </w:rPr>
              <w:t xml:space="preserve"> </w:t>
            </w:r>
            <w:r>
              <w:rPr>
                <w:rFonts w:ascii="Arial;Helvetica;sans-serif" w:hAnsi="Arial;Helvetica;sans-serif"/>
                <w:b w:val="false"/>
                <w:i w:val="false"/>
                <w:caps w:val="false"/>
                <w:smallCaps w:val="false"/>
                <w:sz w:val="20"/>
              </w:rPr>
              <w:t>contained</w:t>
            </w:r>
            <w:r>
              <w:rPr>
                <w:caps w:val="false"/>
                <w:smallCaps w:val="false"/>
                <w:spacing w:val="-3"/>
              </w:rPr>
              <w:t xml:space="preserve"> </w:t>
            </w:r>
            <w:r>
              <w:rPr>
                <w:rFonts w:ascii="Arial;Helvetica;sans-serif" w:hAnsi="Arial;Helvetica;sans-serif"/>
                <w:b w:val="false"/>
                <w:i w:val="false"/>
                <w:caps w:val="false"/>
                <w:smallCaps w:val="false"/>
                <w:sz w:val="20"/>
              </w:rPr>
              <w:t>in</w:t>
            </w:r>
            <w:r>
              <w:rPr>
                <w:caps w:val="false"/>
                <w:smallCaps w:val="false"/>
                <w:spacing w:val="-3"/>
              </w:rPr>
              <w:t xml:space="preserve"> </w:t>
            </w:r>
            <w:r>
              <w:rPr>
                <w:rFonts w:ascii="Arial;Helvetica;sans-serif" w:hAnsi="Arial;Helvetica;sans-serif"/>
                <w:b w:val="false"/>
                <w:i w:val="false"/>
                <w:caps w:val="false"/>
                <w:smallCaps w:val="false"/>
                <w:sz w:val="20"/>
              </w:rPr>
              <w:t>the</w:t>
            </w:r>
            <w:r>
              <w:rPr>
                <w:caps w:val="false"/>
                <w:smallCaps w:val="false"/>
                <w:spacing w:val="-3"/>
              </w:rPr>
              <w:t xml:space="preserve"> </w:t>
            </w:r>
            <w:r>
              <w:rPr>
                <w:rFonts w:ascii="Arial;Helvetica;sans-serif" w:hAnsi="Arial;Helvetica;sans-serif"/>
                <w:b w:val="false"/>
                <w:i w:val="false"/>
                <w:caps w:val="false"/>
                <w:smallCaps w:val="false"/>
                <w:sz w:val="20"/>
              </w:rPr>
              <w:t>Paragraphs</w:t>
            </w:r>
            <w:r>
              <w:rPr>
                <w:caps w:val="false"/>
                <w:smallCaps w:val="false"/>
                <w:spacing w:val="-3"/>
              </w:rPr>
              <w:t xml:space="preserve"> </w:t>
            </w:r>
            <w:r>
              <w:rPr>
                <w:rFonts w:ascii="Arial;Helvetica;sans-serif" w:hAnsi="Arial;Helvetica;sans-serif"/>
                <w:b w:val="false"/>
                <w:i w:val="false"/>
                <w:caps w:val="false"/>
                <w:smallCaps w:val="false"/>
                <w:sz w:val="20"/>
              </w:rPr>
              <w:t>5(a),</w:t>
            </w:r>
            <w:r>
              <w:rPr>
                <w:caps w:val="false"/>
                <w:smallCaps w:val="false"/>
                <w:spacing w:val="-3"/>
              </w:rPr>
              <w:t xml:space="preserve"> </w:t>
            </w:r>
            <w:r>
              <w:rPr>
                <w:rFonts w:ascii="Arial;Helvetica;sans-serif" w:hAnsi="Arial;Helvetica;sans-serif"/>
                <w:b w:val="false"/>
                <w:i w:val="false"/>
                <w:caps w:val="false"/>
                <w:smallCaps w:val="false"/>
                <w:sz w:val="20"/>
              </w:rPr>
              <w:t>5(b),</w:t>
            </w:r>
            <w:r>
              <w:rPr>
                <w:caps w:val="false"/>
                <w:smallCaps w:val="false"/>
                <w:spacing w:val="-3"/>
              </w:rPr>
              <w:t xml:space="preserve"> </w:t>
            </w:r>
            <w:r>
              <w:rPr>
                <w:rFonts w:ascii="Arial;Helvetica;sans-serif" w:hAnsi="Arial;Helvetica;sans-serif"/>
                <w:b w:val="false"/>
                <w:i w:val="false"/>
                <w:caps w:val="false"/>
                <w:smallCaps w:val="false"/>
                <w:sz w:val="20"/>
              </w:rPr>
              <w:t>5(c)</w:t>
            </w:r>
            <w:r>
              <w:rPr>
                <w:caps w:val="false"/>
                <w:smallCaps w:val="false"/>
                <w:spacing w:val="-3"/>
              </w:rPr>
              <w:t xml:space="preserve"> </w:t>
            </w:r>
            <w:r>
              <w:rPr>
                <w:rFonts w:ascii="Arial;Helvetica;sans-serif" w:hAnsi="Arial;Helvetica;sans-serif"/>
                <w:b w:val="false"/>
                <w:i w:val="false"/>
                <w:caps w:val="false"/>
                <w:smallCaps w:val="false"/>
                <w:sz w:val="20"/>
              </w:rPr>
              <w:t>and</w:t>
            </w:r>
            <w:r>
              <w:rPr>
                <w:caps w:val="false"/>
                <w:smallCaps w:val="false"/>
                <w:spacing w:val="-3"/>
              </w:rPr>
              <w:t xml:space="preserve"> </w:t>
            </w:r>
            <w:r>
              <w:rPr>
                <w:rFonts w:ascii="Arial;Helvetica;sans-serif" w:hAnsi="Arial;Helvetica;sans-serif"/>
                <w:b w:val="false"/>
                <w:i w:val="false"/>
                <w:caps w:val="false"/>
                <w:smallCaps w:val="false"/>
                <w:sz w:val="20"/>
              </w:rPr>
              <w:t>5(d)</w:t>
            </w:r>
            <w:r>
              <w:rPr>
                <w:caps w:val="false"/>
                <w:smallCaps w:val="false"/>
                <w:spacing w:val="-3"/>
              </w:rPr>
              <w:t xml:space="preserve"> </w:t>
            </w:r>
            <w:r>
              <w:rPr>
                <w:rFonts w:ascii="Arial;Helvetica;sans-serif" w:hAnsi="Arial;Helvetica;sans-serif"/>
                <w:b w:val="false"/>
                <w:i w:val="false"/>
                <w:caps w:val="false"/>
                <w:smallCaps w:val="false"/>
                <w:sz w:val="20"/>
              </w:rPr>
              <w:t>of</w:t>
            </w:r>
            <w:r>
              <w:rPr>
                <w:caps w:val="false"/>
                <w:smallCaps w:val="false"/>
                <w:spacing w:val="-3"/>
              </w:rPr>
              <w:t xml:space="preserve"> </w:t>
            </w:r>
            <w:r>
              <w:rPr>
                <w:rFonts w:ascii="Arial;Helvetica;sans-serif" w:hAnsi="Arial;Helvetica;sans-serif"/>
                <w:b w:val="false"/>
                <w:i w:val="false"/>
                <w:caps w:val="false"/>
                <w:smallCaps w:val="false"/>
                <w:sz w:val="20"/>
              </w:rPr>
              <w:t>this</w:t>
            </w:r>
            <w:r>
              <w:rPr>
                <w:caps w:val="false"/>
                <w:smallCaps w:val="false"/>
                <w:spacing w:val="-3"/>
              </w:rPr>
              <w:t xml:space="preserve"> </w:t>
            </w:r>
            <w:r>
              <w:rPr>
                <w:rFonts w:ascii="Arial;Helvetica;sans-serif" w:hAnsi="Arial;Helvetica;sans-serif"/>
                <w:b w:val="false"/>
                <w:i w:val="false"/>
                <w:caps w:val="false"/>
                <w:smallCaps w:val="false"/>
                <w:sz w:val="20"/>
              </w:rPr>
              <w:t>Agreement</w:t>
            </w:r>
            <w:r>
              <w:rPr>
                <w:caps w:val="false"/>
                <w:smallCaps w:val="false"/>
                <w:spacing w:val="-3"/>
              </w:rPr>
              <w:t xml:space="preserve"> </w:t>
            </w:r>
            <w:r>
              <w:rPr>
                <w:rFonts w:ascii="Arial;Helvetica;sans-serif" w:hAnsi="Arial;Helvetica;sans-serif"/>
                <w:b w:val="false"/>
                <w:i w:val="false"/>
                <w:caps w:val="false"/>
                <w:smallCaps w:val="false"/>
                <w:sz w:val="20"/>
              </w:rPr>
              <w:t>pursuant</w:t>
            </w:r>
            <w:r>
              <w:rPr>
                <w:caps w:val="false"/>
                <w:smallCaps w:val="false"/>
                <w:spacing w:val="-3"/>
              </w:rPr>
              <w:t xml:space="preserve"> </w:t>
            </w:r>
            <w:r>
              <w:rPr>
                <w:rFonts w:ascii="Arial;Helvetica;sans-serif" w:hAnsi="Arial;Helvetica;sans-serif"/>
                <w:b w:val="false"/>
                <w:i w:val="false"/>
                <w:caps w:val="false"/>
                <w:smallCaps w:val="false"/>
                <w:sz w:val="20"/>
              </w:rPr>
              <w:t xml:space="preserve">to </w:t>
            </w:r>
            <w:r>
              <w:rPr>
                <w:rFonts w:ascii="Arial;Helvetica;sans-serif" w:hAnsi="Arial;Helvetica;sans-serif"/>
                <w:b w:val="false"/>
                <w:i w:val="false"/>
                <w:caps w:val="false"/>
                <w:smallCaps w:val="false"/>
                <w:color w:val="1B1A18"/>
                <w:sz w:val="20"/>
              </w:rPr>
              <w:t>C.R.S.</w:t>
            </w:r>
            <w:r>
              <w:rPr>
                <w:caps w:val="false"/>
                <w:smallCaps w:val="false"/>
                <w:color w:val="1B1A18"/>
                <w:spacing w:val="-7"/>
              </w:rPr>
              <w:t xml:space="preserve"> </w:t>
            </w:r>
            <w:r>
              <w:rPr>
                <w:rFonts w:ascii="Arial;Helvetica;sans-serif" w:hAnsi="Arial;Helvetica;sans-serif"/>
                <w:b w:val="false"/>
                <w:i w:val="false"/>
                <w:caps w:val="false"/>
                <w:smallCaps w:val="false"/>
                <w:color w:val="1B1A18"/>
                <w:sz w:val="20"/>
              </w:rPr>
              <w:t>§</w:t>
            </w:r>
            <w:r>
              <w:rPr>
                <w:caps w:val="false"/>
                <w:smallCaps w:val="false"/>
                <w:color w:val="1B1A18"/>
                <w:spacing w:val="-7"/>
              </w:rPr>
              <w:t xml:space="preserve"> </w:t>
            </w:r>
            <w:r>
              <w:rPr>
                <w:rFonts w:ascii="Arial;Helvetica;sans-serif" w:hAnsi="Arial;Helvetica;sans-serif"/>
                <w:b w:val="false"/>
                <w:i w:val="false"/>
                <w:caps w:val="false"/>
                <w:smallCaps w:val="false"/>
                <w:color w:val="1B1A18"/>
                <w:sz w:val="20"/>
              </w:rPr>
              <w:t>8-2-</w:t>
            </w:r>
            <w:r>
              <w:rPr>
                <w:rFonts w:ascii="Arial;Helvetica;sans-serif" w:hAnsi="Arial;Helvetica;sans-serif"/>
                <w:b w:val="false"/>
                <w:i w:val="false"/>
                <w:caps w:val="false"/>
                <w:smallCaps w:val="false"/>
                <w:color w:val="1B1A18"/>
                <w:spacing w:val="-4"/>
                <w:sz w:val="20"/>
              </w:rPr>
              <w:t>113.</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1" w:before="0" w:after="160"/>
        <w:ind w:left="720" w:right="0" w:hanging="0"/>
        <w:jc w:val="left"/>
        <w:rPr/>
      </w:pPr>
      <w:r>
        <w:rPr/>
        <w:t>​</w:t>
      </w:r>
    </w:p>
    <w:p>
      <w:pPr>
        <w:pStyle w:val="TextBody"/>
        <w:bidi w:val="0"/>
        <w:spacing w:lineRule="auto" w:line="285" w:before="0" w:after="0"/>
        <w:ind w:left="0" w:right="0" w:hanging="0"/>
        <w:jc w:val="right"/>
        <w:rPr>
          <w:rFonts w:ascii="Arial;Helvetica;sans-serif" w:hAnsi="Arial;Helvetica;sans-serif"/>
          <w:sz w:val="22"/>
        </w:rPr>
      </w:pPr>
      <w:r>
        <w:rPr>
          <w:rFonts w:ascii="Arial;Helvetica;sans-serif" w:hAnsi="Arial;Helvetica;sans-serif"/>
          <w:sz w:val="22"/>
        </w:rPr>
        <w:t xml:space="preserve">Page </w:t>
      </w:r>
      <w:r>
        <w:rPr>
          <w:rFonts w:ascii="Arial;Helvetica;sans-serif" w:hAnsi="Arial;Helvetica;sans-serif"/>
          <w:b/>
          <w:sz w:val="22"/>
        </w:rPr>
        <w:t>10</w:t>
      </w:r>
      <w:r>
        <w:rPr>
          <w:rFonts w:ascii="Arial;Helvetica;sans-serif" w:hAnsi="Arial;Helvetica;sans-serif"/>
          <w:sz w:val="22"/>
        </w:rPr>
        <w:t xml:space="preserve"> of </w:t>
      </w:r>
      <w:r>
        <w:rPr>
          <w:rFonts w:ascii="Arial;Helvetica;sans-serif" w:hAnsi="Arial;Helvetica;sans-serif"/>
          <w:b/>
          <w:sz w:val="22"/>
        </w:rPr>
        <w:t>15</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5"/>
        <w:gridCol w:w="9974"/>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g.</w:t>
            </w:r>
          </w:p>
        </w:tc>
        <w:tc>
          <w:tcPr>
            <w:tcW w:w="9974"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Consequences</w:t>
            </w:r>
            <w:r>
              <w:rPr>
                <w:caps w:val="false"/>
                <w:smallCaps w:val="false"/>
                <w:spacing w:val="-4"/>
              </w:rPr>
              <w:t xml:space="preserve"> </w:t>
            </w:r>
            <w:r>
              <w:rPr>
                <w:rFonts w:ascii="Arial;Helvetica;sans-serif" w:hAnsi="Arial;Helvetica;sans-serif"/>
                <w:b/>
                <w:i w:val="false"/>
                <w:caps w:val="false"/>
                <w:smallCaps w:val="false"/>
                <w:sz w:val="20"/>
              </w:rPr>
              <w:t>of</w:t>
            </w:r>
            <w:r>
              <w:rPr>
                <w:caps w:val="false"/>
                <w:smallCaps w:val="false"/>
                <w:spacing w:val="-4"/>
              </w:rPr>
              <w:t xml:space="preserve"> </w:t>
            </w:r>
            <w:r>
              <w:rPr>
                <w:rFonts w:ascii="Arial;Helvetica;sans-serif" w:hAnsi="Arial;Helvetica;sans-serif"/>
                <w:b/>
                <w:i w:val="false"/>
                <w:caps w:val="false"/>
                <w:smallCaps w:val="false"/>
                <w:sz w:val="20"/>
              </w:rPr>
              <w:t>Breach.</w:t>
            </w:r>
            <w:r>
              <w:rPr>
                <w:caps w:val="false"/>
                <w:smallCaps w:val="false"/>
                <w:spacing w:val="-4"/>
              </w:rPr>
              <w:t xml:space="preserve"> </w:t>
            </w:r>
            <w:r>
              <w:rPr>
                <w:rFonts w:ascii="Arial;Helvetica;sans-serif" w:hAnsi="Arial;Helvetica;sans-serif"/>
                <w:b w:val="false"/>
                <w:i w:val="false"/>
                <w:caps w:val="false"/>
                <w:smallCaps w:val="false"/>
                <w:sz w:val="20"/>
              </w:rPr>
              <w:t>If</w:t>
            </w:r>
            <w:r>
              <w:rPr>
                <w:caps w:val="false"/>
                <w:smallCaps w:val="false"/>
                <w:spacing w:val="-4"/>
              </w:rPr>
              <w:t xml:space="preserve"> </w:t>
            </w:r>
            <w:r>
              <w:rPr>
                <w:rFonts w:ascii="Arial;Helvetica;sans-serif" w:hAnsi="Arial;Helvetica;sans-serif"/>
                <w:b w:val="false"/>
                <w:i w:val="false"/>
                <w:caps w:val="false"/>
                <w:smallCaps w:val="false"/>
                <w:sz w:val="20"/>
              </w:rPr>
              <w:t>Executive</w:t>
            </w:r>
            <w:r>
              <w:rPr>
                <w:caps w:val="false"/>
                <w:smallCaps w:val="false"/>
                <w:spacing w:val="-4"/>
              </w:rPr>
              <w:t xml:space="preserve"> </w:t>
            </w:r>
            <w:r>
              <w:rPr>
                <w:rFonts w:ascii="Arial;Helvetica;sans-serif" w:hAnsi="Arial;Helvetica;sans-serif"/>
                <w:b w:val="false"/>
                <w:i w:val="false"/>
                <w:caps w:val="false"/>
                <w:smallCaps w:val="false"/>
                <w:sz w:val="20"/>
              </w:rPr>
              <w:t>breaches</w:t>
            </w:r>
            <w:r>
              <w:rPr>
                <w:caps w:val="false"/>
                <w:smallCaps w:val="false"/>
                <w:spacing w:val="-4"/>
              </w:rPr>
              <w:t xml:space="preserve"> </w:t>
            </w:r>
            <w:r>
              <w:rPr>
                <w:rFonts w:ascii="Arial;Helvetica;sans-serif" w:hAnsi="Arial;Helvetica;sans-serif"/>
                <w:b w:val="false"/>
                <w:i w:val="false"/>
                <w:caps w:val="false"/>
                <w:smallCaps w:val="false"/>
                <w:sz w:val="20"/>
              </w:rPr>
              <w:t>any</w:t>
            </w:r>
            <w:r>
              <w:rPr>
                <w:caps w:val="false"/>
                <w:smallCaps w:val="false"/>
                <w:spacing w:val="-4"/>
              </w:rPr>
              <w:t xml:space="preserve"> </w:t>
            </w:r>
            <w:r>
              <w:rPr>
                <w:rFonts w:ascii="Arial;Helvetica;sans-serif" w:hAnsi="Arial;Helvetica;sans-serif"/>
                <w:b w:val="false"/>
                <w:i w:val="false"/>
                <w:caps w:val="false"/>
                <w:smallCaps w:val="false"/>
                <w:sz w:val="20"/>
              </w:rPr>
              <w:t>of</w:t>
            </w:r>
            <w:r>
              <w:rPr>
                <w:caps w:val="false"/>
                <w:smallCaps w:val="false"/>
                <w:spacing w:val="-4"/>
              </w:rPr>
              <w:t xml:space="preserve"> </w:t>
            </w:r>
            <w:r>
              <w:rPr>
                <w:rFonts w:ascii="Arial;Helvetica;sans-serif" w:hAnsi="Arial;Helvetica;sans-serif"/>
                <w:b w:val="false"/>
                <w:i w:val="false"/>
                <w:caps w:val="false"/>
                <w:smallCaps w:val="false"/>
                <w:sz w:val="20"/>
              </w:rPr>
              <w:t>the</w:t>
            </w:r>
            <w:r>
              <w:rPr>
                <w:caps w:val="false"/>
                <w:smallCaps w:val="false"/>
                <w:spacing w:val="-4"/>
              </w:rPr>
              <w:t xml:space="preserve"> </w:t>
            </w:r>
            <w:r>
              <w:rPr>
                <w:rFonts w:ascii="Arial;Helvetica;sans-serif" w:hAnsi="Arial;Helvetica;sans-serif"/>
                <w:b w:val="false"/>
                <w:i w:val="false"/>
                <w:caps w:val="false"/>
                <w:smallCaps w:val="false"/>
                <w:sz w:val="20"/>
              </w:rPr>
              <w:t>covenants</w:t>
            </w:r>
            <w:r>
              <w:rPr>
                <w:caps w:val="false"/>
                <w:smallCaps w:val="false"/>
                <w:spacing w:val="-4"/>
              </w:rPr>
              <w:t xml:space="preserve"> </w:t>
            </w:r>
            <w:r>
              <w:rPr>
                <w:rFonts w:ascii="Arial;Helvetica;sans-serif" w:hAnsi="Arial;Helvetica;sans-serif"/>
                <w:b w:val="false"/>
                <w:i w:val="false"/>
                <w:caps w:val="false"/>
                <w:smallCaps w:val="false"/>
                <w:sz w:val="20"/>
              </w:rPr>
              <w:t>and</w:t>
            </w:r>
            <w:r>
              <w:rPr>
                <w:caps w:val="false"/>
                <w:smallCaps w:val="false"/>
                <w:spacing w:val="-4"/>
              </w:rPr>
              <w:t xml:space="preserve"> </w:t>
            </w:r>
            <w:r>
              <w:rPr>
                <w:rFonts w:ascii="Arial;Helvetica;sans-serif" w:hAnsi="Arial;Helvetica;sans-serif"/>
                <w:b w:val="false"/>
                <w:i w:val="false"/>
                <w:caps w:val="false"/>
                <w:smallCaps w:val="false"/>
                <w:sz w:val="20"/>
              </w:rPr>
              <w:t>undertakings</w:t>
            </w:r>
            <w:r>
              <w:rPr>
                <w:caps w:val="false"/>
                <w:smallCaps w:val="false"/>
                <w:spacing w:val="-4"/>
              </w:rPr>
              <w:t xml:space="preserve"> </w:t>
            </w:r>
            <w:r>
              <w:rPr>
                <w:rFonts w:ascii="Arial;Helvetica;sans-serif" w:hAnsi="Arial;Helvetica;sans-serif"/>
                <w:b w:val="false"/>
                <w:i w:val="false"/>
                <w:caps w:val="false"/>
                <w:smallCaps w:val="false"/>
                <w:sz w:val="20"/>
              </w:rPr>
              <w:t>set forth in this Section 5:</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720" w:right="437" w:hanging="0"/>
        <w:jc w:val="left"/>
        <w:rPr>
          <w:rFonts w:ascii="Aptos" w:hAnsi="Aptos"/>
          <w:sz w:val="24"/>
        </w:rPr>
      </w:pPr>
      <w:r>
        <w:rPr>
          <w:rFonts w:ascii="Arial;Helvetica;sans-serif" w:hAnsi="Arial;Helvetica;sans-serif"/>
          <w:sz w:val="20"/>
        </w:rPr>
        <w:t>(i)The Executive and those who aid him in such breach shall be liable for all costs and business</w:t>
      </w:r>
      <w:r>
        <w:rPr>
          <w:rFonts w:ascii="Aptos" w:hAnsi="Aptos"/>
          <w:spacing w:val="-4"/>
          <w:sz w:val="24"/>
        </w:rPr>
        <w:t xml:space="preserve"> </w:t>
      </w:r>
      <w:r>
        <w:rPr>
          <w:rFonts w:ascii="Arial;Helvetica;sans-serif" w:hAnsi="Arial;Helvetica;sans-serif"/>
          <w:sz w:val="20"/>
        </w:rPr>
        <w:t>losses,</w:t>
      </w:r>
      <w:r>
        <w:rPr>
          <w:rFonts w:ascii="Aptos" w:hAnsi="Aptos"/>
          <w:spacing w:val="-4"/>
          <w:sz w:val="24"/>
        </w:rPr>
        <w:t xml:space="preserve"> </w:t>
      </w:r>
      <w:r>
        <w:rPr>
          <w:rFonts w:ascii="Arial;Helvetica;sans-serif" w:hAnsi="Arial;Helvetica;sans-serif"/>
          <w:sz w:val="20"/>
        </w:rPr>
        <w:t>including</w:t>
      </w:r>
      <w:r>
        <w:rPr>
          <w:rFonts w:ascii="Aptos" w:hAnsi="Aptos"/>
          <w:spacing w:val="-4"/>
          <w:sz w:val="24"/>
        </w:rPr>
        <w:t xml:space="preserve"> </w:t>
      </w:r>
      <w:r>
        <w:rPr>
          <w:rFonts w:ascii="Arial;Helvetica;sans-serif" w:hAnsi="Arial;Helvetica;sans-serif"/>
          <w:sz w:val="20"/>
        </w:rPr>
        <w:t>any</w:t>
      </w:r>
      <w:r>
        <w:rPr>
          <w:rFonts w:ascii="Aptos" w:hAnsi="Aptos"/>
          <w:spacing w:val="-4"/>
          <w:sz w:val="24"/>
        </w:rPr>
        <w:t xml:space="preserve"> </w:t>
      </w:r>
      <w:r>
        <w:rPr>
          <w:rFonts w:ascii="Arial;Helvetica;sans-serif" w:hAnsi="Arial;Helvetica;sans-serif"/>
          <w:sz w:val="20"/>
        </w:rPr>
        <w:t>damages</w:t>
      </w:r>
      <w:r>
        <w:rPr>
          <w:rFonts w:ascii="Aptos" w:hAnsi="Aptos"/>
          <w:spacing w:val="-4"/>
          <w:sz w:val="24"/>
        </w:rPr>
        <w:t xml:space="preserve"> </w:t>
      </w:r>
      <w:r>
        <w:rPr>
          <w:rFonts w:ascii="Arial;Helvetica;sans-serif" w:hAnsi="Arial;Helvetica;sans-serif"/>
          <w:sz w:val="20"/>
        </w:rPr>
        <w:t>and</w:t>
      </w:r>
      <w:r>
        <w:rPr>
          <w:rFonts w:ascii="Aptos" w:hAnsi="Aptos"/>
          <w:spacing w:val="-4"/>
          <w:sz w:val="24"/>
        </w:rPr>
        <w:t xml:space="preserve"> </w:t>
      </w:r>
      <w:r>
        <w:rPr>
          <w:rFonts w:ascii="Arial;Helvetica;sans-serif" w:hAnsi="Arial;Helvetica;sans-serif"/>
          <w:sz w:val="20"/>
        </w:rPr>
        <w:t>out-of-pocket</w:t>
      </w:r>
      <w:r>
        <w:rPr>
          <w:rFonts w:ascii="Aptos" w:hAnsi="Aptos"/>
          <w:spacing w:val="-4"/>
          <w:sz w:val="24"/>
        </w:rPr>
        <w:t xml:space="preserve"> </w:t>
      </w:r>
      <w:r>
        <w:rPr>
          <w:rFonts w:ascii="Arial;Helvetica;sans-serif" w:hAnsi="Arial;Helvetica;sans-serif"/>
          <w:sz w:val="20"/>
        </w:rPr>
        <w:t>expenses</w:t>
      </w:r>
      <w:r>
        <w:rPr>
          <w:rFonts w:ascii="Aptos" w:hAnsi="Aptos"/>
          <w:spacing w:val="-4"/>
          <w:sz w:val="24"/>
        </w:rPr>
        <w:t xml:space="preserve"> </w:t>
      </w:r>
      <w:r>
        <w:rPr>
          <w:rFonts w:ascii="Arial;Helvetica;sans-serif" w:hAnsi="Arial;Helvetica;sans-serif"/>
          <w:sz w:val="20"/>
        </w:rPr>
        <w:t>associated</w:t>
      </w:r>
      <w:r>
        <w:rPr>
          <w:rFonts w:ascii="Aptos" w:hAnsi="Aptos"/>
          <w:spacing w:val="-4"/>
          <w:sz w:val="24"/>
        </w:rPr>
        <w:t xml:space="preserve"> </w:t>
      </w:r>
      <w:r>
        <w:rPr>
          <w:rFonts w:ascii="Arial;Helvetica;sans-serif" w:hAnsi="Arial;Helvetica;sans-serif"/>
          <w:sz w:val="20"/>
        </w:rPr>
        <w:t>with</w:t>
      </w:r>
      <w:r>
        <w:rPr>
          <w:rFonts w:ascii="Aptos" w:hAnsi="Aptos"/>
          <w:spacing w:val="-4"/>
          <w:sz w:val="24"/>
        </w:rPr>
        <w:t xml:space="preserve"> </w:t>
      </w:r>
      <w:r>
        <w:rPr>
          <w:rFonts w:ascii="Arial;Helvetica;sans-serif" w:hAnsi="Arial;Helvetica;sans-serif"/>
          <w:sz w:val="20"/>
        </w:rPr>
        <w:t>or</w:t>
      </w:r>
      <w:r>
        <w:rPr>
          <w:rFonts w:ascii="Aptos" w:hAnsi="Aptos"/>
          <w:spacing w:val="-4"/>
          <w:sz w:val="24"/>
        </w:rPr>
        <w:t xml:space="preserve"> </w:t>
      </w:r>
      <w:r>
        <w:rPr>
          <w:rFonts w:ascii="Arial;Helvetica;sans-serif" w:hAnsi="Arial;Helvetica;sans-serif"/>
          <w:sz w:val="20"/>
        </w:rPr>
        <w:t>resulting from such breach;</w:t>
      </w:r>
    </w:p>
    <w:p>
      <w:pPr>
        <w:pStyle w:val="TextBody"/>
        <w:bidi w:val="0"/>
        <w:spacing w:lineRule="auto" w:line="285" w:before="203" w:after="0"/>
        <w:ind w:left="720" w:right="415" w:hanging="0"/>
        <w:jc w:val="left"/>
        <w:rPr>
          <w:rFonts w:ascii="Aptos" w:hAnsi="Aptos"/>
          <w:sz w:val="24"/>
        </w:rPr>
      </w:pPr>
      <w:r>
        <w:rPr>
          <w:rFonts w:ascii="Arial;Helvetica;sans-serif" w:hAnsi="Arial;Helvetica;sans-serif"/>
          <w:sz w:val="20"/>
        </w:rPr>
        <w:t>(ii)In addition to all other remedies available to the Company and TTEC Parent, if Executive breaches the Non-Competition and Non-Solicitation Undertakings set forth in this Section 5, the value (at the time of the vesting) of any vested awards that have vested during Executive's tenure with the Company shall be returned by Executive back to the Company within 15</w:t>
      </w:r>
      <w:r>
        <w:rPr>
          <w:rFonts w:ascii="Aptos" w:hAnsi="Aptos"/>
          <w:spacing w:val="-3"/>
          <w:sz w:val="24"/>
        </w:rPr>
        <w:t xml:space="preserve"> </w:t>
      </w:r>
      <w:r>
        <w:rPr>
          <w:rFonts w:ascii="Arial;Helvetica;sans-serif" w:hAnsi="Arial;Helvetica;sans-serif"/>
          <w:sz w:val="20"/>
        </w:rPr>
        <w:t>(fifteen)</w:t>
      </w:r>
      <w:r>
        <w:rPr>
          <w:rFonts w:ascii="Aptos" w:hAnsi="Aptos"/>
          <w:spacing w:val="-3"/>
          <w:sz w:val="24"/>
        </w:rPr>
        <w:t xml:space="preserve"> </w:t>
      </w:r>
      <w:r>
        <w:rPr>
          <w:rFonts w:ascii="Arial;Helvetica;sans-serif" w:hAnsi="Arial;Helvetica;sans-serif"/>
          <w:sz w:val="20"/>
        </w:rPr>
        <w:t>days</w:t>
      </w:r>
      <w:r>
        <w:rPr>
          <w:rFonts w:ascii="Aptos" w:hAnsi="Aptos"/>
          <w:spacing w:val="-3"/>
          <w:sz w:val="24"/>
        </w:rPr>
        <w:t xml:space="preserve"> </w:t>
      </w:r>
      <w:r>
        <w:rPr>
          <w:rFonts w:ascii="Arial;Helvetica;sans-serif" w:hAnsi="Arial;Helvetica;sans-serif"/>
          <w:sz w:val="20"/>
        </w:rPr>
        <w:t>of</w:t>
      </w:r>
      <w:r>
        <w:rPr>
          <w:rFonts w:ascii="Aptos" w:hAnsi="Aptos"/>
          <w:spacing w:val="-3"/>
          <w:sz w:val="24"/>
        </w:rPr>
        <w:t xml:space="preserve"> </w:t>
      </w:r>
      <w:r>
        <w:rPr>
          <w:rFonts w:ascii="Arial;Helvetica;sans-serif" w:hAnsi="Arial;Helvetica;sans-serif"/>
          <w:sz w:val="20"/>
        </w:rPr>
        <w:t>notice</w:t>
      </w:r>
      <w:r>
        <w:rPr>
          <w:rFonts w:ascii="Aptos" w:hAnsi="Aptos"/>
          <w:spacing w:val="-3"/>
          <w:sz w:val="24"/>
        </w:rPr>
        <w:t xml:space="preserve"> </w:t>
      </w:r>
      <w:r>
        <w:rPr>
          <w:rFonts w:ascii="Arial;Helvetica;sans-serif" w:hAnsi="Arial;Helvetica;sans-serif"/>
          <w:sz w:val="20"/>
        </w:rPr>
        <w:t>of</w:t>
      </w:r>
      <w:r>
        <w:rPr>
          <w:rFonts w:ascii="Aptos" w:hAnsi="Aptos"/>
          <w:spacing w:val="-3"/>
          <w:sz w:val="24"/>
        </w:rPr>
        <w:t xml:space="preserve"> </w:t>
      </w:r>
      <w:r>
        <w:rPr>
          <w:rFonts w:ascii="Arial;Helvetica;sans-serif" w:hAnsi="Arial;Helvetica;sans-serif"/>
          <w:sz w:val="20"/>
        </w:rPr>
        <w:t>the</w:t>
      </w:r>
      <w:r>
        <w:rPr>
          <w:rFonts w:ascii="Aptos" w:hAnsi="Aptos"/>
          <w:spacing w:val="-3"/>
          <w:sz w:val="24"/>
        </w:rPr>
        <w:t xml:space="preserve"> </w:t>
      </w:r>
      <w:r>
        <w:rPr>
          <w:rFonts w:ascii="Arial;Helvetica;sans-serif" w:hAnsi="Arial;Helvetica;sans-serif"/>
          <w:sz w:val="20"/>
        </w:rPr>
        <w:t>aforementioned</w:t>
      </w:r>
      <w:r>
        <w:rPr>
          <w:rFonts w:ascii="Aptos" w:hAnsi="Aptos"/>
          <w:spacing w:val="-3"/>
          <w:sz w:val="24"/>
        </w:rPr>
        <w:t xml:space="preserve"> </w:t>
      </w:r>
      <w:r>
        <w:rPr>
          <w:rFonts w:ascii="Arial;Helvetica;sans-serif" w:hAnsi="Arial;Helvetica;sans-serif"/>
          <w:sz w:val="20"/>
        </w:rPr>
        <w:t>breach,</w:t>
      </w:r>
      <w:r>
        <w:rPr>
          <w:rFonts w:ascii="Aptos" w:hAnsi="Aptos"/>
          <w:spacing w:val="-3"/>
          <w:sz w:val="24"/>
        </w:rPr>
        <w:t xml:space="preserve"> </w:t>
      </w:r>
      <w:r>
        <w:rPr>
          <w:rFonts w:ascii="Arial;Helvetica;sans-serif" w:hAnsi="Arial;Helvetica;sans-serif"/>
          <w:sz w:val="20"/>
        </w:rPr>
        <w:t>since</w:t>
      </w:r>
      <w:r>
        <w:rPr>
          <w:rFonts w:ascii="Aptos" w:hAnsi="Aptos"/>
          <w:spacing w:val="-3"/>
          <w:sz w:val="24"/>
        </w:rPr>
        <w:t xml:space="preserve"> </w:t>
      </w:r>
      <w:r>
        <w:rPr>
          <w:rFonts w:ascii="Arial;Helvetica;sans-serif" w:hAnsi="Arial;Helvetica;sans-serif"/>
          <w:sz w:val="20"/>
        </w:rPr>
        <w:t>the</w:t>
      </w:r>
      <w:r>
        <w:rPr>
          <w:rFonts w:ascii="Aptos" w:hAnsi="Aptos"/>
          <w:spacing w:val="-3"/>
          <w:sz w:val="24"/>
        </w:rPr>
        <w:t xml:space="preserve"> </w:t>
      </w:r>
      <w:r>
        <w:rPr>
          <w:rFonts w:ascii="Arial;Helvetica;sans-serif" w:hAnsi="Arial;Helvetica;sans-serif"/>
          <w:sz w:val="20"/>
        </w:rPr>
        <w:t>primary</w:t>
      </w:r>
      <w:r>
        <w:rPr>
          <w:rFonts w:ascii="Aptos" w:hAnsi="Aptos"/>
          <w:spacing w:val="-5"/>
          <w:sz w:val="24"/>
        </w:rPr>
        <w:t xml:space="preserve"> </w:t>
      </w:r>
      <w:r>
        <w:rPr>
          <w:rFonts w:ascii="Arial;Helvetica;sans-serif" w:hAnsi="Arial;Helvetica;sans-serif"/>
          <w:sz w:val="20"/>
        </w:rPr>
        <w:t>purpose</w:t>
      </w:r>
      <w:r>
        <w:rPr>
          <w:rFonts w:ascii="Aptos" w:hAnsi="Aptos"/>
          <w:spacing w:val="-3"/>
          <w:sz w:val="24"/>
        </w:rPr>
        <w:t xml:space="preserve"> </w:t>
      </w:r>
      <w:r>
        <w:rPr>
          <w:rFonts w:ascii="Arial;Helvetica;sans-serif" w:hAnsi="Arial;Helvetica;sans-serif"/>
          <w:sz w:val="20"/>
        </w:rPr>
        <w:t>of</w:t>
      </w:r>
      <w:r>
        <w:rPr>
          <w:rFonts w:ascii="Aptos" w:hAnsi="Aptos"/>
          <w:spacing w:val="-3"/>
          <w:sz w:val="24"/>
        </w:rPr>
        <w:t xml:space="preserve"> </w:t>
      </w:r>
      <w:r>
        <w:rPr>
          <w:rFonts w:ascii="Arial;Helvetica;sans-serif" w:hAnsi="Arial;Helvetica;sans-serif"/>
          <w:sz w:val="20"/>
        </w:rPr>
        <w:t>the</w:t>
      </w:r>
      <w:r>
        <w:rPr>
          <w:rFonts w:ascii="Aptos" w:hAnsi="Aptos"/>
          <w:spacing w:val="-3"/>
          <w:sz w:val="24"/>
        </w:rPr>
        <w:t xml:space="preserve"> </w:t>
      </w:r>
      <w:r>
        <w:rPr>
          <w:rFonts w:ascii="Arial;Helvetica;sans-serif" w:hAnsi="Arial;Helvetica;sans-serif"/>
          <w:sz w:val="20"/>
        </w:rPr>
        <w:t>awards (the Executive's loyalty to the Company and the honoring of the Non-Competition and Non-Solicitation Undertakings) would not be realized by the Company;</w:t>
      </w:r>
    </w:p>
    <w:p>
      <w:pPr>
        <w:pStyle w:val="TextBody"/>
        <w:bidi w:val="0"/>
        <w:spacing w:lineRule="auto" w:line="285" w:before="200" w:after="0"/>
        <w:ind w:left="720" w:right="1165" w:hanging="0"/>
        <w:jc w:val="left"/>
        <w:rPr>
          <w:rFonts w:ascii="Aptos" w:hAnsi="Aptos"/>
          <w:sz w:val="24"/>
        </w:rPr>
      </w:pPr>
      <w:r>
        <w:rPr>
          <w:rFonts w:ascii="Arial;Helvetica;sans-serif" w:hAnsi="Arial;Helvetica;sans-serif"/>
          <w:sz w:val="20"/>
        </w:rPr>
        <w:t>(iii)Neither</w:t>
      </w:r>
      <w:r>
        <w:rPr>
          <w:rFonts w:ascii="Aptos" w:hAnsi="Aptos"/>
          <w:spacing w:val="-3"/>
          <w:sz w:val="24"/>
        </w:rPr>
        <w:t xml:space="preserve"> </w:t>
      </w:r>
      <w:r>
        <w:rPr>
          <w:rFonts w:ascii="Arial;Helvetica;sans-serif" w:hAnsi="Arial;Helvetica;sans-serif"/>
          <w:sz w:val="20"/>
        </w:rPr>
        <w:t>TTEC</w:t>
      </w:r>
      <w:r>
        <w:rPr>
          <w:rFonts w:ascii="Aptos" w:hAnsi="Aptos"/>
          <w:spacing w:val="-4"/>
          <w:sz w:val="24"/>
        </w:rPr>
        <w:t xml:space="preserve"> </w:t>
      </w:r>
      <w:r>
        <w:rPr>
          <w:rFonts w:ascii="Arial;Helvetica;sans-serif" w:hAnsi="Arial;Helvetica;sans-serif"/>
          <w:sz w:val="20"/>
        </w:rPr>
        <w:t>Parent</w:t>
      </w:r>
      <w:r>
        <w:rPr>
          <w:rFonts w:ascii="Aptos" w:hAnsi="Aptos"/>
          <w:spacing w:val="-3"/>
          <w:sz w:val="24"/>
        </w:rPr>
        <w:t xml:space="preserve"> </w:t>
      </w:r>
      <w:r>
        <w:rPr>
          <w:rFonts w:ascii="Arial;Helvetica;sans-serif" w:hAnsi="Arial;Helvetica;sans-serif"/>
          <w:sz w:val="20"/>
        </w:rPr>
        <w:t>nor</w:t>
      </w:r>
      <w:r>
        <w:rPr>
          <w:rFonts w:ascii="Aptos" w:hAnsi="Aptos"/>
          <w:spacing w:val="-3"/>
          <w:sz w:val="24"/>
        </w:rPr>
        <w:t xml:space="preserve"> </w:t>
      </w:r>
      <w:r>
        <w:rPr>
          <w:rFonts w:ascii="Arial;Helvetica;sans-serif" w:hAnsi="Arial;Helvetica;sans-serif"/>
          <w:sz w:val="20"/>
        </w:rPr>
        <w:t>the</w:t>
      </w:r>
      <w:r>
        <w:rPr>
          <w:rFonts w:ascii="Aptos" w:hAnsi="Aptos"/>
          <w:spacing w:val="-3"/>
          <w:sz w:val="24"/>
        </w:rPr>
        <w:t xml:space="preserve"> </w:t>
      </w:r>
      <w:r>
        <w:rPr>
          <w:rFonts w:ascii="Arial;Helvetica;sans-serif" w:hAnsi="Arial;Helvetica;sans-serif"/>
          <w:sz w:val="20"/>
        </w:rPr>
        <w:t>Company</w:t>
      </w:r>
      <w:r>
        <w:rPr>
          <w:rFonts w:ascii="Aptos" w:hAnsi="Aptos"/>
          <w:spacing w:val="-3"/>
          <w:sz w:val="24"/>
        </w:rPr>
        <w:t xml:space="preserve"> </w:t>
      </w:r>
      <w:r>
        <w:rPr>
          <w:rFonts w:ascii="Arial;Helvetica;sans-serif" w:hAnsi="Arial;Helvetica;sans-serif"/>
          <w:sz w:val="20"/>
        </w:rPr>
        <w:t>shall</w:t>
      </w:r>
      <w:r>
        <w:rPr>
          <w:rFonts w:ascii="Aptos" w:hAnsi="Aptos"/>
          <w:spacing w:val="-3"/>
          <w:sz w:val="24"/>
        </w:rPr>
        <w:t xml:space="preserve"> </w:t>
      </w:r>
      <w:r>
        <w:rPr>
          <w:rFonts w:ascii="Arial;Helvetica;sans-serif" w:hAnsi="Arial;Helvetica;sans-serif"/>
          <w:sz w:val="20"/>
        </w:rPr>
        <w:t>have</w:t>
      </w:r>
      <w:r>
        <w:rPr>
          <w:rFonts w:ascii="Aptos" w:hAnsi="Aptos"/>
          <w:spacing w:val="-3"/>
          <w:sz w:val="24"/>
        </w:rPr>
        <w:t xml:space="preserve"> </w:t>
      </w:r>
      <w:r>
        <w:rPr>
          <w:rFonts w:ascii="Arial;Helvetica;sans-serif" w:hAnsi="Arial;Helvetica;sans-serif"/>
          <w:sz w:val="20"/>
        </w:rPr>
        <w:t>any</w:t>
      </w:r>
      <w:r>
        <w:rPr>
          <w:rFonts w:ascii="Aptos" w:hAnsi="Aptos"/>
          <w:spacing w:val="-3"/>
          <w:sz w:val="24"/>
        </w:rPr>
        <w:t xml:space="preserve"> </w:t>
      </w:r>
      <w:r>
        <w:rPr>
          <w:rFonts w:ascii="Arial;Helvetica;sans-serif" w:hAnsi="Arial;Helvetica;sans-serif"/>
          <w:sz w:val="20"/>
        </w:rPr>
        <w:t>further</w:t>
      </w:r>
      <w:r>
        <w:rPr>
          <w:rFonts w:ascii="Aptos" w:hAnsi="Aptos"/>
          <w:spacing w:val="-3"/>
          <w:sz w:val="24"/>
        </w:rPr>
        <w:t xml:space="preserve"> </w:t>
      </w:r>
      <w:r>
        <w:rPr>
          <w:rFonts w:ascii="Arial;Helvetica;sans-serif" w:hAnsi="Arial;Helvetica;sans-serif"/>
          <w:sz w:val="20"/>
        </w:rPr>
        <w:t>liabilities</w:t>
      </w:r>
      <w:r>
        <w:rPr>
          <w:rFonts w:ascii="Aptos" w:hAnsi="Aptos"/>
          <w:spacing w:val="-3"/>
          <w:sz w:val="24"/>
        </w:rPr>
        <w:t xml:space="preserve"> </w:t>
      </w:r>
      <w:r>
        <w:rPr>
          <w:rFonts w:ascii="Arial;Helvetica;sans-serif" w:hAnsi="Arial;Helvetica;sans-serif"/>
          <w:sz w:val="20"/>
        </w:rPr>
        <w:t>to</w:t>
      </w:r>
      <w:r>
        <w:rPr>
          <w:rFonts w:ascii="Aptos" w:hAnsi="Aptos"/>
          <w:spacing w:val="-3"/>
          <w:sz w:val="24"/>
        </w:rPr>
        <w:t xml:space="preserve"> </w:t>
      </w:r>
      <w:r>
        <w:rPr>
          <w:rFonts w:ascii="Arial;Helvetica;sans-serif" w:hAnsi="Arial;Helvetica;sans-serif"/>
          <w:sz w:val="20"/>
        </w:rPr>
        <w:t>the Executive pursuant to this Agreement, including and without limitation no liability for any compensation, including incentives not yet granted or granted and unvested;</w:t>
      </w:r>
    </w:p>
    <w:p>
      <w:pPr>
        <w:pStyle w:val="TextBody"/>
        <w:bidi w:val="0"/>
        <w:spacing w:lineRule="auto" w:line="285" w:before="198" w:after="0"/>
        <w:ind w:left="720" w:right="368" w:hanging="0"/>
        <w:jc w:val="left"/>
        <w:rPr>
          <w:rFonts w:ascii="Aptos" w:hAnsi="Aptos"/>
          <w:sz w:val="24"/>
        </w:rPr>
      </w:pPr>
      <w:r>
        <w:rPr>
          <w:rFonts w:ascii="Arial;Helvetica;sans-serif" w:hAnsi="Arial;Helvetica;sans-serif"/>
          <w:sz w:val="20"/>
        </w:rPr>
        <w:t>(iv)Executive hereby consents and agrees that TTEC Parent and the Company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other security. The</w:t>
      </w:r>
      <w:r>
        <w:rPr>
          <w:rFonts w:ascii="Aptos" w:hAnsi="Aptos"/>
          <w:spacing w:val="-3"/>
          <w:sz w:val="24"/>
        </w:rPr>
        <w:t xml:space="preserve"> </w:t>
      </w:r>
      <w:r>
        <w:rPr>
          <w:rFonts w:ascii="Arial;Helvetica;sans-serif" w:hAnsi="Arial;Helvetica;sans-serif"/>
          <w:sz w:val="20"/>
        </w:rPr>
        <w:t>aforementioned</w:t>
      </w:r>
      <w:r>
        <w:rPr>
          <w:rFonts w:ascii="Aptos" w:hAnsi="Aptos"/>
          <w:spacing w:val="-3"/>
          <w:sz w:val="24"/>
        </w:rPr>
        <w:t xml:space="preserve"> </w:t>
      </w:r>
      <w:r>
        <w:rPr>
          <w:rFonts w:ascii="Arial;Helvetica;sans-serif" w:hAnsi="Arial;Helvetica;sans-serif"/>
          <w:sz w:val="20"/>
        </w:rPr>
        <w:t>equitable</w:t>
      </w:r>
      <w:r>
        <w:rPr>
          <w:rFonts w:ascii="Aptos" w:hAnsi="Aptos"/>
          <w:spacing w:val="-3"/>
          <w:sz w:val="24"/>
        </w:rPr>
        <w:t xml:space="preserve"> </w:t>
      </w:r>
      <w:r>
        <w:rPr>
          <w:rFonts w:ascii="Arial;Helvetica;sans-serif" w:hAnsi="Arial;Helvetica;sans-serif"/>
          <w:sz w:val="20"/>
        </w:rPr>
        <w:t>relief</w:t>
      </w:r>
      <w:r>
        <w:rPr>
          <w:rFonts w:ascii="Aptos" w:hAnsi="Aptos"/>
          <w:spacing w:val="-3"/>
          <w:sz w:val="24"/>
        </w:rPr>
        <w:t xml:space="preserve"> </w:t>
      </w:r>
      <w:r>
        <w:rPr>
          <w:rFonts w:ascii="Arial;Helvetica;sans-serif" w:hAnsi="Arial;Helvetica;sans-serif"/>
          <w:sz w:val="20"/>
        </w:rPr>
        <w:t>shall</w:t>
      </w:r>
      <w:r>
        <w:rPr>
          <w:rFonts w:ascii="Aptos" w:hAnsi="Aptos"/>
          <w:spacing w:val="-3"/>
          <w:sz w:val="24"/>
        </w:rPr>
        <w:t xml:space="preserve"> </w:t>
      </w:r>
      <w:r>
        <w:rPr>
          <w:rFonts w:ascii="Arial;Helvetica;sans-serif" w:hAnsi="Arial;Helvetica;sans-serif"/>
          <w:sz w:val="20"/>
        </w:rPr>
        <w:t>be</w:t>
      </w:r>
      <w:r>
        <w:rPr>
          <w:rFonts w:ascii="Aptos" w:hAnsi="Aptos"/>
          <w:spacing w:val="-3"/>
          <w:sz w:val="24"/>
        </w:rPr>
        <w:t xml:space="preserve"> </w:t>
      </w:r>
      <w:r>
        <w:rPr>
          <w:rFonts w:ascii="Arial;Helvetica;sans-serif" w:hAnsi="Arial;Helvetica;sans-serif"/>
          <w:sz w:val="20"/>
        </w:rPr>
        <w:t>in</w:t>
      </w:r>
      <w:r>
        <w:rPr>
          <w:rFonts w:ascii="Aptos" w:hAnsi="Aptos"/>
          <w:spacing w:val="-4"/>
          <w:sz w:val="24"/>
        </w:rPr>
        <w:t xml:space="preserve"> </w:t>
      </w:r>
      <w:r>
        <w:rPr>
          <w:rFonts w:ascii="Arial;Helvetica;sans-serif" w:hAnsi="Arial;Helvetica;sans-serif"/>
          <w:sz w:val="20"/>
        </w:rPr>
        <w:t>addition</w:t>
      </w:r>
      <w:r>
        <w:rPr>
          <w:rFonts w:ascii="Aptos" w:hAnsi="Aptos"/>
          <w:spacing w:val="-3"/>
          <w:sz w:val="24"/>
        </w:rPr>
        <w:t xml:space="preserve"> </w:t>
      </w:r>
      <w:r>
        <w:rPr>
          <w:rFonts w:ascii="Arial;Helvetica;sans-serif" w:hAnsi="Arial;Helvetica;sans-serif"/>
          <w:sz w:val="20"/>
        </w:rPr>
        <w:t>to,</w:t>
      </w:r>
      <w:r>
        <w:rPr>
          <w:rFonts w:ascii="Aptos" w:hAnsi="Aptos"/>
          <w:spacing w:val="-3"/>
          <w:sz w:val="24"/>
        </w:rPr>
        <w:t xml:space="preserve"> </w:t>
      </w:r>
      <w:r>
        <w:rPr>
          <w:rFonts w:ascii="Arial;Helvetica;sans-serif" w:hAnsi="Arial;Helvetica;sans-serif"/>
          <w:sz w:val="20"/>
        </w:rPr>
        <w:t>not</w:t>
      </w:r>
      <w:r>
        <w:rPr>
          <w:rFonts w:ascii="Aptos" w:hAnsi="Aptos"/>
          <w:spacing w:val="-3"/>
          <w:sz w:val="24"/>
        </w:rPr>
        <w:t xml:space="preserve"> </w:t>
      </w:r>
      <w:r>
        <w:rPr>
          <w:rFonts w:ascii="Arial;Helvetica;sans-serif" w:hAnsi="Arial;Helvetica;sans-serif"/>
          <w:sz w:val="20"/>
        </w:rPr>
        <w:t>in</w:t>
      </w:r>
      <w:r>
        <w:rPr>
          <w:rFonts w:ascii="Aptos" w:hAnsi="Aptos"/>
          <w:spacing w:val="-3"/>
          <w:sz w:val="24"/>
        </w:rPr>
        <w:t xml:space="preserve"> </w:t>
      </w:r>
      <w:r>
        <w:rPr>
          <w:rFonts w:ascii="Arial;Helvetica;sans-serif" w:hAnsi="Arial;Helvetica;sans-serif"/>
          <w:sz w:val="20"/>
        </w:rPr>
        <w:t>lieu</w:t>
      </w:r>
      <w:r>
        <w:rPr>
          <w:rFonts w:ascii="Aptos" w:hAnsi="Aptos"/>
          <w:spacing w:val="-3"/>
          <w:sz w:val="24"/>
        </w:rPr>
        <w:t xml:space="preserve"> </w:t>
      </w:r>
      <w:r>
        <w:rPr>
          <w:rFonts w:ascii="Arial;Helvetica;sans-serif" w:hAnsi="Arial;Helvetica;sans-serif"/>
          <w:sz w:val="20"/>
        </w:rPr>
        <w:t>of,</w:t>
      </w:r>
      <w:r>
        <w:rPr>
          <w:rFonts w:ascii="Aptos" w:hAnsi="Aptos"/>
          <w:spacing w:val="-3"/>
          <w:sz w:val="24"/>
        </w:rPr>
        <w:t xml:space="preserve"> </w:t>
      </w:r>
      <w:r>
        <w:rPr>
          <w:rFonts w:ascii="Arial;Helvetica;sans-serif" w:hAnsi="Arial;Helvetica;sans-serif"/>
          <w:sz w:val="20"/>
        </w:rPr>
        <w:t>legal</w:t>
      </w:r>
      <w:r>
        <w:rPr>
          <w:rFonts w:ascii="Aptos" w:hAnsi="Aptos"/>
          <w:spacing w:val="-3"/>
          <w:sz w:val="24"/>
        </w:rPr>
        <w:t xml:space="preserve"> </w:t>
      </w:r>
      <w:r>
        <w:rPr>
          <w:rFonts w:ascii="Arial;Helvetica;sans-serif" w:hAnsi="Arial;Helvetica;sans-serif"/>
          <w:sz w:val="20"/>
        </w:rPr>
        <w:t>remedies,</w:t>
      </w:r>
      <w:r>
        <w:rPr>
          <w:rFonts w:ascii="Aptos" w:hAnsi="Aptos"/>
          <w:spacing w:val="-3"/>
          <w:sz w:val="24"/>
        </w:rPr>
        <w:t xml:space="preserve"> </w:t>
      </w:r>
      <w:r>
        <w:rPr>
          <w:rFonts w:ascii="Arial;Helvetica;sans-serif" w:hAnsi="Arial;Helvetica;sans-serif"/>
          <w:sz w:val="20"/>
        </w:rPr>
        <w:t>monetary damages, or other available forms of relief.</w:t>
      </w:r>
    </w:p>
    <w:tbl>
      <w:tblPr>
        <w:tblW w:w="2204" w:type="dxa"/>
        <w:jc w:val="left"/>
        <w:tblInd w:w="0" w:type="dxa"/>
        <w:tblLayout w:type="fixed"/>
        <w:tblCellMar>
          <w:top w:w="0" w:type="dxa"/>
          <w:left w:w="0" w:type="dxa"/>
          <w:bottom w:w="0" w:type="dxa"/>
          <w:right w:w="0" w:type="dxa"/>
        </w:tblCellMar>
      </w:tblPr>
      <w:tblGrid>
        <w:gridCol w:w="200"/>
        <w:gridCol w:w="2004"/>
      </w:tblGrid>
      <w:tr>
        <w:trPr/>
        <w:tc>
          <w:tcPr>
            <w:tcW w:w="200" w:type="dxa"/>
            <w:tcBorders/>
            <w:vAlign w:val="center"/>
          </w:tcPr>
          <w:p>
            <w:pPr>
              <w:pStyle w:val="TableContents"/>
              <w:bidi w:val="0"/>
              <w:spacing w:before="0" w:after="283"/>
              <w:jc w:val="left"/>
              <w:rPr>
                <w:rFonts w:ascii="Arial;Helvetica;sans-serif" w:hAnsi="Arial;Helvetica;sans-serif"/>
                <w:b/>
                <w:sz w:val="22"/>
              </w:rPr>
            </w:pPr>
            <w:r>
              <w:rPr>
                <w:rFonts w:ascii="Arial;Helvetica;sans-serif" w:hAnsi="Arial;Helvetica;sans-serif"/>
                <w:b/>
                <w:sz w:val="22"/>
              </w:rPr>
              <w:t>6.</w:t>
            </w:r>
          </w:p>
        </w:tc>
        <w:tc>
          <w:tcPr>
            <w:tcW w:w="2004" w:type="dxa"/>
            <w:tcBorders/>
            <w:vAlign w:val="center"/>
          </w:tcPr>
          <w:p>
            <w:pPr>
              <w:pStyle w:val="TableContents"/>
              <w:bidi w:val="0"/>
              <w:spacing w:before="0" w:after="283"/>
              <w:jc w:val="left"/>
              <w:rPr>
                <w:rFonts w:ascii="Arial;Helvetica;sans-serif" w:hAnsi="Arial;Helvetica;sans-serif"/>
                <w:b/>
                <w:i w:val="false"/>
                <w:caps w:val="false"/>
                <w:smallCaps w:val="false"/>
                <w:spacing w:val="-2"/>
                <w:sz w:val="22"/>
              </w:rPr>
            </w:pPr>
            <w:r>
              <w:rPr>
                <w:rFonts w:ascii="Arial;Helvetica;sans-serif" w:hAnsi="Arial;Helvetica;sans-serif"/>
                <w:b/>
                <w:i w:val="false"/>
                <w:caps w:val="false"/>
                <w:smallCaps w:val="false"/>
                <w:spacing w:val="-2"/>
                <w:sz w:val="22"/>
              </w:rPr>
              <w:t>MISCELLANEOUS.</w:t>
            </w:r>
          </w:p>
        </w:tc>
      </w:tr>
    </w:tbl>
    <w:tbl>
      <w:tblPr>
        <w:tblW w:w="10205" w:type="dxa"/>
        <w:jc w:val="left"/>
        <w:tblInd w:w="0" w:type="dxa"/>
        <w:tblLayout w:type="fixed"/>
        <w:tblCellMar>
          <w:top w:w="0" w:type="dxa"/>
          <w:left w:w="0" w:type="dxa"/>
          <w:bottom w:w="0" w:type="dxa"/>
          <w:right w:w="0" w:type="dxa"/>
        </w:tblCellMar>
      </w:tblPr>
      <w:tblGrid>
        <w:gridCol w:w="23"/>
        <w:gridCol w:w="185"/>
        <w:gridCol w:w="9974"/>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w:t>
            </w:r>
          </w:p>
        </w:tc>
        <w:tc>
          <w:tcPr>
            <w:tcW w:w="9974"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Relationship</w:t>
            </w:r>
            <w:r>
              <w:rPr>
                <w:caps w:val="false"/>
                <w:smallCaps w:val="false"/>
                <w:spacing w:val="-4"/>
              </w:rPr>
              <w:t xml:space="preserve"> </w:t>
            </w:r>
            <w:r>
              <w:rPr>
                <w:rFonts w:ascii="Arial;Helvetica;sans-serif" w:hAnsi="Arial;Helvetica;sans-serif"/>
                <w:b/>
                <w:i w:val="false"/>
                <w:caps w:val="false"/>
                <w:smallCaps w:val="false"/>
                <w:sz w:val="20"/>
              </w:rPr>
              <w:t>between</w:t>
            </w:r>
            <w:r>
              <w:rPr>
                <w:caps w:val="false"/>
                <w:smallCaps w:val="false"/>
                <w:spacing w:val="-4"/>
              </w:rPr>
              <w:t xml:space="preserve"> </w:t>
            </w:r>
            <w:r>
              <w:rPr>
                <w:rFonts w:ascii="Arial;Helvetica;sans-serif" w:hAnsi="Arial;Helvetica;sans-serif"/>
                <w:b/>
                <w:i w:val="false"/>
                <w:caps w:val="false"/>
                <w:smallCaps w:val="false"/>
                <w:sz w:val="20"/>
              </w:rPr>
              <w:t>this</w:t>
            </w:r>
            <w:r>
              <w:rPr>
                <w:caps w:val="false"/>
                <w:smallCaps w:val="false"/>
                <w:spacing w:val="-4"/>
              </w:rPr>
              <w:t xml:space="preserve"> </w:t>
            </w:r>
            <w:r>
              <w:rPr>
                <w:rFonts w:ascii="Arial;Helvetica;sans-serif" w:hAnsi="Arial;Helvetica;sans-serif"/>
                <w:b/>
                <w:i w:val="false"/>
                <w:caps w:val="false"/>
                <w:smallCaps w:val="false"/>
                <w:sz w:val="20"/>
              </w:rPr>
              <w:t>Agreement</w:t>
            </w:r>
            <w:r>
              <w:rPr>
                <w:caps w:val="false"/>
                <w:smallCaps w:val="false"/>
                <w:spacing w:val="-4"/>
              </w:rPr>
              <w:t xml:space="preserve"> </w:t>
            </w:r>
            <w:r>
              <w:rPr>
                <w:rFonts w:ascii="Arial;Helvetica;sans-serif" w:hAnsi="Arial;Helvetica;sans-serif"/>
                <w:b/>
                <w:i w:val="false"/>
                <w:caps w:val="false"/>
                <w:smallCaps w:val="false"/>
                <w:sz w:val="20"/>
              </w:rPr>
              <w:t>and</w:t>
            </w:r>
            <w:r>
              <w:rPr>
                <w:caps w:val="false"/>
                <w:smallCaps w:val="false"/>
                <w:spacing w:val="-4"/>
              </w:rPr>
              <w:t xml:space="preserve"> </w:t>
            </w:r>
            <w:r>
              <w:rPr>
                <w:rFonts w:ascii="Arial;Helvetica;sans-serif" w:hAnsi="Arial;Helvetica;sans-serif"/>
                <w:b/>
                <w:i w:val="false"/>
                <w:caps w:val="false"/>
                <w:smallCaps w:val="false"/>
                <w:sz w:val="20"/>
              </w:rPr>
              <w:t>Other</w:t>
            </w:r>
            <w:r>
              <w:rPr>
                <w:caps w:val="false"/>
                <w:smallCaps w:val="false"/>
                <w:spacing w:val="-4"/>
              </w:rPr>
              <w:t xml:space="preserve"> </w:t>
            </w:r>
            <w:r>
              <w:rPr>
                <w:rFonts w:ascii="Arial;Helvetica;sans-serif" w:hAnsi="Arial;Helvetica;sans-serif"/>
                <w:b/>
                <w:i w:val="false"/>
                <w:caps w:val="false"/>
                <w:smallCaps w:val="false"/>
                <w:sz w:val="20"/>
              </w:rPr>
              <w:t>Company</w:t>
            </w:r>
            <w:r>
              <w:rPr>
                <w:caps w:val="false"/>
                <w:smallCaps w:val="false"/>
                <w:spacing w:val="-4"/>
              </w:rPr>
              <w:t xml:space="preserve"> </w:t>
            </w:r>
            <w:r>
              <w:rPr>
                <w:rFonts w:ascii="Arial;Helvetica;sans-serif" w:hAnsi="Arial;Helvetica;sans-serif"/>
                <w:b/>
                <w:i w:val="false"/>
                <w:caps w:val="false"/>
                <w:smallCaps w:val="false"/>
                <w:sz w:val="20"/>
              </w:rPr>
              <w:t>Agreements.</w:t>
            </w:r>
            <w:r>
              <w:rPr>
                <w:caps w:val="false"/>
                <w:smallCaps w:val="false"/>
                <w:spacing w:val="-4"/>
              </w:rPr>
              <w:t xml:space="preserve"> </w:t>
            </w:r>
            <w:r>
              <w:rPr>
                <w:rFonts w:ascii="Arial;Helvetica;sans-serif" w:hAnsi="Arial;Helvetica;sans-serif"/>
                <w:b w:val="false"/>
                <w:i w:val="false"/>
                <w:caps w:val="false"/>
                <w:smallCaps w:val="false"/>
                <w:sz w:val="20"/>
              </w:rPr>
              <w:t>In</w:t>
            </w:r>
            <w:r>
              <w:rPr>
                <w:caps w:val="false"/>
                <w:smallCaps w:val="false"/>
                <w:spacing w:val="-4"/>
              </w:rPr>
              <w:t xml:space="preserve"> </w:t>
            </w:r>
            <w:r>
              <w:rPr>
                <w:rFonts w:ascii="Arial;Helvetica;sans-serif" w:hAnsi="Arial;Helvetica;sans-serif"/>
                <w:b w:val="false"/>
                <w:i w:val="false"/>
                <w:caps w:val="false"/>
                <w:smallCaps w:val="false"/>
                <w:sz w:val="20"/>
              </w:rPr>
              <w:t>the</w:t>
            </w:r>
            <w:r>
              <w:rPr>
                <w:caps w:val="false"/>
                <w:smallCaps w:val="false"/>
                <w:spacing w:val="-4"/>
              </w:rPr>
              <w:t xml:space="preserve"> </w:t>
            </w:r>
            <w:r>
              <w:rPr>
                <w:rFonts w:ascii="Arial;Helvetica;sans-serif" w:hAnsi="Arial;Helvetica;sans-serif"/>
                <w:b w:val="false"/>
                <w:i w:val="false"/>
                <w:caps w:val="false"/>
                <w:smallCaps w:val="false"/>
                <w:sz w:val="20"/>
              </w:rPr>
              <w:t>event</w:t>
            </w:r>
            <w:r>
              <w:rPr>
                <w:caps w:val="false"/>
                <w:smallCaps w:val="false"/>
                <w:spacing w:val="-4"/>
              </w:rPr>
              <w:t xml:space="preserve"> </w:t>
            </w:r>
            <w:r>
              <w:rPr>
                <w:rFonts w:ascii="Arial;Helvetica;sans-serif" w:hAnsi="Arial;Helvetica;sans-serif"/>
                <w:b w:val="false"/>
                <w:i w:val="false"/>
                <w:caps w:val="false"/>
                <w:smallCaps w:val="false"/>
                <w:sz w:val="20"/>
              </w:rPr>
              <w:t>of</w:t>
            </w:r>
            <w:r>
              <w:rPr>
                <w:caps w:val="false"/>
                <w:smallCaps w:val="false"/>
                <w:spacing w:val="-4"/>
              </w:rPr>
              <w:t xml:space="preserve"> </w:t>
            </w:r>
            <w:r>
              <w:rPr>
                <w:rFonts w:ascii="Arial;Helvetica;sans-serif" w:hAnsi="Arial;Helvetica;sans-serif"/>
                <w:b w:val="false"/>
                <w:i w:val="false"/>
                <w:caps w:val="false"/>
                <w:smallCaps w:val="false"/>
                <w:sz w:val="20"/>
              </w:rPr>
              <w:t>any direct</w:t>
            </w:r>
            <w:r>
              <w:rPr>
                <w:caps w:val="false"/>
                <w:smallCaps w:val="false"/>
                <w:spacing w:val="-1"/>
              </w:rPr>
              <w:t xml:space="preserve"> </w:t>
            </w:r>
            <w:r>
              <w:rPr>
                <w:rFonts w:ascii="Arial;Helvetica;sans-serif" w:hAnsi="Arial;Helvetica;sans-serif"/>
                <w:b w:val="false"/>
                <w:i w:val="false"/>
                <w:caps w:val="false"/>
                <w:smallCaps w:val="false"/>
                <w:sz w:val="20"/>
              </w:rPr>
              <w:t>conflict</w:t>
            </w:r>
            <w:r>
              <w:rPr>
                <w:caps w:val="false"/>
                <w:smallCaps w:val="false"/>
                <w:spacing w:val="-1"/>
              </w:rPr>
              <w:t xml:space="preserve"> </w:t>
            </w:r>
            <w:r>
              <w:rPr>
                <w:rFonts w:ascii="Arial;Helvetica;sans-serif" w:hAnsi="Arial;Helvetica;sans-serif"/>
                <w:b w:val="false"/>
                <w:i w:val="false"/>
                <w:caps w:val="false"/>
                <w:smallCaps w:val="false"/>
                <w:sz w:val="20"/>
              </w:rPr>
              <w:t>between</w:t>
            </w:r>
            <w:r>
              <w:rPr>
                <w:caps w:val="false"/>
                <w:smallCaps w:val="false"/>
                <w:spacing w:val="-1"/>
              </w:rPr>
              <w:t xml:space="preserve"> </w:t>
            </w:r>
            <w:r>
              <w:rPr>
                <w:rFonts w:ascii="Arial;Helvetica;sans-serif" w:hAnsi="Arial;Helvetica;sans-serif"/>
                <w:b w:val="false"/>
                <w:i w:val="false"/>
                <w:caps w:val="false"/>
                <w:smallCaps w:val="false"/>
                <w:sz w:val="20"/>
              </w:rPr>
              <w:t>any</w:t>
            </w:r>
            <w:r>
              <w:rPr>
                <w:caps w:val="false"/>
                <w:smallCaps w:val="false"/>
                <w:spacing w:val="-1"/>
              </w:rPr>
              <w:t xml:space="preserve"> </w:t>
            </w:r>
            <w:r>
              <w:rPr>
                <w:rFonts w:ascii="Arial;Helvetica;sans-serif" w:hAnsi="Arial;Helvetica;sans-serif"/>
                <w:b w:val="false"/>
                <w:i w:val="false"/>
                <w:caps w:val="false"/>
                <w:smallCaps w:val="false"/>
                <w:sz w:val="20"/>
              </w:rPr>
              <w:t>term</w:t>
            </w:r>
            <w:r>
              <w:rPr>
                <w:caps w:val="false"/>
                <w:smallCaps w:val="false"/>
                <w:spacing w:val="-2"/>
              </w:rPr>
              <w:t xml:space="preserve"> </w:t>
            </w:r>
            <w:r>
              <w:rPr>
                <w:rFonts w:ascii="Arial;Helvetica;sans-serif" w:hAnsi="Arial;Helvetica;sans-serif"/>
                <w:b w:val="false"/>
                <w:i w:val="false"/>
                <w:caps w:val="false"/>
                <w:smallCaps w:val="false"/>
                <w:sz w:val="20"/>
              </w:rPr>
              <w:t>of</w:t>
            </w:r>
            <w:r>
              <w:rPr>
                <w:caps w:val="false"/>
                <w:smallCaps w:val="false"/>
                <w:spacing w:val="-1"/>
              </w:rPr>
              <w:t xml:space="preserve"> </w:t>
            </w:r>
            <w:r>
              <w:rPr>
                <w:rFonts w:ascii="Arial;Helvetica;sans-serif" w:hAnsi="Arial;Helvetica;sans-serif"/>
                <w:b w:val="false"/>
                <w:i w:val="false"/>
                <w:caps w:val="false"/>
                <w:smallCaps w:val="false"/>
                <w:sz w:val="20"/>
              </w:rPr>
              <w:t>this</w:t>
            </w:r>
            <w:r>
              <w:rPr>
                <w:caps w:val="false"/>
                <w:smallCaps w:val="false"/>
                <w:spacing w:val="-1"/>
              </w:rPr>
              <w:t xml:space="preserve"> </w:t>
            </w:r>
            <w:r>
              <w:rPr>
                <w:rFonts w:ascii="Arial;Helvetica;sans-serif" w:hAnsi="Arial;Helvetica;sans-serif"/>
                <w:b w:val="false"/>
                <w:i w:val="false"/>
                <w:caps w:val="false"/>
                <w:smallCaps w:val="false"/>
                <w:sz w:val="20"/>
              </w:rPr>
              <w:t>Agreement</w:t>
            </w:r>
            <w:r>
              <w:rPr>
                <w:caps w:val="false"/>
                <w:smallCaps w:val="false"/>
                <w:spacing w:val="-1"/>
              </w:rPr>
              <w:t xml:space="preserve"> </w:t>
            </w:r>
            <w:r>
              <w:rPr>
                <w:rFonts w:ascii="Arial;Helvetica;sans-serif" w:hAnsi="Arial;Helvetica;sans-serif"/>
                <w:b w:val="false"/>
                <w:i w:val="false"/>
                <w:caps w:val="false"/>
                <w:smallCaps w:val="false"/>
                <w:sz w:val="20"/>
              </w:rPr>
              <w:t>and</w:t>
            </w:r>
            <w:r>
              <w:rPr>
                <w:caps w:val="false"/>
                <w:smallCaps w:val="false"/>
                <w:spacing w:val="-1"/>
              </w:rPr>
              <w:t xml:space="preserve"> </w:t>
            </w:r>
            <w:r>
              <w:rPr>
                <w:rFonts w:ascii="Arial;Helvetica;sans-serif" w:hAnsi="Arial;Helvetica;sans-serif"/>
                <w:b w:val="false"/>
                <w:i w:val="false"/>
                <w:caps w:val="false"/>
                <w:smallCaps w:val="false"/>
                <w:sz w:val="20"/>
              </w:rPr>
              <w:t>any</w:t>
            </w:r>
            <w:r>
              <w:rPr>
                <w:caps w:val="false"/>
                <w:smallCaps w:val="false"/>
                <w:spacing w:val="-1"/>
              </w:rPr>
              <w:t xml:space="preserve"> </w:t>
            </w:r>
            <w:r>
              <w:rPr>
                <w:rFonts w:ascii="Arial;Helvetica;sans-serif" w:hAnsi="Arial;Helvetica;sans-serif"/>
                <w:b w:val="false"/>
                <w:i w:val="false"/>
                <w:caps w:val="false"/>
                <w:smallCaps w:val="false"/>
                <w:sz w:val="20"/>
              </w:rPr>
              <w:t>other</w:t>
            </w:r>
            <w:r>
              <w:rPr>
                <w:caps w:val="false"/>
                <w:smallCaps w:val="false"/>
                <w:spacing w:val="-1"/>
              </w:rPr>
              <w:t xml:space="preserve"> </w:t>
            </w:r>
            <w:r>
              <w:rPr>
                <w:rFonts w:ascii="Arial;Helvetica;sans-serif" w:hAnsi="Arial;Helvetica;sans-serif"/>
                <w:b w:val="false"/>
                <w:i w:val="false"/>
                <w:caps w:val="false"/>
                <w:smallCaps w:val="false"/>
                <w:sz w:val="20"/>
              </w:rPr>
              <w:t>TTEC</w:t>
            </w:r>
            <w:r>
              <w:rPr>
                <w:caps w:val="false"/>
                <w:smallCaps w:val="false"/>
                <w:spacing w:val="-2"/>
              </w:rPr>
              <w:t xml:space="preserve"> </w:t>
            </w:r>
            <w:r>
              <w:rPr>
                <w:rFonts w:ascii="Arial;Helvetica;sans-serif" w:hAnsi="Arial;Helvetica;sans-serif"/>
                <w:b w:val="false"/>
                <w:i w:val="false"/>
                <w:caps w:val="false"/>
                <w:smallCaps w:val="false"/>
                <w:sz w:val="20"/>
              </w:rPr>
              <w:t>Parent</w:t>
            </w:r>
            <w:r>
              <w:rPr>
                <w:caps w:val="false"/>
                <w:smallCaps w:val="false"/>
                <w:spacing w:val="-1"/>
              </w:rPr>
              <w:t xml:space="preserve"> </w:t>
            </w:r>
            <w:r>
              <w:rPr>
                <w:rFonts w:ascii="Arial;Helvetica;sans-serif" w:hAnsi="Arial;Helvetica;sans-serif"/>
                <w:b w:val="false"/>
                <w:i w:val="false"/>
                <w:caps w:val="false"/>
                <w:smallCaps w:val="false"/>
                <w:sz w:val="20"/>
              </w:rPr>
              <w:t>and/or</w:t>
            </w:r>
            <w:r>
              <w:rPr>
                <w:caps w:val="false"/>
                <w:smallCaps w:val="false"/>
                <w:spacing w:val="-1"/>
              </w:rPr>
              <w:t xml:space="preserve"> </w:t>
            </w:r>
            <w:r>
              <w:rPr>
                <w:rFonts w:ascii="Arial;Helvetica;sans-serif" w:hAnsi="Arial;Helvetica;sans-serif"/>
                <w:b w:val="false"/>
                <w:i w:val="false"/>
                <w:caps w:val="false"/>
                <w:smallCaps w:val="false"/>
                <w:sz w:val="20"/>
              </w:rPr>
              <w:t xml:space="preserve">Company agreement, policy, procedure, guideline, or other publication addressing the same terms and conditions contained in this Agreement, the terms of this Agreement shall control Mr. Brown's </w:t>
            </w:r>
            <w:r>
              <w:rPr>
                <w:rFonts w:ascii="Arial;Helvetica;sans-serif" w:hAnsi="Arial;Helvetica;sans-serif"/>
                <w:b w:val="false"/>
                <w:i w:val="false"/>
                <w:caps w:val="false"/>
                <w:smallCaps w:val="false"/>
                <w:spacing w:val="-2"/>
                <w:sz w:val="20"/>
              </w:rPr>
              <w:t>employment.</w:t>
            </w:r>
          </w:p>
        </w:tc>
        <w:tc>
          <w:tcPr>
            <w:tcW w:w="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3"/>
        <w:gridCol w:w="185"/>
        <w:gridCol w:w="9974"/>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w:t>
            </w:r>
          </w:p>
        </w:tc>
        <w:tc>
          <w:tcPr>
            <w:tcW w:w="9974"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Successors</w:t>
            </w:r>
            <w:r>
              <w:rPr>
                <w:caps w:val="false"/>
                <w:smallCaps w:val="false"/>
                <w:spacing w:val="-3"/>
              </w:rPr>
              <w:t xml:space="preserve"> </w:t>
            </w:r>
            <w:r>
              <w:rPr>
                <w:rFonts w:ascii="Arial;Helvetica;sans-serif" w:hAnsi="Arial;Helvetica;sans-serif"/>
                <w:b/>
                <w:i w:val="false"/>
                <w:caps w:val="false"/>
                <w:smallCaps w:val="false"/>
                <w:sz w:val="20"/>
              </w:rPr>
              <w:t>and</w:t>
            </w:r>
            <w:r>
              <w:rPr>
                <w:caps w:val="false"/>
                <w:smallCaps w:val="false"/>
                <w:spacing w:val="-4"/>
              </w:rPr>
              <w:t xml:space="preserve"> </w:t>
            </w:r>
            <w:r>
              <w:rPr>
                <w:rFonts w:ascii="Arial;Helvetica;sans-serif" w:hAnsi="Arial;Helvetica;sans-serif"/>
                <w:b/>
                <w:i w:val="false"/>
                <w:caps w:val="false"/>
                <w:smallCaps w:val="false"/>
                <w:sz w:val="20"/>
              </w:rPr>
              <w:t>Assigns.</w:t>
            </w:r>
            <w:r>
              <w:rPr>
                <w:caps w:val="false"/>
                <w:smallCaps w:val="false"/>
                <w:spacing w:val="-2"/>
              </w:rPr>
              <w:t xml:space="preserve"> </w:t>
            </w:r>
            <w:r>
              <w:rPr>
                <w:rFonts w:ascii="Arial;Helvetica;sans-serif" w:hAnsi="Arial;Helvetica;sans-serif"/>
                <w:b w:val="false"/>
                <w:i w:val="false"/>
                <w:caps w:val="false"/>
                <w:smallCaps w:val="false"/>
                <w:sz w:val="20"/>
              </w:rPr>
              <w:t>TTEC</w:t>
            </w:r>
            <w:r>
              <w:rPr>
                <w:caps w:val="false"/>
                <w:smallCaps w:val="false"/>
                <w:spacing w:val="-4"/>
              </w:rPr>
              <w:t xml:space="preserve"> </w:t>
            </w:r>
            <w:r>
              <w:rPr>
                <w:rFonts w:ascii="Arial;Helvetica;sans-serif" w:hAnsi="Arial;Helvetica;sans-serif"/>
                <w:b w:val="false"/>
                <w:i w:val="false"/>
                <w:caps w:val="false"/>
                <w:smallCaps w:val="false"/>
                <w:sz w:val="20"/>
              </w:rPr>
              <w:t>Parent,</w:t>
            </w:r>
            <w:r>
              <w:rPr>
                <w:caps w:val="false"/>
                <w:smallCaps w:val="false"/>
                <w:spacing w:val="-3"/>
              </w:rPr>
              <w:t xml:space="preserve"> </w:t>
            </w:r>
            <w:r>
              <w:rPr>
                <w:rFonts w:ascii="Arial;Helvetica;sans-serif" w:hAnsi="Arial;Helvetica;sans-serif"/>
                <w:b w:val="false"/>
                <w:i w:val="false"/>
                <w:caps w:val="false"/>
                <w:smallCaps w:val="false"/>
                <w:sz w:val="20"/>
              </w:rPr>
              <w:t>the</w:t>
            </w:r>
            <w:r>
              <w:rPr>
                <w:caps w:val="false"/>
                <w:smallCaps w:val="false"/>
                <w:spacing w:val="-3"/>
              </w:rPr>
              <w:t xml:space="preserve"> </w:t>
            </w:r>
            <w:r>
              <w:rPr>
                <w:rFonts w:ascii="Arial;Helvetica;sans-serif" w:hAnsi="Arial;Helvetica;sans-serif"/>
                <w:b w:val="false"/>
                <w:i w:val="false"/>
                <w:caps w:val="false"/>
                <w:smallCaps w:val="false"/>
                <w:sz w:val="20"/>
              </w:rPr>
              <w:t>Company,</w:t>
            </w:r>
            <w:r>
              <w:rPr>
                <w:caps w:val="false"/>
                <w:smallCaps w:val="false"/>
                <w:spacing w:val="-3"/>
              </w:rPr>
              <w:t xml:space="preserve"> </w:t>
            </w:r>
            <w:r>
              <w:rPr>
                <w:rFonts w:ascii="Arial;Helvetica;sans-serif" w:hAnsi="Arial;Helvetica;sans-serif"/>
                <w:b w:val="false"/>
                <w:i w:val="false"/>
                <w:caps w:val="false"/>
                <w:smallCaps w:val="false"/>
                <w:sz w:val="20"/>
              </w:rPr>
              <w:t>their</w:t>
            </w:r>
            <w:r>
              <w:rPr>
                <w:caps w:val="false"/>
                <w:smallCaps w:val="false"/>
                <w:spacing w:val="-3"/>
              </w:rPr>
              <w:t xml:space="preserve"> </w:t>
            </w:r>
            <w:r>
              <w:rPr>
                <w:rFonts w:ascii="Arial;Helvetica;sans-serif" w:hAnsi="Arial;Helvetica;sans-serif"/>
                <w:b w:val="false"/>
                <w:i w:val="false"/>
                <w:caps w:val="false"/>
                <w:smallCaps w:val="false"/>
                <w:sz w:val="20"/>
              </w:rPr>
              <w:t>successors,</w:t>
            </w:r>
            <w:r>
              <w:rPr>
                <w:caps w:val="false"/>
                <w:smallCaps w:val="false"/>
                <w:spacing w:val="-3"/>
              </w:rPr>
              <w:t xml:space="preserve"> </w:t>
            </w:r>
            <w:r>
              <w:rPr>
                <w:rFonts w:ascii="Arial;Helvetica;sans-serif" w:hAnsi="Arial;Helvetica;sans-serif"/>
                <w:b w:val="false"/>
                <w:i w:val="false"/>
                <w:caps w:val="false"/>
                <w:smallCaps w:val="false"/>
                <w:sz w:val="20"/>
              </w:rPr>
              <w:t>and</w:t>
            </w:r>
            <w:r>
              <w:rPr>
                <w:caps w:val="false"/>
                <w:smallCaps w:val="false"/>
                <w:spacing w:val="-3"/>
              </w:rPr>
              <w:t xml:space="preserve"> </w:t>
            </w:r>
            <w:r>
              <w:rPr>
                <w:rFonts w:ascii="Arial;Helvetica;sans-serif" w:hAnsi="Arial;Helvetica;sans-serif"/>
                <w:b w:val="false"/>
                <w:i w:val="false"/>
                <w:caps w:val="false"/>
                <w:smallCaps w:val="false"/>
                <w:sz w:val="20"/>
              </w:rPr>
              <w:t>assignees</w:t>
            </w:r>
            <w:r>
              <w:rPr>
                <w:caps w:val="false"/>
                <w:smallCaps w:val="false"/>
                <w:spacing w:val="-3"/>
              </w:rPr>
              <w:t xml:space="preserve"> </w:t>
            </w:r>
            <w:r>
              <w:rPr>
                <w:rFonts w:ascii="Arial;Helvetica;sans-serif" w:hAnsi="Arial;Helvetica;sans-serif"/>
                <w:b w:val="false"/>
                <w:i w:val="false"/>
                <w:caps w:val="false"/>
                <w:smallCaps w:val="false"/>
                <w:sz w:val="20"/>
              </w:rPr>
              <w:t>may,</w:t>
            </w:r>
            <w:r>
              <w:rPr>
                <w:caps w:val="false"/>
                <w:smallCaps w:val="false"/>
                <w:spacing w:val="-3"/>
              </w:rPr>
              <w:t xml:space="preserve"> </w:t>
            </w:r>
            <w:r>
              <w:rPr>
                <w:rFonts w:ascii="Arial;Helvetica;sans-serif" w:hAnsi="Arial;Helvetica;sans-serif"/>
                <w:b w:val="false"/>
                <w:i w:val="false"/>
                <w:caps w:val="false"/>
                <w:smallCaps w:val="false"/>
                <w:sz w:val="20"/>
              </w:rPr>
              <w:t>in their</w:t>
            </w:r>
            <w:r>
              <w:rPr>
                <w:caps w:val="false"/>
                <w:smallCaps w:val="false"/>
                <w:spacing w:val="-1"/>
              </w:rPr>
              <w:t xml:space="preserve"> </w:t>
            </w:r>
            <w:r>
              <w:rPr>
                <w:rFonts w:ascii="Arial;Helvetica;sans-serif" w:hAnsi="Arial;Helvetica;sans-serif"/>
                <w:b w:val="false"/>
                <w:i w:val="false"/>
                <w:caps w:val="false"/>
                <w:smallCaps w:val="false"/>
                <w:sz w:val="20"/>
              </w:rPr>
              <w:t>sole</w:t>
            </w:r>
            <w:r>
              <w:rPr>
                <w:caps w:val="false"/>
                <w:smallCaps w:val="false"/>
                <w:spacing w:val="-1"/>
              </w:rPr>
              <w:t xml:space="preserve"> </w:t>
            </w:r>
            <w:r>
              <w:rPr>
                <w:rFonts w:ascii="Arial;Helvetica;sans-serif" w:hAnsi="Arial;Helvetica;sans-serif"/>
                <w:b w:val="false"/>
                <w:i w:val="false"/>
                <w:caps w:val="false"/>
                <w:smallCaps w:val="false"/>
                <w:sz w:val="20"/>
              </w:rPr>
              <w:t>discretion,</w:t>
            </w:r>
            <w:r>
              <w:rPr>
                <w:caps w:val="false"/>
                <w:smallCaps w:val="false"/>
                <w:spacing w:val="-1"/>
              </w:rPr>
              <w:t xml:space="preserve"> </w:t>
            </w:r>
            <w:r>
              <w:rPr>
                <w:rFonts w:ascii="Arial;Helvetica;sans-serif" w:hAnsi="Arial;Helvetica;sans-serif"/>
                <w:b w:val="false"/>
                <w:i w:val="false"/>
                <w:caps w:val="false"/>
                <w:smallCaps w:val="false"/>
                <w:sz w:val="20"/>
              </w:rPr>
              <w:t>assign</w:t>
            </w:r>
            <w:r>
              <w:rPr>
                <w:caps w:val="false"/>
                <w:smallCaps w:val="false"/>
                <w:spacing w:val="-1"/>
              </w:rPr>
              <w:t xml:space="preserve"> </w:t>
            </w:r>
            <w:r>
              <w:rPr>
                <w:rFonts w:ascii="Arial;Helvetica;sans-serif" w:hAnsi="Arial;Helvetica;sans-serif"/>
                <w:b w:val="false"/>
                <w:i w:val="false"/>
                <w:caps w:val="false"/>
                <w:smallCaps w:val="false"/>
                <w:sz w:val="20"/>
              </w:rPr>
              <w:t>this</w:t>
            </w:r>
            <w:r>
              <w:rPr>
                <w:caps w:val="false"/>
                <w:smallCaps w:val="false"/>
                <w:spacing w:val="-1"/>
              </w:rPr>
              <w:t xml:space="preserve"> </w:t>
            </w:r>
            <w:r>
              <w:rPr>
                <w:rFonts w:ascii="Arial;Helvetica;sans-serif" w:hAnsi="Arial;Helvetica;sans-serif"/>
                <w:b w:val="false"/>
                <w:i w:val="false"/>
                <w:caps w:val="false"/>
                <w:smallCaps w:val="false"/>
                <w:sz w:val="20"/>
              </w:rPr>
              <w:t>Agreement</w:t>
            </w:r>
            <w:r>
              <w:rPr>
                <w:caps w:val="false"/>
                <w:smallCaps w:val="false"/>
                <w:spacing w:val="-1"/>
              </w:rPr>
              <w:t xml:space="preserve"> </w:t>
            </w:r>
            <w:r>
              <w:rPr>
                <w:rFonts w:ascii="Arial;Helvetica;sans-serif" w:hAnsi="Arial;Helvetica;sans-serif"/>
                <w:b w:val="false"/>
                <w:i w:val="false"/>
                <w:caps w:val="false"/>
                <w:smallCaps w:val="false"/>
                <w:sz w:val="20"/>
              </w:rPr>
              <w:t>to</w:t>
            </w:r>
            <w:r>
              <w:rPr>
                <w:caps w:val="false"/>
                <w:smallCaps w:val="false"/>
                <w:spacing w:val="-1"/>
              </w:rPr>
              <w:t xml:space="preserve"> </w:t>
            </w:r>
            <w:r>
              <w:rPr>
                <w:rFonts w:ascii="Arial;Helvetica;sans-serif" w:hAnsi="Arial;Helvetica;sans-serif"/>
                <w:b w:val="false"/>
                <w:i w:val="false"/>
                <w:caps w:val="false"/>
                <w:smallCaps w:val="false"/>
                <w:sz w:val="20"/>
              </w:rPr>
              <w:t>any</w:t>
            </w:r>
            <w:r>
              <w:rPr>
                <w:caps w:val="false"/>
                <w:smallCaps w:val="false"/>
                <w:spacing w:val="-1"/>
              </w:rPr>
              <w:t xml:space="preserve"> </w:t>
            </w:r>
            <w:r>
              <w:rPr>
                <w:rFonts w:ascii="Arial;Helvetica;sans-serif" w:hAnsi="Arial;Helvetica;sans-serif"/>
                <w:b w:val="false"/>
                <w:i w:val="false"/>
                <w:caps w:val="false"/>
                <w:smallCaps w:val="false"/>
                <w:sz w:val="20"/>
              </w:rPr>
              <w:t>person</w:t>
            </w:r>
            <w:r>
              <w:rPr>
                <w:caps w:val="false"/>
                <w:smallCaps w:val="false"/>
                <w:spacing w:val="-1"/>
              </w:rPr>
              <w:t xml:space="preserve"> </w:t>
            </w:r>
            <w:r>
              <w:rPr>
                <w:rFonts w:ascii="Arial;Helvetica;sans-serif" w:hAnsi="Arial;Helvetica;sans-serif"/>
                <w:b w:val="false"/>
                <w:i w:val="false"/>
                <w:caps w:val="false"/>
                <w:smallCaps w:val="false"/>
                <w:sz w:val="20"/>
              </w:rPr>
              <w:t>or</w:t>
            </w:r>
            <w:r>
              <w:rPr>
                <w:caps w:val="false"/>
                <w:smallCaps w:val="false"/>
                <w:spacing w:val="-1"/>
              </w:rPr>
              <w:t xml:space="preserve"> </w:t>
            </w:r>
            <w:r>
              <w:rPr>
                <w:rFonts w:ascii="Arial;Helvetica;sans-serif" w:hAnsi="Arial;Helvetica;sans-serif"/>
                <w:b w:val="false"/>
                <w:i w:val="false"/>
                <w:caps w:val="false"/>
                <w:smallCaps w:val="false"/>
                <w:sz w:val="20"/>
              </w:rPr>
              <w:t>entity</w:t>
            </w:r>
            <w:r>
              <w:rPr>
                <w:caps w:val="false"/>
                <w:smallCaps w:val="false"/>
                <w:spacing w:val="-1"/>
              </w:rPr>
              <w:t xml:space="preserve"> </w:t>
            </w:r>
            <w:r>
              <w:rPr>
                <w:rFonts w:ascii="Arial;Helvetica;sans-serif" w:hAnsi="Arial;Helvetica;sans-serif"/>
                <w:b w:val="false"/>
                <w:i w:val="false"/>
                <w:caps w:val="false"/>
                <w:smallCaps w:val="false"/>
                <w:sz w:val="20"/>
              </w:rPr>
              <w:t>in</w:t>
            </w:r>
            <w:r>
              <w:rPr>
                <w:caps w:val="false"/>
                <w:smallCaps w:val="false"/>
                <w:spacing w:val="-1"/>
              </w:rPr>
              <w:t xml:space="preserve"> </w:t>
            </w:r>
            <w:r>
              <w:rPr>
                <w:rFonts w:ascii="Arial;Helvetica;sans-serif" w:hAnsi="Arial;Helvetica;sans-serif"/>
                <w:b w:val="false"/>
                <w:i w:val="false"/>
                <w:caps w:val="false"/>
                <w:smallCaps w:val="false"/>
                <w:sz w:val="20"/>
              </w:rPr>
              <w:t>connection</w:t>
            </w:r>
            <w:r>
              <w:rPr>
                <w:caps w:val="false"/>
                <w:smallCaps w:val="false"/>
                <w:spacing w:val="-1"/>
              </w:rPr>
              <w:t xml:space="preserve"> </w:t>
            </w:r>
            <w:r>
              <w:rPr>
                <w:rFonts w:ascii="Arial;Helvetica;sans-serif" w:hAnsi="Arial;Helvetica;sans-serif"/>
                <w:b w:val="false"/>
                <w:i w:val="false"/>
                <w:caps w:val="false"/>
                <w:smallCaps w:val="false"/>
                <w:sz w:val="20"/>
              </w:rPr>
              <w:t>with</w:t>
            </w:r>
            <w:r>
              <w:rPr>
                <w:caps w:val="false"/>
                <w:smallCaps w:val="false"/>
                <w:spacing w:val="-1"/>
              </w:rPr>
              <w:t xml:space="preserve"> </w:t>
            </w:r>
            <w:r>
              <w:rPr>
                <w:rFonts w:ascii="Arial;Helvetica;sans-serif" w:hAnsi="Arial;Helvetica;sans-serif"/>
                <w:b w:val="false"/>
                <w:i w:val="false"/>
                <w:caps w:val="false"/>
                <w:smallCaps w:val="false"/>
                <w:sz w:val="20"/>
              </w:rPr>
              <w:t>the</w:t>
            </w:r>
            <w:r>
              <w:rPr>
                <w:caps w:val="false"/>
                <w:smallCaps w:val="false"/>
                <w:spacing w:val="-1"/>
              </w:rPr>
              <w:t xml:space="preserve"> </w:t>
            </w:r>
            <w:r>
              <w:rPr>
                <w:rFonts w:ascii="Arial;Helvetica;sans-serif" w:hAnsi="Arial;Helvetica;sans-serif"/>
                <w:b w:val="false"/>
                <w:i w:val="false"/>
                <w:caps w:val="false"/>
                <w:smallCaps w:val="false"/>
                <w:sz w:val="20"/>
              </w:rPr>
              <w:t>merger, acquisition, or other business combination that results in the divestiture or transfer of all or substantially all the assets of the Company or TTEC</w:t>
            </w:r>
            <w:r>
              <w:rPr>
                <w:caps w:val="false"/>
                <w:smallCaps w:val="false"/>
                <w:spacing w:val="-1"/>
              </w:rPr>
              <w:t xml:space="preserve"> </w:t>
            </w:r>
            <w:r>
              <w:rPr>
                <w:rFonts w:ascii="Arial;Helvetica;sans-serif" w:hAnsi="Arial;Helvetica;sans-serif"/>
                <w:b w:val="false"/>
                <w:i w:val="false"/>
                <w:caps w:val="false"/>
                <w:smallCaps w:val="false"/>
                <w:sz w:val="20"/>
              </w:rPr>
              <w:t xml:space="preserve">Parent. This Agreement shall bind and inure to the benefit of TTEC Parent's and the Company's successors or assigns. This Agreement is for personal services, and Mr. Brown may not and shall not assign his rights or obligations </w:t>
            </w:r>
            <w:r>
              <w:rPr>
                <w:rFonts w:ascii="Arial;Helvetica;sans-serif" w:hAnsi="Arial;Helvetica;sans-serif"/>
                <w:b w:val="false"/>
                <w:i w:val="false"/>
                <w:caps w:val="false"/>
                <w:smallCaps w:val="false"/>
                <w:spacing w:val="-2"/>
                <w:sz w:val="20"/>
              </w:rPr>
              <w:t>hereunder.</w:t>
            </w:r>
          </w:p>
        </w:tc>
        <w:tc>
          <w:tcPr>
            <w:tcW w:w="23" w:type="dxa"/>
            <w:tcBorders/>
            <w:vAlign w:val="center"/>
          </w:tcPr>
          <w:p>
            <w:pPr>
              <w:pStyle w:val="TableContents"/>
              <w:bidi w:val="0"/>
              <w:spacing w:before="0" w:after="283"/>
              <w:jc w:val="left"/>
              <w:rPr>
                <w:sz w:val="4"/>
                <w:szCs w:val="4"/>
              </w:rPr>
            </w:pPr>
            <w:r>
              <w:rPr>
                <w:sz w:val="4"/>
                <w:szCs w:val="4"/>
              </w:rPr>
            </w:r>
          </w:p>
        </w:tc>
      </w:tr>
    </w:tbl>
    <w:tbl>
      <w:tblPr>
        <w:tblW w:w="1877" w:type="dxa"/>
        <w:jc w:val="left"/>
        <w:tblInd w:w="0" w:type="dxa"/>
        <w:tblLayout w:type="fixed"/>
        <w:tblCellMar>
          <w:top w:w="0" w:type="dxa"/>
          <w:left w:w="0" w:type="dxa"/>
          <w:bottom w:w="0" w:type="dxa"/>
          <w:right w:w="0" w:type="dxa"/>
        </w:tblCellMar>
      </w:tblPr>
      <w:tblGrid>
        <w:gridCol w:w="23"/>
        <w:gridCol w:w="185"/>
        <w:gridCol w:w="1669"/>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w:t>
            </w:r>
          </w:p>
        </w:tc>
        <w:tc>
          <w:tcPr>
            <w:tcW w:w="1669"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IRC</w:t>
            </w:r>
            <w:r>
              <w:rPr>
                <w:caps w:val="false"/>
                <w:smallCaps w:val="false"/>
                <w:spacing w:val="-8"/>
              </w:rPr>
              <w:t xml:space="preserve"> </w:t>
            </w:r>
            <w:r>
              <w:rPr>
                <w:rFonts w:ascii="Arial;Helvetica;sans-serif" w:hAnsi="Arial;Helvetica;sans-serif"/>
                <w:b/>
                <w:i w:val="false"/>
                <w:caps w:val="false"/>
                <w:smallCaps w:val="false"/>
                <w:sz w:val="20"/>
              </w:rPr>
              <w:t>Section</w:t>
            </w:r>
            <w:r>
              <w:rPr>
                <w:caps w:val="false"/>
                <w:smallCaps w:val="false"/>
                <w:spacing w:val="-7"/>
              </w:rPr>
              <w:t xml:space="preserve"> </w:t>
            </w:r>
            <w:r>
              <w:rPr>
                <w:rFonts w:ascii="Arial;Helvetica;sans-serif" w:hAnsi="Arial;Helvetica;sans-serif"/>
                <w:b/>
                <w:i w:val="false"/>
                <w:caps w:val="false"/>
                <w:smallCaps w:val="false"/>
                <w:spacing w:val="-4"/>
                <w:sz w:val="20"/>
              </w:rPr>
              <w:t>409A.</w:t>
            </w:r>
          </w:p>
        </w:tc>
      </w:tr>
    </w:tbl>
    <w:p>
      <w:pPr>
        <w:pStyle w:val="TextBody"/>
        <w:bidi w:val="0"/>
        <w:spacing w:lineRule="auto" w:line="285" w:before="0" w:after="0"/>
        <w:ind w:left="810" w:right="370" w:hanging="0"/>
        <w:jc w:val="left"/>
        <w:rPr>
          <w:rFonts w:ascii="Aptos" w:hAnsi="Aptos"/>
          <w:sz w:val="24"/>
        </w:rPr>
      </w:pPr>
      <w:r>
        <w:rPr>
          <w:rFonts w:ascii="Arial;Helvetica;sans-serif" w:hAnsi="Arial;Helvetica;sans-serif"/>
          <w:sz w:val="20"/>
        </w:rPr>
        <w:t>(i)</w:t>
      </w:r>
      <w:r>
        <w:rPr>
          <w:rFonts w:ascii="Arial;Helvetica;sans-serif" w:hAnsi="Arial;Helvetica;sans-serif"/>
          <w:sz w:val="20"/>
          <w:u w:val="single"/>
        </w:rPr>
        <w:t>Interpretation</w:t>
      </w:r>
      <w:r>
        <w:rPr>
          <w:rFonts w:ascii="Arial;Helvetica;sans-serif" w:hAnsi="Arial;Helvetica;sans-serif"/>
          <w:sz w:val="20"/>
        </w:rPr>
        <w:t>. This Agreement shall be interpreted and administered in a manner so that</w:t>
      </w:r>
      <w:r>
        <w:rPr>
          <w:rFonts w:ascii="Aptos" w:hAnsi="Aptos"/>
          <w:spacing w:val="-3"/>
          <w:sz w:val="24"/>
        </w:rPr>
        <w:t xml:space="preserve"> </w:t>
      </w:r>
      <w:r>
        <w:rPr>
          <w:rFonts w:ascii="Arial;Helvetica;sans-serif" w:hAnsi="Arial;Helvetica;sans-serif"/>
          <w:sz w:val="20"/>
        </w:rPr>
        <w:t>any</w:t>
      </w:r>
      <w:r>
        <w:rPr>
          <w:rFonts w:ascii="Aptos" w:hAnsi="Aptos"/>
          <w:spacing w:val="-3"/>
          <w:sz w:val="24"/>
        </w:rPr>
        <w:t xml:space="preserve"> </w:t>
      </w:r>
      <w:r>
        <w:rPr>
          <w:rFonts w:ascii="Arial;Helvetica;sans-serif" w:hAnsi="Arial;Helvetica;sans-serif"/>
          <w:sz w:val="20"/>
        </w:rPr>
        <w:t>amount</w:t>
      </w:r>
      <w:r>
        <w:rPr>
          <w:rFonts w:ascii="Aptos" w:hAnsi="Aptos"/>
          <w:spacing w:val="-3"/>
          <w:sz w:val="24"/>
        </w:rPr>
        <w:t xml:space="preserve"> </w:t>
      </w:r>
      <w:r>
        <w:rPr>
          <w:rFonts w:ascii="Arial;Helvetica;sans-serif" w:hAnsi="Arial;Helvetica;sans-serif"/>
          <w:sz w:val="20"/>
        </w:rPr>
        <w:t>or</w:t>
      </w:r>
      <w:r>
        <w:rPr>
          <w:rFonts w:ascii="Aptos" w:hAnsi="Aptos"/>
          <w:spacing w:val="-3"/>
          <w:sz w:val="24"/>
        </w:rPr>
        <w:t xml:space="preserve"> </w:t>
      </w:r>
      <w:r>
        <w:rPr>
          <w:rFonts w:ascii="Arial;Helvetica;sans-serif" w:hAnsi="Arial;Helvetica;sans-serif"/>
          <w:sz w:val="20"/>
        </w:rPr>
        <w:t>benefit</w:t>
      </w:r>
      <w:r>
        <w:rPr>
          <w:rFonts w:ascii="Aptos" w:hAnsi="Aptos"/>
          <w:spacing w:val="-3"/>
          <w:sz w:val="24"/>
        </w:rPr>
        <w:t xml:space="preserve"> </w:t>
      </w:r>
      <w:r>
        <w:rPr>
          <w:rFonts w:ascii="Arial;Helvetica;sans-serif" w:hAnsi="Arial;Helvetica;sans-serif"/>
          <w:sz w:val="20"/>
        </w:rPr>
        <w:t>payable</w:t>
      </w:r>
      <w:r>
        <w:rPr>
          <w:rFonts w:ascii="Aptos" w:hAnsi="Aptos"/>
          <w:spacing w:val="-3"/>
          <w:sz w:val="24"/>
        </w:rPr>
        <w:t xml:space="preserve"> </w:t>
      </w:r>
      <w:r>
        <w:rPr>
          <w:rFonts w:ascii="Arial;Helvetica;sans-serif" w:hAnsi="Arial;Helvetica;sans-serif"/>
          <w:sz w:val="20"/>
        </w:rPr>
        <w:t>hereunder</w:t>
      </w:r>
      <w:r>
        <w:rPr>
          <w:rFonts w:ascii="Aptos" w:hAnsi="Aptos"/>
          <w:spacing w:val="-3"/>
          <w:sz w:val="24"/>
        </w:rPr>
        <w:t xml:space="preserve"> </w:t>
      </w:r>
      <w:r>
        <w:rPr>
          <w:rFonts w:ascii="Arial;Helvetica;sans-serif" w:hAnsi="Arial;Helvetica;sans-serif"/>
          <w:sz w:val="20"/>
        </w:rPr>
        <w:t>shall</w:t>
      </w:r>
      <w:r>
        <w:rPr>
          <w:rFonts w:ascii="Aptos" w:hAnsi="Aptos"/>
          <w:spacing w:val="-3"/>
          <w:sz w:val="24"/>
        </w:rPr>
        <w:t xml:space="preserve"> </w:t>
      </w:r>
      <w:r>
        <w:rPr>
          <w:rFonts w:ascii="Arial;Helvetica;sans-serif" w:hAnsi="Arial;Helvetica;sans-serif"/>
          <w:sz w:val="20"/>
        </w:rPr>
        <w:t>be</w:t>
      </w:r>
      <w:r>
        <w:rPr>
          <w:rFonts w:ascii="Aptos" w:hAnsi="Aptos"/>
          <w:spacing w:val="-3"/>
          <w:sz w:val="24"/>
        </w:rPr>
        <w:t xml:space="preserve"> </w:t>
      </w:r>
      <w:r>
        <w:rPr>
          <w:rFonts w:ascii="Arial;Helvetica;sans-serif" w:hAnsi="Arial;Helvetica;sans-serif"/>
          <w:sz w:val="20"/>
        </w:rPr>
        <w:t>paid</w:t>
      </w:r>
      <w:r>
        <w:rPr>
          <w:rFonts w:ascii="Aptos" w:hAnsi="Aptos"/>
          <w:spacing w:val="-3"/>
          <w:sz w:val="24"/>
        </w:rPr>
        <w:t xml:space="preserve"> </w:t>
      </w:r>
      <w:r>
        <w:rPr>
          <w:rFonts w:ascii="Arial;Helvetica;sans-serif" w:hAnsi="Arial;Helvetica;sans-serif"/>
          <w:sz w:val="20"/>
        </w:rPr>
        <w:t>or</w:t>
      </w:r>
      <w:r>
        <w:rPr>
          <w:rFonts w:ascii="Aptos" w:hAnsi="Aptos"/>
          <w:spacing w:val="-3"/>
          <w:sz w:val="24"/>
        </w:rPr>
        <w:t xml:space="preserve"> </w:t>
      </w:r>
      <w:r>
        <w:rPr>
          <w:rFonts w:ascii="Arial;Helvetica;sans-serif" w:hAnsi="Arial;Helvetica;sans-serif"/>
          <w:sz w:val="20"/>
        </w:rPr>
        <w:t>provided</w:t>
      </w:r>
      <w:r>
        <w:rPr>
          <w:rFonts w:ascii="Aptos" w:hAnsi="Aptos"/>
          <w:spacing w:val="-3"/>
          <w:sz w:val="24"/>
        </w:rPr>
        <w:t xml:space="preserve"> </w:t>
      </w:r>
      <w:r>
        <w:rPr>
          <w:rFonts w:ascii="Arial;Helvetica;sans-serif" w:hAnsi="Arial;Helvetica;sans-serif"/>
          <w:sz w:val="20"/>
        </w:rPr>
        <w:t>in</w:t>
      </w:r>
      <w:r>
        <w:rPr>
          <w:rFonts w:ascii="Aptos" w:hAnsi="Aptos"/>
          <w:spacing w:val="-3"/>
          <w:sz w:val="24"/>
        </w:rPr>
        <w:t xml:space="preserve"> </w:t>
      </w:r>
      <w:r>
        <w:rPr>
          <w:rFonts w:ascii="Arial;Helvetica;sans-serif" w:hAnsi="Arial;Helvetica;sans-serif"/>
          <w:sz w:val="20"/>
        </w:rPr>
        <w:t>a</w:t>
      </w:r>
      <w:r>
        <w:rPr>
          <w:rFonts w:ascii="Aptos" w:hAnsi="Aptos"/>
          <w:spacing w:val="-3"/>
          <w:sz w:val="24"/>
        </w:rPr>
        <w:t xml:space="preserve"> </w:t>
      </w:r>
      <w:r>
        <w:rPr>
          <w:rFonts w:ascii="Arial;Helvetica;sans-serif" w:hAnsi="Arial;Helvetica;sans-serif"/>
          <w:sz w:val="20"/>
        </w:rPr>
        <w:t>manner</w:t>
      </w:r>
      <w:r>
        <w:rPr>
          <w:rFonts w:ascii="Aptos" w:hAnsi="Aptos"/>
          <w:spacing w:val="-3"/>
          <w:sz w:val="24"/>
        </w:rPr>
        <w:t xml:space="preserve"> </w:t>
      </w:r>
      <w:r>
        <w:rPr>
          <w:rFonts w:ascii="Arial;Helvetica;sans-serif" w:hAnsi="Arial;Helvetica;sans-serif"/>
          <w:sz w:val="20"/>
        </w:rPr>
        <w:t>that</w:t>
      </w:r>
      <w:r>
        <w:rPr>
          <w:rFonts w:ascii="Aptos" w:hAnsi="Aptos"/>
          <w:spacing w:val="-3"/>
          <w:sz w:val="24"/>
        </w:rPr>
        <w:t xml:space="preserve"> </w:t>
      </w:r>
      <w:r>
        <w:rPr>
          <w:rFonts w:ascii="Arial;Helvetica;sans-serif" w:hAnsi="Arial;Helvetica;sans-serif"/>
          <w:sz w:val="20"/>
        </w:rPr>
        <w:t>is</w:t>
      </w:r>
      <w:r>
        <w:rPr>
          <w:rFonts w:ascii="Aptos" w:hAnsi="Aptos"/>
          <w:spacing w:val="-3"/>
          <w:sz w:val="24"/>
        </w:rPr>
        <w:t xml:space="preserve"> </w:t>
      </w:r>
      <w:r>
        <w:rPr>
          <w:rFonts w:ascii="Arial;Helvetica;sans-serif" w:hAnsi="Arial;Helvetica;sans-serif"/>
          <w:sz w:val="20"/>
        </w:rPr>
        <w:t>either exempt</w:t>
      </w:r>
      <w:r>
        <w:rPr>
          <w:rFonts w:ascii="Aptos" w:hAnsi="Aptos"/>
          <w:spacing w:val="-1"/>
          <w:sz w:val="24"/>
        </w:rPr>
        <w:t xml:space="preserve"> </w:t>
      </w:r>
      <w:r>
        <w:rPr>
          <w:rFonts w:ascii="Arial;Helvetica;sans-serif" w:hAnsi="Arial;Helvetica;sans-serif"/>
          <w:sz w:val="20"/>
        </w:rPr>
        <w:t>from</w:t>
      </w:r>
      <w:r>
        <w:rPr>
          <w:rFonts w:ascii="Aptos" w:hAnsi="Aptos"/>
          <w:spacing w:val="-2"/>
          <w:sz w:val="24"/>
        </w:rPr>
        <w:t xml:space="preserve"> </w:t>
      </w:r>
      <w:r>
        <w:rPr>
          <w:rFonts w:ascii="Arial;Helvetica;sans-serif" w:hAnsi="Arial;Helvetica;sans-serif"/>
          <w:sz w:val="20"/>
        </w:rPr>
        <w:t>or</w:t>
      </w:r>
      <w:r>
        <w:rPr>
          <w:rFonts w:ascii="Aptos" w:hAnsi="Aptos"/>
          <w:spacing w:val="-1"/>
          <w:sz w:val="24"/>
        </w:rPr>
        <w:t xml:space="preserve"> </w:t>
      </w:r>
      <w:r>
        <w:rPr>
          <w:rFonts w:ascii="Arial;Helvetica;sans-serif" w:hAnsi="Arial;Helvetica;sans-serif"/>
          <w:sz w:val="20"/>
        </w:rPr>
        <w:t>complies</w:t>
      </w:r>
      <w:r>
        <w:rPr>
          <w:rFonts w:ascii="Aptos" w:hAnsi="Aptos"/>
          <w:spacing w:val="-1"/>
          <w:sz w:val="24"/>
        </w:rPr>
        <w:t xml:space="preserve"> </w:t>
      </w:r>
      <w:r>
        <w:rPr>
          <w:rFonts w:ascii="Arial;Helvetica;sans-serif" w:hAnsi="Arial;Helvetica;sans-serif"/>
          <w:sz w:val="20"/>
        </w:rPr>
        <w:t>with</w:t>
      </w:r>
      <w:r>
        <w:rPr>
          <w:rFonts w:ascii="Aptos" w:hAnsi="Aptos"/>
          <w:spacing w:val="-1"/>
          <w:sz w:val="24"/>
        </w:rPr>
        <w:t xml:space="preserve"> </w:t>
      </w:r>
      <w:r>
        <w:rPr>
          <w:rFonts w:ascii="Arial;Helvetica;sans-serif" w:hAnsi="Arial;Helvetica;sans-serif"/>
          <w:sz w:val="20"/>
        </w:rPr>
        <w:t>the</w:t>
      </w:r>
      <w:r>
        <w:rPr>
          <w:rFonts w:ascii="Aptos" w:hAnsi="Aptos"/>
          <w:spacing w:val="-1"/>
          <w:sz w:val="24"/>
        </w:rPr>
        <w:t xml:space="preserve"> </w:t>
      </w:r>
      <w:r>
        <w:rPr>
          <w:rFonts w:ascii="Arial;Helvetica;sans-serif" w:hAnsi="Arial;Helvetica;sans-serif"/>
          <w:sz w:val="20"/>
        </w:rPr>
        <w:t>requirements</w:t>
      </w:r>
      <w:r>
        <w:rPr>
          <w:rFonts w:ascii="Aptos" w:hAnsi="Aptos"/>
          <w:spacing w:val="-1"/>
          <w:sz w:val="24"/>
        </w:rPr>
        <w:t xml:space="preserve"> </w:t>
      </w:r>
      <w:r>
        <w:rPr>
          <w:rFonts w:ascii="Arial;Helvetica;sans-serif" w:hAnsi="Arial;Helvetica;sans-serif"/>
          <w:sz w:val="20"/>
        </w:rPr>
        <w:t>of</w:t>
      </w:r>
      <w:r>
        <w:rPr>
          <w:rFonts w:ascii="Aptos" w:hAnsi="Aptos"/>
          <w:spacing w:val="-1"/>
          <w:sz w:val="24"/>
        </w:rPr>
        <w:t xml:space="preserve"> </w:t>
      </w:r>
      <w:r>
        <w:rPr>
          <w:rFonts w:ascii="Arial;Helvetica;sans-serif" w:hAnsi="Arial;Helvetica;sans-serif"/>
          <w:sz w:val="20"/>
        </w:rPr>
        <w:t>Section</w:t>
      </w:r>
      <w:r>
        <w:rPr>
          <w:rFonts w:ascii="Aptos" w:hAnsi="Aptos"/>
          <w:spacing w:val="-1"/>
          <w:sz w:val="24"/>
        </w:rPr>
        <w:t xml:space="preserve"> </w:t>
      </w:r>
      <w:r>
        <w:rPr>
          <w:rFonts w:ascii="Arial;Helvetica;sans-serif" w:hAnsi="Arial;Helvetica;sans-serif"/>
          <w:sz w:val="20"/>
        </w:rPr>
        <w:t>409A</w:t>
      </w:r>
      <w:r>
        <w:rPr>
          <w:rFonts w:ascii="Aptos" w:hAnsi="Aptos"/>
          <w:spacing w:val="-2"/>
          <w:sz w:val="24"/>
        </w:rPr>
        <w:t xml:space="preserve"> </w:t>
      </w:r>
      <w:r>
        <w:rPr>
          <w:rFonts w:ascii="Arial;Helvetica;sans-serif" w:hAnsi="Arial;Helvetica;sans-serif"/>
          <w:sz w:val="20"/>
        </w:rPr>
        <w:t>of</w:t>
      </w:r>
      <w:r>
        <w:rPr>
          <w:rFonts w:ascii="Aptos" w:hAnsi="Aptos"/>
          <w:spacing w:val="-1"/>
          <w:sz w:val="24"/>
        </w:rPr>
        <w:t xml:space="preserve"> </w:t>
      </w:r>
      <w:r>
        <w:rPr>
          <w:rFonts w:ascii="Arial;Helvetica;sans-serif" w:hAnsi="Arial;Helvetica;sans-serif"/>
          <w:sz w:val="20"/>
        </w:rPr>
        <w:t>the</w:t>
      </w:r>
      <w:r>
        <w:rPr>
          <w:rFonts w:ascii="Aptos" w:hAnsi="Aptos"/>
          <w:spacing w:val="-1"/>
          <w:sz w:val="24"/>
        </w:rPr>
        <w:t xml:space="preserve"> </w:t>
      </w:r>
      <w:r>
        <w:rPr>
          <w:rFonts w:ascii="Arial;Helvetica;sans-serif" w:hAnsi="Arial;Helvetica;sans-serif"/>
          <w:sz w:val="20"/>
        </w:rPr>
        <w:t>Internal</w:t>
      </w:r>
      <w:r>
        <w:rPr>
          <w:rFonts w:ascii="Aptos" w:hAnsi="Aptos"/>
          <w:spacing w:val="-1"/>
          <w:sz w:val="24"/>
        </w:rPr>
        <w:t xml:space="preserve"> </w:t>
      </w:r>
      <w:r>
        <w:rPr>
          <w:rFonts w:ascii="Arial;Helvetica;sans-serif" w:hAnsi="Arial;Helvetica;sans-serif"/>
          <w:sz w:val="20"/>
        </w:rPr>
        <w:t>Revenue</w:t>
      </w:r>
      <w:r>
        <w:rPr>
          <w:rFonts w:ascii="Aptos" w:hAnsi="Aptos"/>
          <w:spacing w:val="-1"/>
          <w:sz w:val="24"/>
        </w:rPr>
        <w:t xml:space="preserve"> </w:t>
      </w:r>
      <w:r>
        <w:rPr>
          <w:rFonts w:ascii="Arial;Helvetica;sans-serif" w:hAnsi="Arial;Helvetica;sans-serif"/>
          <w:sz w:val="20"/>
        </w:rPr>
        <w:t>Code</w:t>
      </w:r>
      <w:r>
        <w:rPr>
          <w:rFonts w:ascii="Aptos" w:hAnsi="Aptos"/>
          <w:spacing w:val="-1"/>
          <w:sz w:val="24"/>
        </w:rPr>
        <w:t xml:space="preserve"> </w:t>
      </w:r>
      <w:r>
        <w:rPr>
          <w:rFonts w:ascii="Arial;Helvetica;sans-serif" w:hAnsi="Arial;Helvetica;sans-serif"/>
          <w:sz w:val="20"/>
        </w:rPr>
        <w:t>of 1986, as amended (the "Code") and the Internal Revenue Service guidance and Treasury Regulations thereunder (collectively, "Section 409A"). It is the Parties' intention that salary continuation payments under the Agreement will be exempt from the requirements of Section 409A</w:t>
      </w:r>
      <w:r>
        <w:rPr>
          <w:rFonts w:ascii="Aptos" w:hAnsi="Aptos"/>
          <w:spacing w:val="-1"/>
          <w:sz w:val="24"/>
        </w:rPr>
        <w:t xml:space="preserve"> </w:t>
      </w:r>
      <w:r>
        <w:rPr>
          <w:rFonts w:ascii="Arial;Helvetica;sans-serif" w:hAnsi="Arial;Helvetica;sans-serif"/>
          <w:sz w:val="20"/>
        </w:rPr>
        <w:t>because they are short-term</w:t>
      </w:r>
      <w:r>
        <w:rPr>
          <w:rFonts w:ascii="Aptos" w:hAnsi="Aptos"/>
          <w:spacing w:val="-1"/>
          <w:sz w:val="24"/>
        </w:rPr>
        <w:t xml:space="preserve"> </w:t>
      </w:r>
      <w:r>
        <w:rPr>
          <w:rFonts w:ascii="Arial;Helvetica;sans-serif" w:hAnsi="Arial;Helvetica;sans-serif"/>
          <w:sz w:val="20"/>
        </w:rPr>
        <w:t>deferrals under Treas. Reg. Sec. 1.409A-1(b)(4) or payments under a separation pay plan within the meaning of Treas. Reg. Sec. 1.409A-1(b)(9) and the Agreement shall be construed and administered in a manner consistent with such intent.</w:t>
      </w:r>
    </w:p>
    <w:p>
      <w:pPr>
        <w:pStyle w:val="TextBody"/>
        <w:bidi w:val="0"/>
        <w:spacing w:lineRule="auto" w:line="285" w:before="85" w:after="283"/>
        <w:ind w:left="810" w:right="367" w:hanging="0"/>
        <w:jc w:val="left"/>
        <w:rPr>
          <w:rFonts w:ascii="Aptos" w:hAnsi="Aptos"/>
          <w:sz w:val="24"/>
        </w:rPr>
      </w:pPr>
      <w:r>
        <w:rPr>
          <w:rFonts w:ascii="Arial;Helvetica;sans-serif" w:hAnsi="Arial;Helvetica;sans-serif"/>
          <w:sz w:val="20"/>
        </w:rPr>
        <w:t>(ii)</w:t>
      </w:r>
      <w:r>
        <w:rPr>
          <w:rFonts w:ascii="Arial;Helvetica;sans-serif" w:hAnsi="Arial;Helvetica;sans-serif"/>
          <w:sz w:val="20"/>
          <w:u w:val="single"/>
        </w:rPr>
        <w:t>Separation from Service; Separate Payments.</w:t>
      </w:r>
      <w:r>
        <w:rPr>
          <w:rFonts w:ascii="Aptos" w:hAnsi="Aptos"/>
          <w:sz w:val="24"/>
        </w:rPr>
        <w:t xml:space="preserve"> </w:t>
      </w:r>
      <w:r>
        <w:rPr>
          <w:rFonts w:ascii="Arial;Helvetica;sans-serif" w:hAnsi="Arial;Helvetica;sans-serif"/>
          <w:sz w:val="20"/>
        </w:rPr>
        <w:t>Notwithstanding anything in this Agreement</w:t>
      </w:r>
      <w:r>
        <w:rPr>
          <w:rFonts w:ascii="Aptos" w:hAnsi="Aptos"/>
          <w:spacing w:val="-3"/>
          <w:sz w:val="24"/>
        </w:rPr>
        <w:t xml:space="preserve"> </w:t>
      </w:r>
      <w:r>
        <w:rPr>
          <w:rFonts w:ascii="Arial;Helvetica;sans-serif" w:hAnsi="Arial;Helvetica;sans-serif"/>
          <w:sz w:val="20"/>
        </w:rPr>
        <w:t>to</w:t>
      </w:r>
      <w:r>
        <w:rPr>
          <w:rFonts w:ascii="Aptos" w:hAnsi="Aptos"/>
          <w:spacing w:val="-3"/>
          <w:sz w:val="24"/>
        </w:rPr>
        <w:t xml:space="preserve"> </w:t>
      </w:r>
      <w:r>
        <w:rPr>
          <w:rFonts w:ascii="Arial;Helvetica;sans-serif" w:hAnsi="Arial;Helvetica;sans-serif"/>
          <w:sz w:val="20"/>
        </w:rPr>
        <w:t>the</w:t>
      </w:r>
      <w:r>
        <w:rPr>
          <w:rFonts w:ascii="Aptos" w:hAnsi="Aptos"/>
          <w:spacing w:val="-3"/>
          <w:sz w:val="24"/>
        </w:rPr>
        <w:t xml:space="preserve"> </w:t>
      </w:r>
      <w:r>
        <w:rPr>
          <w:rFonts w:ascii="Arial;Helvetica;sans-serif" w:hAnsi="Arial;Helvetica;sans-serif"/>
          <w:sz w:val="20"/>
        </w:rPr>
        <w:t>contrary,</w:t>
      </w:r>
      <w:r>
        <w:rPr>
          <w:rFonts w:ascii="Aptos" w:hAnsi="Aptos"/>
          <w:spacing w:val="-3"/>
          <w:sz w:val="24"/>
        </w:rPr>
        <w:t xml:space="preserve"> </w:t>
      </w:r>
      <w:r>
        <w:rPr>
          <w:rFonts w:ascii="Arial;Helvetica;sans-serif" w:hAnsi="Arial;Helvetica;sans-serif"/>
          <w:sz w:val="20"/>
        </w:rPr>
        <w:t>to</w:t>
      </w:r>
      <w:r>
        <w:rPr>
          <w:rFonts w:ascii="Aptos" w:hAnsi="Aptos"/>
          <w:spacing w:val="-3"/>
          <w:sz w:val="24"/>
        </w:rPr>
        <w:t xml:space="preserve"> </w:t>
      </w:r>
      <w:r>
        <w:rPr>
          <w:rFonts w:ascii="Arial;Helvetica;sans-serif" w:hAnsi="Arial;Helvetica;sans-serif"/>
          <w:sz w:val="20"/>
        </w:rPr>
        <w:t>the</w:t>
      </w:r>
      <w:r>
        <w:rPr>
          <w:rFonts w:ascii="Aptos" w:hAnsi="Aptos"/>
          <w:spacing w:val="-3"/>
          <w:sz w:val="24"/>
        </w:rPr>
        <w:t xml:space="preserve"> </w:t>
      </w:r>
      <w:r>
        <w:rPr>
          <w:rFonts w:ascii="Arial;Helvetica;sans-serif" w:hAnsi="Arial;Helvetica;sans-serif"/>
          <w:sz w:val="20"/>
        </w:rPr>
        <w:t>extent</w:t>
      </w:r>
      <w:r>
        <w:rPr>
          <w:rFonts w:ascii="Aptos" w:hAnsi="Aptos"/>
          <w:spacing w:val="-3"/>
          <w:sz w:val="24"/>
        </w:rPr>
        <w:t xml:space="preserve"> </w:t>
      </w:r>
      <w:r>
        <w:rPr>
          <w:rFonts w:ascii="Arial;Helvetica;sans-serif" w:hAnsi="Arial;Helvetica;sans-serif"/>
          <w:sz w:val="20"/>
        </w:rPr>
        <w:t>that</w:t>
      </w:r>
      <w:r>
        <w:rPr>
          <w:rFonts w:ascii="Aptos" w:hAnsi="Aptos"/>
          <w:spacing w:val="-3"/>
          <w:sz w:val="24"/>
        </w:rPr>
        <w:t xml:space="preserve"> </w:t>
      </w:r>
      <w:r>
        <w:rPr>
          <w:rFonts w:ascii="Arial;Helvetica;sans-serif" w:hAnsi="Arial;Helvetica;sans-serif"/>
          <w:sz w:val="20"/>
        </w:rPr>
        <w:t>any</w:t>
      </w:r>
      <w:r>
        <w:rPr>
          <w:rFonts w:ascii="Aptos" w:hAnsi="Aptos"/>
          <w:spacing w:val="-3"/>
          <w:sz w:val="24"/>
        </w:rPr>
        <w:t xml:space="preserve"> </w:t>
      </w:r>
      <w:r>
        <w:rPr>
          <w:rFonts w:ascii="Arial;Helvetica;sans-serif" w:hAnsi="Arial;Helvetica;sans-serif"/>
          <w:sz w:val="20"/>
        </w:rPr>
        <w:t>payment</w:t>
      </w:r>
      <w:r>
        <w:rPr>
          <w:rFonts w:ascii="Aptos" w:hAnsi="Aptos"/>
          <w:spacing w:val="-3"/>
          <w:sz w:val="24"/>
        </w:rPr>
        <w:t xml:space="preserve"> </w:t>
      </w:r>
      <w:r>
        <w:rPr>
          <w:rFonts w:ascii="Arial;Helvetica;sans-serif" w:hAnsi="Arial;Helvetica;sans-serif"/>
          <w:sz w:val="20"/>
        </w:rPr>
        <w:t>or</w:t>
      </w:r>
      <w:r>
        <w:rPr>
          <w:rFonts w:ascii="Aptos" w:hAnsi="Aptos"/>
          <w:spacing w:val="-3"/>
          <w:sz w:val="24"/>
        </w:rPr>
        <w:t xml:space="preserve"> </w:t>
      </w:r>
      <w:r>
        <w:rPr>
          <w:rFonts w:ascii="Arial;Helvetica;sans-serif" w:hAnsi="Arial;Helvetica;sans-serif"/>
          <w:sz w:val="20"/>
        </w:rPr>
        <w:t>benefit</w:t>
      </w:r>
      <w:r>
        <w:rPr>
          <w:rFonts w:ascii="Aptos" w:hAnsi="Aptos"/>
          <w:spacing w:val="-3"/>
          <w:sz w:val="24"/>
        </w:rPr>
        <w:t xml:space="preserve"> </w:t>
      </w:r>
      <w:r>
        <w:rPr>
          <w:rFonts w:ascii="Arial;Helvetica;sans-serif" w:hAnsi="Arial;Helvetica;sans-serif"/>
          <w:sz w:val="20"/>
        </w:rPr>
        <w:t>subject</w:t>
      </w:r>
      <w:r>
        <w:rPr>
          <w:rFonts w:ascii="Aptos" w:hAnsi="Aptos"/>
          <w:spacing w:val="-3"/>
          <w:sz w:val="24"/>
        </w:rPr>
        <w:t xml:space="preserve"> </w:t>
      </w:r>
      <w:r>
        <w:rPr>
          <w:rFonts w:ascii="Arial;Helvetica;sans-serif" w:hAnsi="Arial;Helvetica;sans-serif"/>
          <w:sz w:val="20"/>
        </w:rPr>
        <w:t>to</w:t>
      </w:r>
      <w:r>
        <w:rPr>
          <w:rFonts w:ascii="Aptos" w:hAnsi="Aptos"/>
          <w:spacing w:val="-3"/>
          <w:sz w:val="24"/>
        </w:rPr>
        <w:t xml:space="preserve"> </w:t>
      </w:r>
      <w:r>
        <w:rPr>
          <w:rFonts w:ascii="Arial;Helvetica;sans-serif" w:hAnsi="Arial;Helvetica;sans-serif"/>
          <w:sz w:val="20"/>
        </w:rPr>
        <w:t>Section</w:t>
      </w:r>
      <w:r>
        <w:rPr>
          <w:rFonts w:ascii="Aptos" w:hAnsi="Aptos"/>
          <w:spacing w:val="-3"/>
          <w:sz w:val="24"/>
        </w:rPr>
        <w:t xml:space="preserve"> </w:t>
      </w:r>
      <w:r>
        <w:rPr>
          <w:rFonts w:ascii="Arial;Helvetica;sans-serif" w:hAnsi="Arial;Helvetica;sans-serif"/>
          <w:sz w:val="20"/>
        </w:rPr>
        <w:t xml:space="preserve">409A, including an exemption from Section 409A, and such payment or benefit would otherwise be payable or distributable hereunder by reason of Executive's termination of employment, all </w:t>
      </w:r>
    </w:p>
    <w:p>
      <w:pPr>
        <w:pStyle w:val="TextBody"/>
        <w:bidi w:val="0"/>
        <w:spacing w:lineRule="auto" w:line="285" w:before="0" w:after="0"/>
        <w:ind w:left="0" w:right="0" w:hanging="0"/>
        <w:jc w:val="right"/>
        <w:rPr>
          <w:rFonts w:ascii="Arial;Helvetica;sans-serif" w:hAnsi="Arial;Helvetica;sans-serif"/>
          <w:sz w:val="22"/>
        </w:rPr>
      </w:pPr>
      <w:r>
        <w:rPr>
          <w:rFonts w:ascii="Arial;Helvetica;sans-serif" w:hAnsi="Arial;Helvetica;sans-serif"/>
          <w:sz w:val="22"/>
        </w:rPr>
        <w:t xml:space="preserve">Page </w:t>
      </w:r>
      <w:r>
        <w:rPr>
          <w:rFonts w:ascii="Arial;Helvetica;sans-serif" w:hAnsi="Arial;Helvetica;sans-serif"/>
          <w:b/>
          <w:sz w:val="22"/>
        </w:rPr>
        <w:t>11</w:t>
      </w:r>
      <w:r>
        <w:rPr>
          <w:rFonts w:ascii="Arial;Helvetica;sans-serif" w:hAnsi="Arial;Helvetica;sans-serif"/>
          <w:sz w:val="22"/>
        </w:rPr>
        <w:t xml:space="preserve"> of </w:t>
      </w:r>
      <w:r>
        <w:rPr>
          <w:rFonts w:ascii="Arial;Helvetica;sans-serif" w:hAnsi="Arial;Helvetica;sans-serif"/>
          <w:b/>
          <w:sz w:val="22"/>
        </w:rPr>
        <w:t>15</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85" w:after="0"/>
        <w:ind w:left="810" w:right="367" w:hanging="0"/>
        <w:jc w:val="left"/>
        <w:rPr>
          <w:rFonts w:ascii="Aptos" w:hAnsi="Aptos"/>
          <w:sz w:val="24"/>
        </w:rPr>
      </w:pPr>
      <w:r>
        <w:rPr>
          <w:rFonts w:ascii="Arial;Helvetica;sans-serif" w:hAnsi="Arial;Helvetica;sans-serif"/>
          <w:sz w:val="20"/>
        </w:rPr>
        <w:t>references to the Executive's "termination of employment" shall be construed to mean a "separation</w:t>
      </w:r>
      <w:r>
        <w:rPr>
          <w:rFonts w:ascii="Aptos" w:hAnsi="Aptos"/>
          <w:spacing w:val="-4"/>
          <w:sz w:val="24"/>
        </w:rPr>
        <w:t xml:space="preserve"> </w:t>
      </w:r>
      <w:r>
        <w:rPr>
          <w:rFonts w:ascii="Arial;Helvetica;sans-serif" w:hAnsi="Arial;Helvetica;sans-serif"/>
          <w:sz w:val="20"/>
        </w:rPr>
        <w:t>from</w:t>
      </w:r>
      <w:r>
        <w:rPr>
          <w:rFonts w:ascii="Aptos" w:hAnsi="Aptos"/>
          <w:spacing w:val="-4"/>
          <w:sz w:val="24"/>
        </w:rPr>
        <w:t xml:space="preserve"> </w:t>
      </w:r>
      <w:r>
        <w:rPr>
          <w:rFonts w:ascii="Arial;Helvetica;sans-serif" w:hAnsi="Arial;Helvetica;sans-serif"/>
          <w:sz w:val="20"/>
        </w:rPr>
        <w:t>service,"</w:t>
      </w:r>
      <w:r>
        <w:rPr>
          <w:rFonts w:ascii="Aptos" w:hAnsi="Aptos"/>
          <w:spacing w:val="-3"/>
          <w:sz w:val="24"/>
        </w:rPr>
        <w:t xml:space="preserve"> </w:t>
      </w:r>
      <w:r>
        <w:rPr>
          <w:rFonts w:ascii="Arial;Helvetica;sans-serif" w:hAnsi="Arial;Helvetica;sans-serif"/>
          <w:sz w:val="20"/>
        </w:rPr>
        <w:t>as</w:t>
      </w:r>
      <w:r>
        <w:rPr>
          <w:rFonts w:ascii="Aptos" w:hAnsi="Aptos"/>
          <w:spacing w:val="-3"/>
          <w:sz w:val="24"/>
        </w:rPr>
        <w:t xml:space="preserve"> </w:t>
      </w:r>
      <w:r>
        <w:rPr>
          <w:rFonts w:ascii="Arial;Helvetica;sans-serif" w:hAnsi="Arial;Helvetica;sans-serif"/>
          <w:sz w:val="20"/>
        </w:rPr>
        <w:t>defined</w:t>
      </w:r>
      <w:r>
        <w:rPr>
          <w:rFonts w:ascii="Aptos" w:hAnsi="Aptos"/>
          <w:spacing w:val="-4"/>
          <w:sz w:val="24"/>
        </w:rPr>
        <w:t xml:space="preserve"> </w:t>
      </w:r>
      <w:r>
        <w:rPr>
          <w:rFonts w:ascii="Arial;Helvetica;sans-serif" w:hAnsi="Arial;Helvetica;sans-serif"/>
          <w:sz w:val="20"/>
        </w:rPr>
        <w:t>in</w:t>
      </w:r>
      <w:r>
        <w:rPr>
          <w:rFonts w:ascii="Aptos" w:hAnsi="Aptos"/>
          <w:spacing w:val="-4"/>
          <w:sz w:val="24"/>
        </w:rPr>
        <w:t xml:space="preserve"> </w:t>
      </w:r>
      <w:r>
        <w:rPr>
          <w:rFonts w:ascii="Arial;Helvetica;sans-serif" w:hAnsi="Arial;Helvetica;sans-serif"/>
          <w:sz w:val="20"/>
        </w:rPr>
        <w:t>Treasury</w:t>
      </w:r>
      <w:r>
        <w:rPr>
          <w:rFonts w:ascii="Aptos" w:hAnsi="Aptos"/>
          <w:spacing w:val="-3"/>
          <w:sz w:val="24"/>
        </w:rPr>
        <w:t xml:space="preserve"> </w:t>
      </w:r>
      <w:r>
        <w:rPr>
          <w:rFonts w:ascii="Arial;Helvetica;sans-serif" w:hAnsi="Arial;Helvetica;sans-serif"/>
          <w:sz w:val="20"/>
        </w:rPr>
        <w:t>Regulation</w:t>
      </w:r>
      <w:r>
        <w:rPr>
          <w:rFonts w:ascii="Aptos" w:hAnsi="Aptos"/>
          <w:spacing w:val="-4"/>
          <w:sz w:val="24"/>
        </w:rPr>
        <w:t xml:space="preserve"> </w:t>
      </w:r>
      <w:r>
        <w:rPr>
          <w:rFonts w:ascii="Arial;Helvetica;sans-serif" w:hAnsi="Arial;Helvetica;sans-serif"/>
          <w:sz w:val="20"/>
        </w:rPr>
        <w:t>Section</w:t>
      </w:r>
      <w:r>
        <w:rPr>
          <w:rFonts w:ascii="Aptos" w:hAnsi="Aptos"/>
          <w:spacing w:val="-4"/>
          <w:sz w:val="24"/>
        </w:rPr>
        <w:t xml:space="preserve"> </w:t>
      </w:r>
      <w:r>
        <w:rPr>
          <w:rFonts w:ascii="Arial;Helvetica;sans-serif" w:hAnsi="Arial;Helvetica;sans-serif"/>
          <w:sz w:val="20"/>
        </w:rPr>
        <w:t>1.409A-1(h),</w:t>
      </w:r>
      <w:r>
        <w:rPr>
          <w:rFonts w:ascii="Aptos" w:hAnsi="Aptos"/>
          <w:spacing w:val="-3"/>
          <w:sz w:val="24"/>
        </w:rPr>
        <w:t xml:space="preserve"> </w:t>
      </w:r>
      <w:r>
        <w:rPr>
          <w:rFonts w:ascii="Arial;Helvetica;sans-serif" w:hAnsi="Arial;Helvetica;sans-serif"/>
          <w:sz w:val="20"/>
        </w:rPr>
        <w:t>and</w:t>
      </w:r>
      <w:r>
        <w:rPr>
          <w:rFonts w:ascii="Aptos" w:hAnsi="Aptos"/>
          <w:spacing w:val="-3"/>
          <w:sz w:val="24"/>
        </w:rPr>
        <w:t xml:space="preserve"> </w:t>
      </w:r>
      <w:r>
        <w:rPr>
          <w:rFonts w:ascii="Arial;Helvetica;sans-serif" w:hAnsi="Arial;Helvetica;sans-serif"/>
          <w:sz w:val="20"/>
        </w:rPr>
        <w:t>Executive shall not be considered to have had a termination of employment unless such termination constitutes a "separation from service" with respect to Executive. If under this Agreement, an amount is to be paid in two or more installments, for purposes of Section 409A, each installment shall be treated as a separate payment.</w:t>
      </w:r>
    </w:p>
    <w:p>
      <w:pPr>
        <w:pStyle w:val="TextBody"/>
        <w:bidi w:val="0"/>
        <w:spacing w:lineRule="auto" w:line="285" w:before="199" w:after="0"/>
        <w:ind w:left="810" w:right="366" w:hanging="0"/>
        <w:jc w:val="left"/>
        <w:rPr>
          <w:rFonts w:ascii="Aptos" w:hAnsi="Aptos"/>
          <w:sz w:val="24"/>
        </w:rPr>
      </w:pPr>
      <w:r>
        <w:rPr>
          <w:rFonts w:ascii="Arial;Helvetica;sans-serif" w:hAnsi="Arial;Helvetica;sans-serif"/>
          <w:sz w:val="20"/>
        </w:rPr>
        <w:t>(iii)</w:t>
      </w:r>
      <w:r>
        <w:rPr>
          <w:rFonts w:ascii="Arial;Helvetica;sans-serif" w:hAnsi="Arial;Helvetica;sans-serif"/>
          <w:sz w:val="20"/>
          <w:u w:val="single"/>
        </w:rPr>
        <w:t>Specified Employee</w:t>
      </w:r>
      <w:r>
        <w:rPr>
          <w:rFonts w:ascii="Arial;Helvetica;sans-serif" w:hAnsi="Arial;Helvetica;sans-serif"/>
          <w:sz w:val="20"/>
        </w:rPr>
        <w:t>. Notwithstanding anything in this Agreement to the contrary, if the Executive is a "specified employee" (within the meaning of Treasury Regulation Section 1.409A-1(i))</w:t>
      </w:r>
      <w:r>
        <w:rPr>
          <w:rFonts w:ascii="Aptos" w:hAnsi="Aptos"/>
          <w:spacing w:val="-3"/>
          <w:sz w:val="24"/>
        </w:rPr>
        <w:t xml:space="preserve"> </w:t>
      </w:r>
      <w:r>
        <w:rPr>
          <w:rFonts w:ascii="Arial;Helvetica;sans-serif" w:hAnsi="Arial;Helvetica;sans-serif"/>
          <w:sz w:val="20"/>
        </w:rPr>
        <w:t>on</w:t>
      </w:r>
      <w:r>
        <w:rPr>
          <w:rFonts w:ascii="Aptos" w:hAnsi="Aptos"/>
          <w:spacing w:val="-3"/>
          <w:sz w:val="24"/>
        </w:rPr>
        <w:t xml:space="preserve"> </w:t>
      </w:r>
      <w:r>
        <w:rPr>
          <w:rFonts w:ascii="Arial;Helvetica;sans-serif" w:hAnsi="Arial;Helvetica;sans-serif"/>
          <w:sz w:val="20"/>
        </w:rPr>
        <w:t>the</w:t>
      </w:r>
      <w:r>
        <w:rPr>
          <w:rFonts w:ascii="Aptos" w:hAnsi="Aptos"/>
          <w:spacing w:val="-3"/>
          <w:sz w:val="24"/>
        </w:rPr>
        <w:t xml:space="preserve"> </w:t>
      </w:r>
      <w:r>
        <w:rPr>
          <w:rFonts w:ascii="Arial;Helvetica;sans-serif" w:hAnsi="Arial;Helvetica;sans-serif"/>
          <w:sz w:val="20"/>
        </w:rPr>
        <w:t>date</w:t>
      </w:r>
      <w:r>
        <w:rPr>
          <w:rFonts w:ascii="Aptos" w:hAnsi="Aptos"/>
          <w:spacing w:val="-3"/>
          <w:sz w:val="24"/>
        </w:rPr>
        <w:t xml:space="preserve"> </w:t>
      </w:r>
      <w:r>
        <w:rPr>
          <w:rFonts w:ascii="Arial;Helvetica;sans-serif" w:hAnsi="Arial;Helvetica;sans-serif"/>
          <w:sz w:val="20"/>
        </w:rPr>
        <w:t>of</w:t>
      </w:r>
      <w:r>
        <w:rPr>
          <w:rFonts w:ascii="Aptos" w:hAnsi="Aptos"/>
          <w:spacing w:val="-3"/>
          <w:sz w:val="24"/>
        </w:rPr>
        <w:t xml:space="preserve"> </w:t>
      </w:r>
      <w:r>
        <w:rPr>
          <w:rFonts w:ascii="Arial;Helvetica;sans-serif" w:hAnsi="Arial;Helvetica;sans-serif"/>
          <w:sz w:val="20"/>
        </w:rPr>
        <w:t>the</w:t>
      </w:r>
      <w:r>
        <w:rPr>
          <w:rFonts w:ascii="Aptos" w:hAnsi="Aptos"/>
          <w:spacing w:val="-3"/>
          <w:sz w:val="24"/>
        </w:rPr>
        <w:t xml:space="preserve"> </w:t>
      </w:r>
      <w:r>
        <w:rPr>
          <w:rFonts w:ascii="Arial;Helvetica;sans-serif" w:hAnsi="Arial;Helvetica;sans-serif"/>
          <w:sz w:val="20"/>
        </w:rPr>
        <w:t>Executive's</w:t>
      </w:r>
      <w:r>
        <w:rPr>
          <w:rFonts w:ascii="Aptos" w:hAnsi="Aptos"/>
          <w:spacing w:val="-3"/>
          <w:sz w:val="24"/>
        </w:rPr>
        <w:t xml:space="preserve"> </w:t>
      </w:r>
      <w:r>
        <w:rPr>
          <w:rFonts w:ascii="Arial;Helvetica;sans-serif" w:hAnsi="Arial;Helvetica;sans-serif"/>
          <w:sz w:val="20"/>
        </w:rPr>
        <w:t>"separation</w:t>
      </w:r>
      <w:r>
        <w:rPr>
          <w:rFonts w:ascii="Aptos" w:hAnsi="Aptos"/>
          <w:spacing w:val="-3"/>
          <w:sz w:val="24"/>
        </w:rPr>
        <w:t xml:space="preserve"> </w:t>
      </w:r>
      <w:r>
        <w:rPr>
          <w:rFonts w:ascii="Arial;Helvetica;sans-serif" w:hAnsi="Arial;Helvetica;sans-serif"/>
          <w:sz w:val="20"/>
        </w:rPr>
        <w:t>from</w:t>
      </w:r>
      <w:r>
        <w:rPr>
          <w:rFonts w:ascii="Aptos" w:hAnsi="Aptos"/>
          <w:spacing w:val="-4"/>
          <w:sz w:val="24"/>
        </w:rPr>
        <w:t xml:space="preserve"> </w:t>
      </w:r>
      <w:r>
        <w:rPr>
          <w:rFonts w:ascii="Arial;Helvetica;sans-serif" w:hAnsi="Arial;Helvetica;sans-serif"/>
          <w:sz w:val="20"/>
        </w:rPr>
        <w:t>service,"</w:t>
      </w:r>
      <w:r>
        <w:rPr>
          <w:rFonts w:ascii="Aptos" w:hAnsi="Aptos"/>
          <w:spacing w:val="-3"/>
          <w:sz w:val="24"/>
        </w:rPr>
        <w:t xml:space="preserve"> </w:t>
      </w:r>
      <w:r>
        <w:rPr>
          <w:rFonts w:ascii="Arial;Helvetica;sans-serif" w:hAnsi="Arial;Helvetica;sans-serif"/>
          <w:sz w:val="20"/>
        </w:rPr>
        <w:t>any</w:t>
      </w:r>
      <w:r>
        <w:rPr>
          <w:rFonts w:ascii="Aptos" w:hAnsi="Aptos"/>
          <w:spacing w:val="-3"/>
          <w:sz w:val="24"/>
        </w:rPr>
        <w:t xml:space="preserve"> </w:t>
      </w:r>
      <w:r>
        <w:rPr>
          <w:rFonts w:ascii="Arial;Helvetica;sans-serif" w:hAnsi="Arial;Helvetica;sans-serif"/>
          <w:sz w:val="20"/>
        </w:rPr>
        <w:t>benefit</w:t>
      </w:r>
      <w:r>
        <w:rPr>
          <w:rFonts w:ascii="Aptos" w:hAnsi="Aptos"/>
          <w:spacing w:val="-3"/>
          <w:sz w:val="24"/>
        </w:rPr>
        <w:t xml:space="preserve"> </w:t>
      </w:r>
      <w:r>
        <w:rPr>
          <w:rFonts w:ascii="Arial;Helvetica;sans-serif" w:hAnsi="Arial;Helvetica;sans-serif"/>
          <w:sz w:val="20"/>
        </w:rPr>
        <w:t>or</w:t>
      </w:r>
      <w:r>
        <w:rPr>
          <w:rFonts w:ascii="Aptos" w:hAnsi="Aptos"/>
          <w:spacing w:val="-3"/>
          <w:sz w:val="24"/>
        </w:rPr>
        <w:t xml:space="preserve"> </w:t>
      </w:r>
      <w:r>
        <w:rPr>
          <w:rFonts w:ascii="Arial;Helvetica;sans-serif" w:hAnsi="Arial;Helvetica;sans-serif"/>
          <w:sz w:val="20"/>
        </w:rPr>
        <w:t>payment</w:t>
      </w:r>
      <w:r>
        <w:rPr>
          <w:rFonts w:ascii="Aptos" w:hAnsi="Aptos"/>
          <w:spacing w:val="-3"/>
          <w:sz w:val="24"/>
        </w:rPr>
        <w:t xml:space="preserve"> </w:t>
      </w:r>
      <w:r>
        <w:rPr>
          <w:rFonts w:ascii="Arial;Helvetica;sans-serif" w:hAnsi="Arial;Helvetica;sans-serif"/>
          <w:sz w:val="20"/>
        </w:rPr>
        <w:t>that constitutes non-exempt "nonqualified deferred compensation" (within the meaning of Section 409A) and is payable on account of the Executive's separation from service shall be delayed in order to avoid a prohibited distribution under Section 409A(a)(2)(B)(i), and any such delayed payment shall be paid to the Executive in a lump sum during the ten (10) day period commencing</w:t>
      </w:r>
      <w:r>
        <w:rPr>
          <w:rFonts w:ascii="Aptos" w:hAnsi="Aptos"/>
          <w:spacing w:val="-1"/>
          <w:sz w:val="24"/>
        </w:rPr>
        <w:t xml:space="preserve"> </w:t>
      </w:r>
      <w:r>
        <w:rPr>
          <w:rFonts w:ascii="Arial;Helvetica;sans-serif" w:hAnsi="Arial;Helvetica;sans-serif"/>
          <w:sz w:val="20"/>
        </w:rPr>
        <w:t>on</w:t>
      </w:r>
      <w:r>
        <w:rPr>
          <w:rFonts w:ascii="Aptos" w:hAnsi="Aptos"/>
          <w:spacing w:val="-1"/>
          <w:sz w:val="24"/>
        </w:rPr>
        <w:t xml:space="preserve"> </w:t>
      </w:r>
      <w:r>
        <w:rPr>
          <w:rFonts w:ascii="Arial;Helvetica;sans-serif" w:hAnsi="Arial;Helvetica;sans-serif"/>
          <w:sz w:val="20"/>
        </w:rPr>
        <w:t>the</w:t>
      </w:r>
      <w:r>
        <w:rPr>
          <w:rFonts w:ascii="Aptos" w:hAnsi="Aptos"/>
          <w:spacing w:val="-1"/>
          <w:sz w:val="24"/>
        </w:rPr>
        <w:t xml:space="preserve"> </w:t>
      </w:r>
      <w:r>
        <w:rPr>
          <w:rFonts w:ascii="Arial;Helvetica;sans-serif" w:hAnsi="Arial;Helvetica;sans-serif"/>
          <w:sz w:val="20"/>
        </w:rPr>
        <w:t>earlier</w:t>
      </w:r>
      <w:r>
        <w:rPr>
          <w:rFonts w:ascii="Aptos" w:hAnsi="Aptos"/>
          <w:spacing w:val="-1"/>
          <w:sz w:val="24"/>
        </w:rPr>
        <w:t xml:space="preserve"> </w:t>
      </w:r>
      <w:r>
        <w:rPr>
          <w:rFonts w:ascii="Arial;Helvetica;sans-serif" w:hAnsi="Arial;Helvetica;sans-serif"/>
          <w:sz w:val="20"/>
        </w:rPr>
        <w:t>of</w:t>
      </w:r>
      <w:r>
        <w:rPr>
          <w:rFonts w:ascii="Aptos" w:hAnsi="Aptos"/>
          <w:spacing w:val="-1"/>
          <w:sz w:val="24"/>
        </w:rPr>
        <w:t xml:space="preserve"> </w:t>
      </w:r>
      <w:r>
        <w:rPr>
          <w:rFonts w:ascii="Arial;Helvetica;sans-serif" w:hAnsi="Arial;Helvetica;sans-serif"/>
          <w:sz w:val="20"/>
        </w:rPr>
        <w:t>(i)</w:t>
      </w:r>
      <w:r>
        <w:rPr>
          <w:rFonts w:ascii="Aptos" w:hAnsi="Aptos"/>
          <w:spacing w:val="-1"/>
          <w:sz w:val="24"/>
        </w:rPr>
        <w:t xml:space="preserve"> </w:t>
      </w:r>
      <w:r>
        <w:rPr>
          <w:rFonts w:ascii="Arial;Helvetica;sans-serif" w:hAnsi="Arial;Helvetica;sans-serif"/>
          <w:sz w:val="20"/>
        </w:rPr>
        <w:t>the</w:t>
      </w:r>
      <w:r>
        <w:rPr>
          <w:rFonts w:ascii="Aptos" w:hAnsi="Aptos"/>
          <w:spacing w:val="-1"/>
          <w:sz w:val="24"/>
        </w:rPr>
        <w:t xml:space="preserve"> </w:t>
      </w:r>
      <w:r>
        <w:rPr>
          <w:rFonts w:ascii="Arial;Helvetica;sans-serif" w:hAnsi="Arial;Helvetica;sans-serif"/>
          <w:sz w:val="20"/>
        </w:rPr>
        <w:t>expiration</w:t>
      </w:r>
      <w:r>
        <w:rPr>
          <w:rFonts w:ascii="Aptos" w:hAnsi="Aptos"/>
          <w:spacing w:val="-1"/>
          <w:sz w:val="24"/>
        </w:rPr>
        <w:t xml:space="preserve"> </w:t>
      </w:r>
      <w:r>
        <w:rPr>
          <w:rFonts w:ascii="Arial;Helvetica;sans-serif" w:hAnsi="Arial;Helvetica;sans-serif"/>
          <w:sz w:val="20"/>
        </w:rPr>
        <w:t>of</w:t>
      </w:r>
      <w:r>
        <w:rPr>
          <w:rFonts w:ascii="Aptos" w:hAnsi="Aptos"/>
          <w:spacing w:val="-1"/>
          <w:sz w:val="24"/>
        </w:rPr>
        <w:t xml:space="preserve"> </w:t>
      </w:r>
      <w:r>
        <w:rPr>
          <w:rFonts w:ascii="Arial;Helvetica;sans-serif" w:hAnsi="Arial;Helvetica;sans-serif"/>
          <w:sz w:val="20"/>
        </w:rPr>
        <w:t>a</w:t>
      </w:r>
      <w:r>
        <w:rPr>
          <w:rFonts w:ascii="Aptos" w:hAnsi="Aptos"/>
          <w:spacing w:val="-1"/>
          <w:sz w:val="24"/>
        </w:rPr>
        <w:t xml:space="preserve"> </w:t>
      </w:r>
      <w:r>
        <w:rPr>
          <w:rFonts w:ascii="Arial;Helvetica;sans-serif" w:hAnsi="Arial;Helvetica;sans-serif"/>
          <w:sz w:val="20"/>
        </w:rPr>
        <w:t>six-month</w:t>
      </w:r>
      <w:r>
        <w:rPr>
          <w:rFonts w:ascii="Aptos" w:hAnsi="Aptos"/>
          <w:spacing w:val="-1"/>
          <w:sz w:val="24"/>
        </w:rPr>
        <w:t xml:space="preserve"> </w:t>
      </w:r>
      <w:r>
        <w:rPr>
          <w:rFonts w:ascii="Arial;Helvetica;sans-serif" w:hAnsi="Arial;Helvetica;sans-serif"/>
          <w:sz w:val="20"/>
        </w:rPr>
        <w:t>period</w:t>
      </w:r>
      <w:r>
        <w:rPr>
          <w:rFonts w:ascii="Aptos" w:hAnsi="Aptos"/>
          <w:spacing w:val="-1"/>
          <w:sz w:val="24"/>
        </w:rPr>
        <w:t xml:space="preserve"> </w:t>
      </w:r>
      <w:r>
        <w:rPr>
          <w:rFonts w:ascii="Arial;Helvetica;sans-serif" w:hAnsi="Arial;Helvetica;sans-serif"/>
          <w:sz w:val="20"/>
        </w:rPr>
        <w:t>from</w:t>
      </w:r>
      <w:r>
        <w:rPr>
          <w:rFonts w:ascii="Aptos" w:hAnsi="Aptos"/>
          <w:spacing w:val="-2"/>
          <w:sz w:val="24"/>
        </w:rPr>
        <w:t xml:space="preserve"> </w:t>
      </w:r>
      <w:r>
        <w:rPr>
          <w:rFonts w:ascii="Arial;Helvetica;sans-serif" w:hAnsi="Arial;Helvetica;sans-serif"/>
          <w:sz w:val="20"/>
        </w:rPr>
        <w:t>the</w:t>
      </w:r>
      <w:r>
        <w:rPr>
          <w:rFonts w:ascii="Aptos" w:hAnsi="Aptos"/>
          <w:spacing w:val="-1"/>
          <w:sz w:val="24"/>
        </w:rPr>
        <w:t xml:space="preserve"> </w:t>
      </w:r>
      <w:r>
        <w:rPr>
          <w:rFonts w:ascii="Arial;Helvetica;sans-serif" w:hAnsi="Arial;Helvetica;sans-serif"/>
          <w:sz w:val="20"/>
        </w:rPr>
        <w:t>date</w:t>
      </w:r>
      <w:r>
        <w:rPr>
          <w:rFonts w:ascii="Aptos" w:hAnsi="Aptos"/>
          <w:spacing w:val="-1"/>
          <w:sz w:val="24"/>
        </w:rPr>
        <w:t xml:space="preserve"> </w:t>
      </w:r>
      <w:r>
        <w:rPr>
          <w:rFonts w:ascii="Arial;Helvetica;sans-serif" w:hAnsi="Arial;Helvetica;sans-serif"/>
          <w:sz w:val="20"/>
        </w:rPr>
        <w:t>of</w:t>
      </w:r>
      <w:r>
        <w:rPr>
          <w:rFonts w:ascii="Aptos" w:hAnsi="Aptos"/>
          <w:spacing w:val="-1"/>
          <w:sz w:val="24"/>
        </w:rPr>
        <w:t xml:space="preserve"> </w:t>
      </w:r>
      <w:r>
        <w:rPr>
          <w:rFonts w:ascii="Arial;Helvetica;sans-serif" w:hAnsi="Arial;Helvetica;sans-serif"/>
          <w:sz w:val="20"/>
        </w:rPr>
        <w:t>Executive's "separation from service," or (ii) Executive's death. To the greatest extent permitted under Section 409A, any separate payment or benefit under the Agreement will not be deemed to constitute "nonqualified deferred compensation" subject to Section 409A and the six-month</w:t>
      </w:r>
      <w:r>
        <w:rPr>
          <w:rFonts w:ascii="Aptos" w:hAnsi="Aptos"/>
          <w:spacing w:val="40"/>
          <w:sz w:val="24"/>
        </w:rPr>
        <w:t xml:space="preserve"> </w:t>
      </w:r>
      <w:r>
        <w:rPr>
          <w:rFonts w:ascii="Arial;Helvetica;sans-serif" w:hAnsi="Arial;Helvetica;sans-serif"/>
          <w:sz w:val="20"/>
        </w:rPr>
        <w:t xml:space="preserve">delay requirement to the extent provided in the exceptions in Treasury Regulation Sections 1.409A-1(b)(4) or 1.409A-1(b)(9), or in any other applicable exception or provision of Section </w:t>
      </w:r>
      <w:r>
        <w:rPr>
          <w:rFonts w:ascii="Arial;Helvetica;sans-serif" w:hAnsi="Arial;Helvetica;sans-serif"/>
          <w:spacing w:val="-2"/>
          <w:sz w:val="20"/>
        </w:rPr>
        <w:t>409A.</w:t>
      </w:r>
    </w:p>
    <w:p>
      <w:pPr>
        <w:pStyle w:val="TextBody"/>
        <w:bidi w:val="0"/>
        <w:spacing w:lineRule="auto" w:line="285" w:before="198" w:after="283"/>
        <w:ind w:left="810" w:right="467" w:hanging="0"/>
        <w:jc w:val="left"/>
        <w:rPr>
          <w:rFonts w:ascii="Aptos" w:hAnsi="Aptos"/>
          <w:sz w:val="24"/>
        </w:rPr>
      </w:pPr>
      <w:r>
        <w:rPr>
          <w:rFonts w:ascii="Arial;Helvetica;sans-serif" w:hAnsi="Arial;Helvetica;sans-serif"/>
          <w:sz w:val="20"/>
        </w:rPr>
        <w:t>(iv)</w:t>
      </w:r>
      <w:r>
        <w:rPr>
          <w:rFonts w:ascii="Arial;Helvetica;sans-serif" w:hAnsi="Arial;Helvetica;sans-serif"/>
          <w:sz w:val="20"/>
          <w:u w:val="single"/>
        </w:rPr>
        <w:t>Reimbursements.</w:t>
      </w:r>
      <w:r>
        <w:rPr>
          <w:rFonts w:ascii="Aptos" w:hAnsi="Aptos"/>
          <w:sz w:val="24"/>
        </w:rPr>
        <w:t xml:space="preserve"> </w:t>
      </w:r>
      <w:r>
        <w:rPr>
          <w:rFonts w:ascii="Arial;Helvetica;sans-serif" w:hAnsi="Arial;Helvetica;sans-serif"/>
          <w:sz w:val="20"/>
        </w:rPr>
        <w:t>With regard to any provision in this Agreement that provides for reimbursement</w:t>
      </w:r>
      <w:r>
        <w:rPr>
          <w:rFonts w:ascii="Aptos" w:hAnsi="Aptos"/>
          <w:spacing w:val="-3"/>
          <w:sz w:val="24"/>
        </w:rPr>
        <w:t xml:space="preserve"> </w:t>
      </w:r>
      <w:r>
        <w:rPr>
          <w:rFonts w:ascii="Arial;Helvetica;sans-serif" w:hAnsi="Arial;Helvetica;sans-serif"/>
          <w:sz w:val="20"/>
        </w:rPr>
        <w:t>of</w:t>
      </w:r>
      <w:r>
        <w:rPr>
          <w:rFonts w:ascii="Aptos" w:hAnsi="Aptos"/>
          <w:spacing w:val="-3"/>
          <w:sz w:val="24"/>
        </w:rPr>
        <w:t xml:space="preserve"> </w:t>
      </w:r>
      <w:r>
        <w:rPr>
          <w:rFonts w:ascii="Arial;Helvetica;sans-serif" w:hAnsi="Arial;Helvetica;sans-serif"/>
          <w:sz w:val="20"/>
        </w:rPr>
        <w:t>costs</w:t>
      </w:r>
      <w:r>
        <w:rPr>
          <w:rFonts w:ascii="Aptos" w:hAnsi="Aptos"/>
          <w:spacing w:val="-3"/>
          <w:sz w:val="24"/>
        </w:rPr>
        <w:t xml:space="preserve"> </w:t>
      </w:r>
      <w:r>
        <w:rPr>
          <w:rFonts w:ascii="Arial;Helvetica;sans-serif" w:hAnsi="Arial;Helvetica;sans-serif"/>
          <w:sz w:val="20"/>
        </w:rPr>
        <w:t>and</w:t>
      </w:r>
      <w:r>
        <w:rPr>
          <w:rFonts w:ascii="Aptos" w:hAnsi="Aptos"/>
          <w:spacing w:val="-3"/>
          <w:sz w:val="24"/>
        </w:rPr>
        <w:t xml:space="preserve"> </w:t>
      </w:r>
      <w:r>
        <w:rPr>
          <w:rFonts w:ascii="Arial;Helvetica;sans-serif" w:hAnsi="Arial;Helvetica;sans-serif"/>
          <w:sz w:val="20"/>
        </w:rPr>
        <w:t>expenses</w:t>
      </w:r>
      <w:r>
        <w:rPr>
          <w:rFonts w:ascii="Aptos" w:hAnsi="Aptos"/>
          <w:spacing w:val="-3"/>
          <w:sz w:val="24"/>
        </w:rPr>
        <w:t xml:space="preserve"> </w:t>
      </w:r>
      <w:r>
        <w:rPr>
          <w:rFonts w:ascii="Arial;Helvetica;sans-serif" w:hAnsi="Arial;Helvetica;sans-serif"/>
          <w:sz w:val="20"/>
        </w:rPr>
        <w:t>or</w:t>
      </w:r>
      <w:r>
        <w:rPr>
          <w:rFonts w:ascii="Aptos" w:hAnsi="Aptos"/>
          <w:spacing w:val="-3"/>
          <w:sz w:val="24"/>
        </w:rPr>
        <w:t xml:space="preserve"> </w:t>
      </w:r>
      <w:r>
        <w:rPr>
          <w:rFonts w:ascii="Arial;Helvetica;sans-serif" w:hAnsi="Arial;Helvetica;sans-serif"/>
          <w:sz w:val="20"/>
        </w:rPr>
        <w:t>in-kind</w:t>
      </w:r>
      <w:r>
        <w:rPr>
          <w:rFonts w:ascii="Aptos" w:hAnsi="Aptos"/>
          <w:spacing w:val="-3"/>
          <w:sz w:val="24"/>
        </w:rPr>
        <w:t xml:space="preserve"> </w:t>
      </w:r>
      <w:r>
        <w:rPr>
          <w:rFonts w:ascii="Arial;Helvetica;sans-serif" w:hAnsi="Arial;Helvetica;sans-serif"/>
          <w:sz w:val="20"/>
        </w:rPr>
        <w:t>benefits,</w:t>
      </w:r>
      <w:r>
        <w:rPr>
          <w:rFonts w:ascii="Aptos" w:hAnsi="Aptos"/>
          <w:spacing w:val="-3"/>
          <w:sz w:val="24"/>
        </w:rPr>
        <w:t xml:space="preserve"> </w:t>
      </w:r>
      <w:r>
        <w:rPr>
          <w:rFonts w:ascii="Arial;Helvetica;sans-serif" w:hAnsi="Arial;Helvetica;sans-serif"/>
          <w:sz w:val="20"/>
        </w:rPr>
        <w:t>except</w:t>
      </w:r>
      <w:r>
        <w:rPr>
          <w:rFonts w:ascii="Aptos" w:hAnsi="Aptos"/>
          <w:spacing w:val="-3"/>
          <w:sz w:val="24"/>
        </w:rPr>
        <w:t xml:space="preserve"> </w:t>
      </w:r>
      <w:r>
        <w:rPr>
          <w:rFonts w:ascii="Arial;Helvetica;sans-serif" w:hAnsi="Arial;Helvetica;sans-serif"/>
          <w:sz w:val="20"/>
        </w:rPr>
        <w:t>as</w:t>
      </w:r>
      <w:r>
        <w:rPr>
          <w:rFonts w:ascii="Aptos" w:hAnsi="Aptos"/>
          <w:spacing w:val="-3"/>
          <w:sz w:val="24"/>
        </w:rPr>
        <w:t xml:space="preserve"> </w:t>
      </w:r>
      <w:r>
        <w:rPr>
          <w:rFonts w:ascii="Arial;Helvetica;sans-serif" w:hAnsi="Arial;Helvetica;sans-serif"/>
          <w:sz w:val="20"/>
        </w:rPr>
        <w:t>permitted</w:t>
      </w:r>
      <w:r>
        <w:rPr>
          <w:rFonts w:ascii="Aptos" w:hAnsi="Aptos"/>
          <w:spacing w:val="-3"/>
          <w:sz w:val="24"/>
        </w:rPr>
        <w:t xml:space="preserve"> </w:t>
      </w:r>
      <w:r>
        <w:rPr>
          <w:rFonts w:ascii="Arial;Helvetica;sans-serif" w:hAnsi="Arial;Helvetica;sans-serif"/>
          <w:sz w:val="20"/>
        </w:rPr>
        <w:t>by</w:t>
      </w:r>
      <w:r>
        <w:rPr>
          <w:rFonts w:ascii="Aptos" w:hAnsi="Aptos"/>
          <w:spacing w:val="-3"/>
          <w:sz w:val="24"/>
        </w:rPr>
        <w:t xml:space="preserve"> </w:t>
      </w:r>
      <w:r>
        <w:rPr>
          <w:rFonts w:ascii="Arial;Helvetica;sans-serif" w:hAnsi="Arial;Helvetica;sans-serif"/>
          <w:sz w:val="20"/>
        </w:rPr>
        <w:t>Section</w:t>
      </w:r>
      <w:r>
        <w:rPr>
          <w:rFonts w:ascii="Aptos" w:hAnsi="Aptos"/>
          <w:spacing w:val="-3"/>
          <w:sz w:val="24"/>
        </w:rPr>
        <w:t xml:space="preserve"> </w:t>
      </w:r>
      <w:r>
        <w:rPr>
          <w:rFonts w:ascii="Arial;Helvetica;sans-serif" w:hAnsi="Arial;Helvetica;sans-serif"/>
          <w:sz w:val="20"/>
        </w:rPr>
        <w:t>409A,</w:t>
      </w:r>
    </w:p>
    <w:p>
      <w:pPr>
        <w:pStyle w:val="TextBody"/>
        <w:bidi w:val="0"/>
        <w:spacing w:lineRule="auto" w:line="285" w:before="1" w:after="0"/>
        <w:ind w:left="810" w:right="386" w:hanging="0"/>
        <w:jc w:val="left"/>
        <w:rPr>
          <w:rFonts w:ascii="Aptos" w:hAnsi="Aptos"/>
          <w:sz w:val="20"/>
        </w:rPr>
      </w:pPr>
      <w:r>
        <w:rPr>
          <w:rFonts w:ascii="Arial;Helvetica;sans-serif" w:hAnsi="Arial;Helvetica;sans-serif"/>
          <w:sz w:val="20"/>
        </w:rPr>
        <w:t>(x) the right to reimbursement or in-kind benefits shall not be subject to liquidation or exchange for another benefit, (y) the amount of expenses eligible for reimbursement, or in-kind benefits, provided during any taxable year shall not affect the expenses eligible for reimbursement, or in-kind benefits to be provided, in any other taxable year, provided that the foregoing clause (y) shall not be violated with regard to expenses reimbursed under any arrangement covered by Section 105(b) of the Code solely because such arrangement provides for a limit on the amount of expenses that may be reimbursed over some or all of the period the arrangement is in effect, and</w:t>
      </w:r>
      <w:r>
        <w:rPr>
          <w:rFonts w:ascii="Aptos" w:hAnsi="Aptos"/>
          <w:spacing w:val="-3"/>
          <w:sz w:val="20"/>
        </w:rPr>
        <w:t xml:space="preserve"> </w:t>
      </w:r>
      <w:r>
        <w:rPr>
          <w:rFonts w:ascii="Arial;Helvetica;sans-serif" w:hAnsi="Arial;Helvetica;sans-serif"/>
          <w:sz w:val="20"/>
        </w:rPr>
        <w:t>(z)</w:t>
      </w:r>
      <w:r>
        <w:rPr>
          <w:rFonts w:ascii="Aptos" w:hAnsi="Aptos"/>
          <w:spacing w:val="-3"/>
          <w:sz w:val="20"/>
        </w:rPr>
        <w:t xml:space="preserve"> </w:t>
      </w:r>
      <w:r>
        <w:rPr>
          <w:rFonts w:ascii="Arial;Helvetica;sans-serif" w:hAnsi="Arial;Helvetica;sans-serif"/>
          <w:sz w:val="20"/>
        </w:rPr>
        <w:t>such</w:t>
      </w:r>
      <w:r>
        <w:rPr>
          <w:rFonts w:ascii="Aptos" w:hAnsi="Aptos"/>
          <w:spacing w:val="-3"/>
          <w:sz w:val="20"/>
        </w:rPr>
        <w:t xml:space="preserve"> </w:t>
      </w:r>
      <w:r>
        <w:rPr>
          <w:rFonts w:ascii="Arial;Helvetica;sans-serif" w:hAnsi="Arial;Helvetica;sans-serif"/>
          <w:sz w:val="20"/>
        </w:rPr>
        <w:t>payments</w:t>
      </w:r>
      <w:r>
        <w:rPr>
          <w:rFonts w:ascii="Aptos" w:hAnsi="Aptos"/>
          <w:spacing w:val="-3"/>
          <w:sz w:val="20"/>
        </w:rPr>
        <w:t xml:space="preserve"> </w:t>
      </w:r>
      <w:r>
        <w:rPr>
          <w:rFonts w:ascii="Arial;Helvetica;sans-serif" w:hAnsi="Arial;Helvetica;sans-serif"/>
          <w:sz w:val="20"/>
        </w:rPr>
        <w:t>shall</w:t>
      </w:r>
      <w:r>
        <w:rPr>
          <w:rFonts w:ascii="Aptos" w:hAnsi="Aptos"/>
          <w:spacing w:val="-3"/>
          <w:sz w:val="20"/>
        </w:rPr>
        <w:t xml:space="preserve"> </w:t>
      </w:r>
      <w:r>
        <w:rPr>
          <w:rFonts w:ascii="Arial;Helvetica;sans-serif" w:hAnsi="Arial;Helvetica;sans-serif"/>
          <w:sz w:val="20"/>
        </w:rPr>
        <w:t>be</w:t>
      </w:r>
      <w:r>
        <w:rPr>
          <w:rFonts w:ascii="Aptos" w:hAnsi="Aptos"/>
          <w:spacing w:val="-3"/>
          <w:sz w:val="20"/>
        </w:rPr>
        <w:t xml:space="preserve"> </w:t>
      </w:r>
      <w:r>
        <w:rPr>
          <w:rFonts w:ascii="Arial;Helvetica;sans-serif" w:hAnsi="Arial;Helvetica;sans-serif"/>
          <w:sz w:val="20"/>
        </w:rPr>
        <w:t>made</w:t>
      </w:r>
      <w:r>
        <w:rPr>
          <w:rFonts w:ascii="Aptos" w:hAnsi="Aptos"/>
          <w:spacing w:val="-3"/>
          <w:sz w:val="20"/>
        </w:rPr>
        <w:t xml:space="preserve"> </w:t>
      </w:r>
      <w:r>
        <w:rPr>
          <w:rFonts w:ascii="Arial;Helvetica;sans-serif" w:hAnsi="Arial;Helvetica;sans-serif"/>
          <w:sz w:val="20"/>
        </w:rPr>
        <w:t>on</w:t>
      </w:r>
      <w:r>
        <w:rPr>
          <w:rFonts w:ascii="Aptos" w:hAnsi="Aptos"/>
          <w:spacing w:val="-3"/>
          <w:sz w:val="20"/>
        </w:rPr>
        <w:t xml:space="preserve"> </w:t>
      </w:r>
      <w:r>
        <w:rPr>
          <w:rFonts w:ascii="Arial;Helvetica;sans-serif" w:hAnsi="Arial;Helvetica;sans-serif"/>
          <w:sz w:val="20"/>
        </w:rPr>
        <w:t>or</w:t>
      </w:r>
      <w:r>
        <w:rPr>
          <w:rFonts w:ascii="Aptos" w:hAnsi="Aptos"/>
          <w:spacing w:val="-3"/>
          <w:sz w:val="20"/>
        </w:rPr>
        <w:t xml:space="preserve"> </w:t>
      </w:r>
      <w:r>
        <w:rPr>
          <w:rFonts w:ascii="Arial;Helvetica;sans-serif" w:hAnsi="Arial;Helvetica;sans-serif"/>
          <w:sz w:val="20"/>
        </w:rPr>
        <w:t>before</w:t>
      </w:r>
      <w:r>
        <w:rPr>
          <w:rFonts w:ascii="Aptos" w:hAnsi="Aptos"/>
          <w:spacing w:val="-3"/>
          <w:sz w:val="20"/>
        </w:rPr>
        <w:t xml:space="preserve"> </w:t>
      </w:r>
      <w:r>
        <w:rPr>
          <w:rFonts w:ascii="Arial;Helvetica;sans-serif" w:hAnsi="Arial;Helvetica;sans-serif"/>
          <w:sz w:val="20"/>
        </w:rPr>
        <w:t>the</w:t>
      </w:r>
      <w:r>
        <w:rPr>
          <w:rFonts w:ascii="Aptos" w:hAnsi="Aptos"/>
          <w:spacing w:val="-3"/>
          <w:sz w:val="20"/>
        </w:rPr>
        <w:t xml:space="preserve"> </w:t>
      </w:r>
      <w:r>
        <w:rPr>
          <w:rFonts w:ascii="Arial;Helvetica;sans-serif" w:hAnsi="Arial;Helvetica;sans-serif"/>
          <w:sz w:val="20"/>
        </w:rPr>
        <w:t>last</w:t>
      </w:r>
      <w:r>
        <w:rPr>
          <w:rFonts w:ascii="Aptos" w:hAnsi="Aptos"/>
          <w:spacing w:val="-3"/>
          <w:sz w:val="20"/>
        </w:rPr>
        <w:t xml:space="preserve"> </w:t>
      </w:r>
      <w:r>
        <w:rPr>
          <w:rFonts w:ascii="Arial;Helvetica;sans-serif" w:hAnsi="Arial;Helvetica;sans-serif"/>
          <w:sz w:val="20"/>
        </w:rPr>
        <w:t>day</w:t>
      </w:r>
      <w:r>
        <w:rPr>
          <w:rFonts w:ascii="Aptos" w:hAnsi="Aptos"/>
          <w:spacing w:val="-3"/>
          <w:sz w:val="20"/>
        </w:rPr>
        <w:t xml:space="preserve"> </w:t>
      </w:r>
      <w:r>
        <w:rPr>
          <w:rFonts w:ascii="Arial;Helvetica;sans-serif" w:hAnsi="Arial;Helvetica;sans-serif"/>
          <w:sz w:val="20"/>
        </w:rPr>
        <w:t>of</w:t>
      </w:r>
      <w:r>
        <w:rPr>
          <w:rFonts w:ascii="Aptos" w:hAnsi="Aptos"/>
          <w:spacing w:val="-3"/>
          <w:sz w:val="20"/>
        </w:rPr>
        <w:t xml:space="preserve"> </w:t>
      </w:r>
      <w:r>
        <w:rPr>
          <w:rFonts w:ascii="Arial;Helvetica;sans-serif" w:hAnsi="Arial;Helvetica;sans-serif"/>
          <w:sz w:val="20"/>
        </w:rPr>
        <w:t>Brown's</w:t>
      </w:r>
      <w:r>
        <w:rPr>
          <w:rFonts w:ascii="Aptos" w:hAnsi="Aptos"/>
          <w:spacing w:val="-3"/>
          <w:sz w:val="20"/>
        </w:rPr>
        <w:t xml:space="preserve"> </w:t>
      </w:r>
      <w:r>
        <w:rPr>
          <w:rFonts w:ascii="Arial;Helvetica;sans-serif" w:hAnsi="Arial;Helvetica;sans-serif"/>
          <w:sz w:val="20"/>
        </w:rPr>
        <w:t>taxable</w:t>
      </w:r>
      <w:r>
        <w:rPr>
          <w:rFonts w:ascii="Aptos" w:hAnsi="Aptos"/>
          <w:spacing w:val="-3"/>
          <w:sz w:val="20"/>
        </w:rPr>
        <w:t xml:space="preserve"> </w:t>
      </w:r>
      <w:r>
        <w:rPr>
          <w:rFonts w:ascii="Arial;Helvetica;sans-serif" w:hAnsi="Arial;Helvetica;sans-serif"/>
          <w:sz w:val="20"/>
        </w:rPr>
        <w:t>year</w:t>
      </w:r>
      <w:r>
        <w:rPr>
          <w:rFonts w:ascii="Aptos" w:hAnsi="Aptos"/>
          <w:spacing w:val="-3"/>
          <w:sz w:val="20"/>
        </w:rPr>
        <w:t xml:space="preserve"> </w:t>
      </w:r>
      <w:r>
        <w:rPr>
          <w:rFonts w:ascii="Arial;Helvetica;sans-serif" w:hAnsi="Arial;Helvetica;sans-serif"/>
          <w:sz w:val="20"/>
        </w:rPr>
        <w:t>following the taxable year in which the expenses were incurred.</w:t>
      </w:r>
    </w:p>
    <w:p>
      <w:pPr>
        <w:pStyle w:val="TextBody"/>
        <w:bidi w:val="0"/>
        <w:spacing w:lineRule="auto" w:line="285" w:before="0" w:after="0"/>
        <w:ind w:left="810" w:right="411" w:hanging="0"/>
        <w:jc w:val="left"/>
        <w:rPr>
          <w:rFonts w:ascii="Aptos" w:hAnsi="Aptos"/>
          <w:sz w:val="24"/>
        </w:rPr>
      </w:pPr>
      <w:r>
        <w:rPr>
          <w:rFonts w:ascii="Arial;Helvetica;sans-serif" w:hAnsi="Arial;Helvetica;sans-serif"/>
          <w:sz w:val="20"/>
        </w:rPr>
        <w:t>(v)</w:t>
      </w:r>
      <w:r>
        <w:rPr>
          <w:rFonts w:ascii="Arial;Helvetica;sans-serif" w:hAnsi="Arial;Helvetica;sans-serif"/>
          <w:sz w:val="20"/>
          <w:u w:val="single"/>
        </w:rPr>
        <w:t>Cooperation</w:t>
      </w:r>
      <w:r>
        <w:rPr>
          <w:rFonts w:ascii="Arial;Helvetica;sans-serif" w:hAnsi="Arial;Helvetica;sans-serif"/>
          <w:sz w:val="20"/>
        </w:rPr>
        <w:t>. If the Parties hereto determine that any payments or benefits payable under this Agreement intended to comply with Section 409A do not so comply, the Executive and the Company agree to amend this Agreement, or take such other actions as the Executive and the Company deem necessary or appropriate, to comply with the requirements of Section 409A,</w:t>
      </w:r>
      <w:r>
        <w:rPr>
          <w:rFonts w:ascii="Aptos" w:hAnsi="Aptos"/>
          <w:spacing w:val="-3"/>
          <w:sz w:val="24"/>
        </w:rPr>
        <w:t xml:space="preserve"> </w:t>
      </w:r>
      <w:r>
        <w:rPr>
          <w:rFonts w:ascii="Arial;Helvetica;sans-serif" w:hAnsi="Arial;Helvetica;sans-serif"/>
          <w:sz w:val="20"/>
        </w:rPr>
        <w:t>while</w:t>
      </w:r>
      <w:r>
        <w:rPr>
          <w:rFonts w:ascii="Aptos" w:hAnsi="Aptos"/>
          <w:spacing w:val="-3"/>
          <w:sz w:val="24"/>
        </w:rPr>
        <w:t xml:space="preserve"> </w:t>
      </w:r>
      <w:r>
        <w:rPr>
          <w:rFonts w:ascii="Arial;Helvetica;sans-serif" w:hAnsi="Arial;Helvetica;sans-serif"/>
          <w:sz w:val="20"/>
        </w:rPr>
        <w:t>preserving</w:t>
      </w:r>
      <w:r>
        <w:rPr>
          <w:rFonts w:ascii="Aptos" w:hAnsi="Aptos"/>
          <w:spacing w:val="-3"/>
          <w:sz w:val="24"/>
        </w:rPr>
        <w:t xml:space="preserve"> </w:t>
      </w:r>
      <w:r>
        <w:rPr>
          <w:rFonts w:ascii="Arial;Helvetica;sans-serif" w:hAnsi="Arial;Helvetica;sans-serif"/>
          <w:sz w:val="20"/>
        </w:rPr>
        <w:t>benefits</w:t>
      </w:r>
      <w:r>
        <w:rPr>
          <w:rFonts w:ascii="Aptos" w:hAnsi="Aptos"/>
          <w:spacing w:val="-3"/>
          <w:sz w:val="24"/>
        </w:rPr>
        <w:t xml:space="preserve"> </w:t>
      </w:r>
      <w:r>
        <w:rPr>
          <w:rFonts w:ascii="Arial;Helvetica;sans-serif" w:hAnsi="Arial;Helvetica;sans-serif"/>
          <w:sz w:val="20"/>
        </w:rPr>
        <w:t>that</w:t>
      </w:r>
      <w:r>
        <w:rPr>
          <w:rFonts w:ascii="Aptos" w:hAnsi="Aptos"/>
          <w:spacing w:val="-3"/>
          <w:sz w:val="24"/>
        </w:rPr>
        <w:t xml:space="preserve"> </w:t>
      </w:r>
      <w:r>
        <w:rPr>
          <w:rFonts w:ascii="Arial;Helvetica;sans-serif" w:hAnsi="Arial;Helvetica;sans-serif"/>
          <w:sz w:val="20"/>
        </w:rPr>
        <w:t>are,</w:t>
      </w:r>
      <w:r>
        <w:rPr>
          <w:rFonts w:ascii="Aptos" w:hAnsi="Aptos"/>
          <w:spacing w:val="-3"/>
          <w:sz w:val="24"/>
        </w:rPr>
        <w:t xml:space="preserve"> </w:t>
      </w:r>
      <w:r>
        <w:rPr>
          <w:rFonts w:ascii="Arial;Helvetica;sans-serif" w:hAnsi="Arial;Helvetica;sans-serif"/>
          <w:sz w:val="20"/>
        </w:rPr>
        <w:t>in</w:t>
      </w:r>
      <w:r>
        <w:rPr>
          <w:rFonts w:ascii="Aptos" w:hAnsi="Aptos"/>
          <w:spacing w:val="-3"/>
          <w:sz w:val="24"/>
        </w:rPr>
        <w:t xml:space="preserve"> </w:t>
      </w:r>
      <w:r>
        <w:rPr>
          <w:rFonts w:ascii="Arial;Helvetica;sans-serif" w:hAnsi="Arial;Helvetica;sans-serif"/>
          <w:sz w:val="20"/>
        </w:rPr>
        <w:t>the</w:t>
      </w:r>
      <w:r>
        <w:rPr>
          <w:rFonts w:ascii="Aptos" w:hAnsi="Aptos"/>
          <w:spacing w:val="-3"/>
          <w:sz w:val="24"/>
        </w:rPr>
        <w:t xml:space="preserve"> </w:t>
      </w:r>
      <w:r>
        <w:rPr>
          <w:rFonts w:ascii="Arial;Helvetica;sans-serif" w:hAnsi="Arial;Helvetica;sans-serif"/>
          <w:sz w:val="20"/>
        </w:rPr>
        <w:t>aggregate,</w:t>
      </w:r>
      <w:r>
        <w:rPr>
          <w:rFonts w:ascii="Aptos" w:hAnsi="Aptos"/>
          <w:spacing w:val="-3"/>
          <w:sz w:val="24"/>
        </w:rPr>
        <w:t xml:space="preserve"> </w:t>
      </w:r>
      <w:r>
        <w:rPr>
          <w:rFonts w:ascii="Arial;Helvetica;sans-serif" w:hAnsi="Arial;Helvetica;sans-serif"/>
          <w:sz w:val="20"/>
        </w:rPr>
        <w:t>no</w:t>
      </w:r>
      <w:r>
        <w:rPr>
          <w:rFonts w:ascii="Aptos" w:hAnsi="Aptos"/>
          <w:spacing w:val="-3"/>
          <w:sz w:val="24"/>
        </w:rPr>
        <w:t xml:space="preserve"> </w:t>
      </w:r>
      <w:r>
        <w:rPr>
          <w:rFonts w:ascii="Arial;Helvetica;sans-serif" w:hAnsi="Arial;Helvetica;sans-serif"/>
          <w:sz w:val="20"/>
        </w:rPr>
        <w:t>less</w:t>
      </w:r>
      <w:r>
        <w:rPr>
          <w:rFonts w:ascii="Aptos" w:hAnsi="Aptos"/>
          <w:spacing w:val="-3"/>
          <w:sz w:val="24"/>
        </w:rPr>
        <w:t xml:space="preserve"> </w:t>
      </w:r>
      <w:r>
        <w:rPr>
          <w:rFonts w:ascii="Arial;Helvetica;sans-serif" w:hAnsi="Arial;Helvetica;sans-serif"/>
          <w:sz w:val="20"/>
        </w:rPr>
        <w:t>favorable</w:t>
      </w:r>
      <w:r>
        <w:rPr>
          <w:rFonts w:ascii="Aptos" w:hAnsi="Aptos"/>
          <w:spacing w:val="-3"/>
          <w:sz w:val="24"/>
        </w:rPr>
        <w:t xml:space="preserve"> </w:t>
      </w:r>
      <w:r>
        <w:rPr>
          <w:rFonts w:ascii="Arial;Helvetica;sans-serif" w:hAnsi="Arial;Helvetica;sans-serif"/>
          <w:sz w:val="20"/>
        </w:rPr>
        <w:t>than</w:t>
      </w:r>
      <w:r>
        <w:rPr>
          <w:rFonts w:ascii="Aptos" w:hAnsi="Aptos"/>
          <w:spacing w:val="-3"/>
          <w:sz w:val="24"/>
        </w:rPr>
        <w:t xml:space="preserve"> </w:t>
      </w:r>
      <w:r>
        <w:rPr>
          <w:rFonts w:ascii="Arial;Helvetica;sans-serif" w:hAnsi="Arial;Helvetica;sans-serif"/>
          <w:sz w:val="20"/>
        </w:rPr>
        <w:t>the</w:t>
      </w:r>
      <w:r>
        <w:rPr>
          <w:rFonts w:ascii="Aptos" w:hAnsi="Aptos"/>
          <w:spacing w:val="-3"/>
          <w:sz w:val="24"/>
        </w:rPr>
        <w:t xml:space="preserve"> </w:t>
      </w:r>
      <w:r>
        <w:rPr>
          <w:rFonts w:ascii="Arial;Helvetica;sans-serif" w:hAnsi="Arial;Helvetica;sans-serif"/>
          <w:sz w:val="20"/>
        </w:rPr>
        <w:t>benefits</w:t>
      </w:r>
      <w:r>
        <w:rPr>
          <w:rFonts w:ascii="Aptos" w:hAnsi="Aptos"/>
          <w:spacing w:val="-3"/>
          <w:sz w:val="24"/>
        </w:rPr>
        <w:t xml:space="preserve"> </w:t>
      </w:r>
      <w:r>
        <w:rPr>
          <w:rFonts w:ascii="Arial;Helvetica;sans-serif" w:hAnsi="Arial;Helvetica;sans-serif"/>
          <w:sz w:val="20"/>
        </w:rPr>
        <w:t>as provided</w:t>
      </w:r>
      <w:r>
        <w:rPr>
          <w:rFonts w:ascii="Aptos" w:hAnsi="Aptos"/>
          <w:spacing w:val="-1"/>
          <w:sz w:val="24"/>
        </w:rPr>
        <w:t xml:space="preserve"> </w:t>
      </w:r>
      <w:r>
        <w:rPr>
          <w:rFonts w:ascii="Arial;Helvetica;sans-serif" w:hAnsi="Arial;Helvetica;sans-serif"/>
          <w:sz w:val="20"/>
        </w:rPr>
        <w:t>to</w:t>
      </w:r>
      <w:r>
        <w:rPr>
          <w:rFonts w:ascii="Aptos" w:hAnsi="Aptos"/>
          <w:spacing w:val="-1"/>
          <w:sz w:val="24"/>
        </w:rPr>
        <w:t xml:space="preserve"> </w:t>
      </w:r>
      <w:r>
        <w:rPr>
          <w:rFonts w:ascii="Arial;Helvetica;sans-serif" w:hAnsi="Arial;Helvetica;sans-serif"/>
          <w:sz w:val="20"/>
        </w:rPr>
        <w:t>the</w:t>
      </w:r>
      <w:r>
        <w:rPr>
          <w:rFonts w:ascii="Aptos" w:hAnsi="Aptos"/>
          <w:spacing w:val="-1"/>
          <w:sz w:val="24"/>
        </w:rPr>
        <w:t xml:space="preserve"> </w:t>
      </w:r>
      <w:r>
        <w:rPr>
          <w:rFonts w:ascii="Arial;Helvetica;sans-serif" w:hAnsi="Arial;Helvetica;sans-serif"/>
          <w:sz w:val="20"/>
        </w:rPr>
        <w:t>Executive</w:t>
      </w:r>
      <w:r>
        <w:rPr>
          <w:rFonts w:ascii="Aptos" w:hAnsi="Aptos"/>
          <w:spacing w:val="-1"/>
          <w:sz w:val="24"/>
        </w:rPr>
        <w:t xml:space="preserve"> </w:t>
      </w:r>
      <w:r>
        <w:rPr>
          <w:rFonts w:ascii="Arial;Helvetica;sans-serif" w:hAnsi="Arial;Helvetica;sans-serif"/>
          <w:sz w:val="20"/>
        </w:rPr>
        <w:t>under</w:t>
      </w:r>
      <w:r>
        <w:rPr>
          <w:rFonts w:ascii="Aptos" w:hAnsi="Aptos"/>
          <w:spacing w:val="-1"/>
          <w:sz w:val="24"/>
        </w:rPr>
        <w:t xml:space="preserve"> </w:t>
      </w:r>
      <w:r>
        <w:rPr>
          <w:rFonts w:ascii="Arial;Helvetica;sans-serif" w:hAnsi="Arial;Helvetica;sans-serif"/>
          <w:sz w:val="20"/>
        </w:rPr>
        <w:t>this</w:t>
      </w:r>
      <w:r>
        <w:rPr>
          <w:rFonts w:ascii="Aptos" w:hAnsi="Aptos"/>
          <w:spacing w:val="-1"/>
          <w:sz w:val="24"/>
        </w:rPr>
        <w:t xml:space="preserve"> </w:t>
      </w:r>
      <w:r>
        <w:rPr>
          <w:rFonts w:ascii="Arial;Helvetica;sans-serif" w:hAnsi="Arial;Helvetica;sans-serif"/>
          <w:sz w:val="20"/>
        </w:rPr>
        <w:t>Agreement.</w:t>
      </w:r>
      <w:r>
        <w:rPr>
          <w:rFonts w:ascii="Aptos" w:hAnsi="Aptos"/>
          <w:spacing w:val="-1"/>
          <w:sz w:val="24"/>
        </w:rPr>
        <w:t xml:space="preserve"> </w:t>
      </w:r>
      <w:r>
        <w:rPr>
          <w:rFonts w:ascii="Arial;Helvetica;sans-serif" w:hAnsi="Arial;Helvetica;sans-serif"/>
          <w:sz w:val="20"/>
        </w:rPr>
        <w:t>If</w:t>
      </w:r>
      <w:r>
        <w:rPr>
          <w:rFonts w:ascii="Aptos" w:hAnsi="Aptos"/>
          <w:spacing w:val="-1"/>
          <w:sz w:val="24"/>
        </w:rPr>
        <w:t xml:space="preserve"> </w:t>
      </w:r>
      <w:r>
        <w:rPr>
          <w:rFonts w:ascii="Arial;Helvetica;sans-serif" w:hAnsi="Arial;Helvetica;sans-serif"/>
          <w:sz w:val="20"/>
        </w:rPr>
        <w:t>any</w:t>
      </w:r>
      <w:r>
        <w:rPr>
          <w:rFonts w:ascii="Aptos" w:hAnsi="Aptos"/>
          <w:spacing w:val="-1"/>
          <w:sz w:val="24"/>
        </w:rPr>
        <w:t xml:space="preserve"> </w:t>
      </w:r>
      <w:r>
        <w:rPr>
          <w:rFonts w:ascii="Arial;Helvetica;sans-serif" w:hAnsi="Arial;Helvetica;sans-serif"/>
          <w:sz w:val="20"/>
        </w:rPr>
        <w:t>provision</w:t>
      </w:r>
      <w:r>
        <w:rPr>
          <w:rFonts w:ascii="Aptos" w:hAnsi="Aptos"/>
          <w:spacing w:val="-1"/>
          <w:sz w:val="24"/>
        </w:rPr>
        <w:t xml:space="preserve"> </w:t>
      </w:r>
      <w:r>
        <w:rPr>
          <w:rFonts w:ascii="Arial;Helvetica;sans-serif" w:hAnsi="Arial;Helvetica;sans-serif"/>
          <w:sz w:val="20"/>
        </w:rPr>
        <w:t>of</w:t>
      </w:r>
      <w:r>
        <w:rPr>
          <w:rFonts w:ascii="Aptos" w:hAnsi="Aptos"/>
          <w:spacing w:val="-1"/>
          <w:sz w:val="24"/>
        </w:rPr>
        <w:t xml:space="preserve"> </w:t>
      </w:r>
      <w:r>
        <w:rPr>
          <w:rFonts w:ascii="Arial;Helvetica;sans-serif" w:hAnsi="Arial;Helvetica;sans-serif"/>
          <w:sz w:val="20"/>
        </w:rPr>
        <w:t>this</w:t>
      </w:r>
      <w:r>
        <w:rPr>
          <w:rFonts w:ascii="Aptos" w:hAnsi="Aptos"/>
          <w:spacing w:val="-1"/>
          <w:sz w:val="24"/>
        </w:rPr>
        <w:t xml:space="preserve"> </w:t>
      </w:r>
      <w:r>
        <w:rPr>
          <w:rFonts w:ascii="Arial;Helvetica;sans-serif" w:hAnsi="Arial;Helvetica;sans-serif"/>
          <w:sz w:val="20"/>
        </w:rPr>
        <w:t>Agreement</w:t>
      </w:r>
      <w:r>
        <w:rPr>
          <w:rFonts w:ascii="Aptos" w:hAnsi="Aptos"/>
          <w:spacing w:val="-1"/>
          <w:sz w:val="24"/>
        </w:rPr>
        <w:t xml:space="preserve"> </w:t>
      </w:r>
      <w:r>
        <w:rPr>
          <w:rFonts w:ascii="Arial;Helvetica;sans-serif" w:hAnsi="Arial;Helvetica;sans-serif"/>
          <w:sz w:val="20"/>
        </w:rPr>
        <w:t>would</w:t>
      </w:r>
      <w:r>
        <w:rPr>
          <w:rFonts w:ascii="Aptos" w:hAnsi="Aptos"/>
          <w:spacing w:val="-1"/>
          <w:sz w:val="24"/>
        </w:rPr>
        <w:t xml:space="preserve"> </w:t>
      </w:r>
      <w:r>
        <w:rPr>
          <w:rFonts w:ascii="Arial;Helvetica;sans-serif" w:hAnsi="Arial;Helvetica;sans-serif"/>
          <w:sz w:val="20"/>
        </w:rPr>
        <w:t>cause such payments or benefits to fail to so comply, such provision shall not be effective and shall be null and void with respect to such payments or benefits, and such provision shall otherwise remain in full force and effect.</w:t>
      </w:r>
    </w:p>
    <w:tbl>
      <w:tblPr>
        <w:tblW w:w="3913" w:type="dxa"/>
        <w:jc w:val="left"/>
        <w:tblInd w:w="0" w:type="dxa"/>
        <w:tblLayout w:type="fixed"/>
        <w:tblCellMar>
          <w:top w:w="0" w:type="dxa"/>
          <w:left w:w="0" w:type="dxa"/>
          <w:bottom w:w="0" w:type="dxa"/>
          <w:right w:w="0" w:type="dxa"/>
        </w:tblCellMar>
      </w:tblPr>
      <w:tblGrid>
        <w:gridCol w:w="23"/>
        <w:gridCol w:w="185"/>
        <w:gridCol w:w="370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w:t>
            </w:r>
          </w:p>
        </w:tc>
        <w:tc>
          <w:tcPr>
            <w:tcW w:w="3705"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Governing</w:t>
            </w:r>
            <w:r>
              <w:rPr>
                <w:caps w:val="false"/>
                <w:smallCaps w:val="false"/>
                <w:spacing w:val="-9"/>
              </w:rPr>
              <w:t xml:space="preserve"> </w:t>
            </w:r>
            <w:r>
              <w:rPr>
                <w:rFonts w:ascii="Arial;Helvetica;sans-serif" w:hAnsi="Arial;Helvetica;sans-serif"/>
                <w:b/>
                <w:i w:val="false"/>
                <w:caps w:val="false"/>
                <w:smallCaps w:val="false"/>
                <w:sz w:val="20"/>
              </w:rPr>
              <w:t>Law</w:t>
            </w:r>
            <w:r>
              <w:rPr>
                <w:caps w:val="false"/>
                <w:smallCaps w:val="false"/>
                <w:spacing w:val="-9"/>
              </w:rPr>
              <w:t xml:space="preserve"> </w:t>
            </w:r>
            <w:r>
              <w:rPr>
                <w:rFonts w:ascii="Arial;Helvetica;sans-serif" w:hAnsi="Arial;Helvetica;sans-serif"/>
                <w:b/>
                <w:i w:val="false"/>
                <w:caps w:val="false"/>
                <w:smallCaps w:val="false"/>
                <w:sz w:val="20"/>
              </w:rPr>
              <w:t>and</w:t>
            </w:r>
            <w:r>
              <w:rPr>
                <w:caps w:val="false"/>
                <w:smallCaps w:val="false"/>
                <w:spacing w:val="-9"/>
              </w:rPr>
              <w:t xml:space="preserve"> </w:t>
            </w:r>
            <w:r>
              <w:rPr>
                <w:rFonts w:ascii="Arial;Helvetica;sans-serif" w:hAnsi="Arial;Helvetica;sans-serif"/>
                <w:b/>
                <w:i w:val="false"/>
                <w:caps w:val="false"/>
                <w:smallCaps w:val="false"/>
                <w:sz w:val="20"/>
              </w:rPr>
              <w:t>Dispute</w:t>
            </w:r>
            <w:r>
              <w:rPr>
                <w:caps w:val="false"/>
                <w:smallCaps w:val="false"/>
                <w:spacing w:val="-7"/>
              </w:rPr>
              <w:t xml:space="preserve"> </w:t>
            </w:r>
            <w:r>
              <w:rPr>
                <w:rFonts w:ascii="Arial;Helvetica;sans-serif" w:hAnsi="Arial;Helvetica;sans-serif"/>
                <w:b/>
                <w:i w:val="false"/>
                <w:caps w:val="false"/>
                <w:smallCaps w:val="false"/>
                <w:spacing w:val="-2"/>
                <w:sz w:val="20"/>
              </w:rPr>
              <w:t>Resolution.</w:t>
            </w:r>
          </w:p>
        </w:tc>
      </w:tr>
    </w:tbl>
    <w:p>
      <w:pPr>
        <w:pStyle w:val="TextBody"/>
        <w:bidi w:val="0"/>
        <w:spacing w:lineRule="auto" w:line="285" w:before="0" w:after="0"/>
        <w:ind w:left="720" w:right="607" w:hanging="0"/>
        <w:jc w:val="left"/>
        <w:rPr>
          <w:rFonts w:ascii="Aptos" w:hAnsi="Aptos"/>
          <w:sz w:val="24"/>
        </w:rPr>
      </w:pPr>
      <w:r>
        <w:rPr>
          <w:rFonts w:ascii="Arial;Helvetica;sans-serif" w:hAnsi="Arial;Helvetica;sans-serif"/>
          <w:sz w:val="20"/>
        </w:rPr>
        <w:t>(i)Good Faith Negotiation Requirement. Mr. Brown, TTEC Parent, and the Company agree that in the event of any controversy or claim arising out of or relating to Mr. Brown's employment with and/or separation from the Company, they shall negotiate in good faith to resolve</w:t>
      </w:r>
      <w:r>
        <w:rPr>
          <w:rFonts w:ascii="Aptos" w:hAnsi="Aptos"/>
          <w:spacing w:val="-4"/>
          <w:sz w:val="24"/>
        </w:rPr>
        <w:t xml:space="preserve"> </w:t>
      </w:r>
      <w:r>
        <w:rPr>
          <w:rFonts w:ascii="Arial;Helvetica;sans-serif" w:hAnsi="Arial;Helvetica;sans-serif"/>
          <w:sz w:val="20"/>
        </w:rPr>
        <w:t>the</w:t>
      </w:r>
      <w:r>
        <w:rPr>
          <w:rFonts w:ascii="Aptos" w:hAnsi="Aptos"/>
          <w:spacing w:val="-4"/>
          <w:sz w:val="24"/>
        </w:rPr>
        <w:t xml:space="preserve"> </w:t>
      </w:r>
      <w:r>
        <w:rPr>
          <w:rFonts w:ascii="Arial;Helvetica;sans-serif" w:hAnsi="Arial;Helvetica;sans-serif"/>
          <w:sz w:val="20"/>
        </w:rPr>
        <w:t>controversy</w:t>
      </w:r>
      <w:r>
        <w:rPr>
          <w:rFonts w:ascii="Aptos" w:hAnsi="Aptos"/>
          <w:spacing w:val="-4"/>
          <w:sz w:val="24"/>
        </w:rPr>
        <w:t xml:space="preserve"> </w:t>
      </w:r>
      <w:r>
        <w:rPr>
          <w:rFonts w:ascii="Arial;Helvetica;sans-serif" w:hAnsi="Arial;Helvetica;sans-serif"/>
          <w:sz w:val="20"/>
        </w:rPr>
        <w:t>or</w:t>
      </w:r>
      <w:r>
        <w:rPr>
          <w:rFonts w:ascii="Aptos" w:hAnsi="Aptos"/>
          <w:spacing w:val="-4"/>
          <w:sz w:val="24"/>
        </w:rPr>
        <w:t xml:space="preserve"> </w:t>
      </w:r>
      <w:r>
        <w:rPr>
          <w:rFonts w:ascii="Arial;Helvetica;sans-serif" w:hAnsi="Arial;Helvetica;sans-serif"/>
          <w:sz w:val="20"/>
        </w:rPr>
        <w:t>claim</w:t>
      </w:r>
      <w:r>
        <w:rPr>
          <w:rFonts w:ascii="Aptos" w:hAnsi="Aptos"/>
          <w:spacing w:val="-5"/>
          <w:sz w:val="24"/>
        </w:rPr>
        <w:t xml:space="preserve"> </w:t>
      </w:r>
      <w:r>
        <w:rPr>
          <w:rFonts w:ascii="Arial;Helvetica;sans-serif" w:hAnsi="Arial;Helvetica;sans-serif"/>
          <w:sz w:val="20"/>
        </w:rPr>
        <w:t>privately,</w:t>
      </w:r>
      <w:r>
        <w:rPr>
          <w:rFonts w:ascii="Aptos" w:hAnsi="Aptos"/>
          <w:spacing w:val="-4"/>
          <w:sz w:val="24"/>
        </w:rPr>
        <w:t xml:space="preserve"> </w:t>
      </w:r>
      <w:r>
        <w:rPr>
          <w:rFonts w:ascii="Arial;Helvetica;sans-serif" w:hAnsi="Arial;Helvetica;sans-serif"/>
          <w:sz w:val="20"/>
        </w:rPr>
        <w:t>amicably,</w:t>
      </w:r>
      <w:r>
        <w:rPr>
          <w:rFonts w:ascii="Aptos" w:hAnsi="Aptos"/>
          <w:spacing w:val="-4"/>
          <w:sz w:val="24"/>
        </w:rPr>
        <w:t xml:space="preserve"> </w:t>
      </w:r>
      <w:r>
        <w:rPr>
          <w:rFonts w:ascii="Arial;Helvetica;sans-serif" w:hAnsi="Arial;Helvetica;sans-serif"/>
          <w:sz w:val="20"/>
        </w:rPr>
        <w:t>and</w:t>
      </w:r>
      <w:r>
        <w:rPr>
          <w:rFonts w:ascii="Aptos" w:hAnsi="Aptos"/>
          <w:spacing w:val="-4"/>
          <w:sz w:val="24"/>
        </w:rPr>
        <w:t xml:space="preserve"> </w:t>
      </w:r>
      <w:r>
        <w:rPr>
          <w:rFonts w:ascii="Arial;Helvetica;sans-serif" w:hAnsi="Arial;Helvetica;sans-serif"/>
          <w:sz w:val="20"/>
        </w:rPr>
        <w:t>confidentially.</w:t>
      </w:r>
      <w:r>
        <w:rPr>
          <w:rFonts w:ascii="Aptos" w:hAnsi="Aptos"/>
          <w:spacing w:val="-4"/>
          <w:sz w:val="24"/>
        </w:rPr>
        <w:t xml:space="preserve"> </w:t>
      </w:r>
      <w:r>
        <w:rPr>
          <w:rFonts w:ascii="Arial;Helvetica;sans-serif" w:hAnsi="Arial;Helvetica;sans-serif"/>
          <w:sz w:val="20"/>
        </w:rPr>
        <w:t>Each</w:t>
      </w:r>
      <w:r>
        <w:rPr>
          <w:rFonts w:ascii="Aptos" w:hAnsi="Aptos"/>
          <w:spacing w:val="-4"/>
          <w:sz w:val="24"/>
        </w:rPr>
        <w:t xml:space="preserve"> </w:t>
      </w:r>
      <w:r>
        <w:rPr>
          <w:rFonts w:ascii="Arial;Helvetica;sans-serif" w:hAnsi="Arial;Helvetica;sans-serif"/>
          <w:sz w:val="20"/>
        </w:rPr>
        <w:t>Party</w:t>
      </w:r>
      <w:r>
        <w:rPr>
          <w:rFonts w:ascii="Aptos" w:hAnsi="Aptos"/>
          <w:spacing w:val="-4"/>
          <w:sz w:val="24"/>
        </w:rPr>
        <w:t xml:space="preserve"> </w:t>
      </w:r>
      <w:r>
        <w:rPr>
          <w:rFonts w:ascii="Arial;Helvetica;sans-serif" w:hAnsi="Arial;Helvetica;sans-serif"/>
          <w:sz w:val="20"/>
        </w:rPr>
        <w:t>may</w:t>
      </w:r>
      <w:r>
        <w:rPr>
          <w:rFonts w:ascii="Aptos" w:hAnsi="Aptos"/>
          <w:spacing w:val="-4"/>
          <w:sz w:val="24"/>
        </w:rPr>
        <w:t xml:space="preserve"> </w:t>
      </w:r>
      <w:r>
        <w:rPr>
          <w:rFonts w:ascii="Arial;Helvetica;sans-serif" w:hAnsi="Arial;Helvetica;sans-serif"/>
          <w:sz w:val="20"/>
        </w:rPr>
        <w:t>consult with counsel in connection with such negotiations.</w:t>
      </w:r>
    </w:p>
    <w:p>
      <w:pPr>
        <w:pStyle w:val="TextBody"/>
        <w:bidi w:val="0"/>
        <w:spacing w:lineRule="auto" w:line="285" w:before="2" w:after="0"/>
        <w:ind w:left="720" w:right="472" w:hanging="0"/>
        <w:jc w:val="left"/>
        <w:rPr>
          <w:rFonts w:ascii="Aptos" w:hAnsi="Aptos"/>
          <w:sz w:val="24"/>
        </w:rPr>
      </w:pPr>
      <w:r>
        <w:rPr>
          <w:rFonts w:ascii="Arial;Helvetica;sans-serif" w:hAnsi="Arial;Helvetica;sans-serif"/>
          <w:sz w:val="20"/>
        </w:rPr>
        <w:t>(ii)Governing</w:t>
      </w:r>
      <w:r>
        <w:rPr>
          <w:rFonts w:ascii="Aptos" w:hAnsi="Aptos"/>
          <w:spacing w:val="-4"/>
          <w:sz w:val="24"/>
        </w:rPr>
        <w:t xml:space="preserve"> </w:t>
      </w:r>
      <w:r>
        <w:rPr>
          <w:rFonts w:ascii="Arial;Helvetica;sans-serif" w:hAnsi="Arial;Helvetica;sans-serif"/>
          <w:sz w:val="20"/>
        </w:rPr>
        <w:t>Law.</w:t>
      </w:r>
      <w:r>
        <w:rPr>
          <w:rFonts w:ascii="Aptos" w:hAnsi="Aptos"/>
          <w:spacing w:val="-4"/>
          <w:sz w:val="24"/>
        </w:rPr>
        <w:t xml:space="preserve"> </w:t>
      </w:r>
      <w:r>
        <w:rPr>
          <w:rFonts w:ascii="Arial;Helvetica;sans-serif" w:hAnsi="Arial;Helvetica;sans-serif"/>
          <w:sz w:val="20"/>
        </w:rPr>
        <w:t>This</w:t>
      </w:r>
      <w:r>
        <w:rPr>
          <w:rFonts w:ascii="Aptos" w:hAnsi="Aptos"/>
          <w:spacing w:val="-4"/>
          <w:sz w:val="24"/>
        </w:rPr>
        <w:t xml:space="preserve"> </w:t>
      </w:r>
      <w:r>
        <w:rPr>
          <w:rFonts w:ascii="Arial;Helvetica;sans-serif" w:hAnsi="Arial;Helvetica;sans-serif"/>
          <w:sz w:val="20"/>
        </w:rPr>
        <w:t>Agreement</w:t>
      </w:r>
      <w:r>
        <w:rPr>
          <w:rFonts w:ascii="Aptos" w:hAnsi="Aptos"/>
          <w:spacing w:val="-4"/>
          <w:sz w:val="24"/>
        </w:rPr>
        <w:t xml:space="preserve"> </w:t>
      </w:r>
      <w:r>
        <w:rPr>
          <w:rFonts w:ascii="Arial;Helvetica;sans-serif" w:hAnsi="Arial;Helvetica;sans-serif"/>
          <w:sz w:val="20"/>
        </w:rPr>
        <w:t>will</w:t>
      </w:r>
      <w:r>
        <w:rPr>
          <w:rFonts w:ascii="Aptos" w:hAnsi="Aptos"/>
          <w:spacing w:val="-4"/>
          <w:sz w:val="24"/>
        </w:rPr>
        <w:t xml:space="preserve"> </w:t>
      </w:r>
      <w:r>
        <w:rPr>
          <w:rFonts w:ascii="Arial;Helvetica;sans-serif" w:hAnsi="Arial;Helvetica;sans-serif"/>
          <w:sz w:val="20"/>
        </w:rPr>
        <w:t>be</w:t>
      </w:r>
      <w:r>
        <w:rPr>
          <w:rFonts w:ascii="Aptos" w:hAnsi="Aptos"/>
          <w:spacing w:val="-4"/>
          <w:sz w:val="24"/>
        </w:rPr>
        <w:t xml:space="preserve"> </w:t>
      </w:r>
      <w:r>
        <w:rPr>
          <w:rFonts w:ascii="Arial;Helvetica;sans-serif" w:hAnsi="Arial;Helvetica;sans-serif"/>
          <w:sz w:val="20"/>
        </w:rPr>
        <w:t>construed</w:t>
      </w:r>
      <w:r>
        <w:rPr>
          <w:rFonts w:ascii="Aptos" w:hAnsi="Aptos"/>
          <w:spacing w:val="-3"/>
          <w:sz w:val="24"/>
        </w:rPr>
        <w:t xml:space="preserve"> </w:t>
      </w:r>
      <w:r>
        <w:rPr>
          <w:rFonts w:ascii="Arial;Helvetica;sans-serif" w:hAnsi="Arial;Helvetica;sans-serif"/>
          <w:sz w:val="20"/>
        </w:rPr>
        <w:t>and</w:t>
      </w:r>
      <w:r>
        <w:rPr>
          <w:rFonts w:ascii="Aptos" w:hAnsi="Aptos"/>
          <w:spacing w:val="-4"/>
          <w:sz w:val="24"/>
        </w:rPr>
        <w:t xml:space="preserve"> </w:t>
      </w:r>
      <w:r>
        <w:rPr>
          <w:rFonts w:ascii="Arial;Helvetica;sans-serif" w:hAnsi="Arial;Helvetica;sans-serif"/>
          <w:sz w:val="20"/>
        </w:rPr>
        <w:t>interpreted</w:t>
      </w:r>
      <w:r>
        <w:rPr>
          <w:rFonts w:ascii="Aptos" w:hAnsi="Aptos"/>
          <w:spacing w:val="-4"/>
          <w:sz w:val="24"/>
        </w:rPr>
        <w:t xml:space="preserve"> </w:t>
      </w:r>
      <w:r>
        <w:rPr>
          <w:rFonts w:ascii="Arial;Helvetica;sans-serif" w:hAnsi="Arial;Helvetica;sans-serif"/>
          <w:sz w:val="20"/>
        </w:rPr>
        <w:t>in</w:t>
      </w:r>
      <w:r>
        <w:rPr>
          <w:rFonts w:ascii="Aptos" w:hAnsi="Aptos"/>
          <w:spacing w:val="-4"/>
          <w:sz w:val="24"/>
        </w:rPr>
        <w:t xml:space="preserve"> </w:t>
      </w:r>
      <w:r>
        <w:rPr>
          <w:rFonts w:ascii="Arial;Helvetica;sans-serif" w:hAnsi="Arial;Helvetica;sans-serif"/>
          <w:sz w:val="20"/>
        </w:rPr>
        <w:t>accordance</w:t>
      </w:r>
      <w:r>
        <w:rPr>
          <w:rFonts w:ascii="Aptos" w:hAnsi="Aptos"/>
          <w:spacing w:val="-4"/>
          <w:sz w:val="24"/>
        </w:rPr>
        <w:t xml:space="preserve"> </w:t>
      </w:r>
      <w:r>
        <w:rPr>
          <w:rFonts w:ascii="Arial;Helvetica;sans-serif" w:hAnsi="Arial;Helvetica;sans-serif"/>
          <w:sz w:val="20"/>
        </w:rPr>
        <w:t>with the laws of the State of Colorado without regard to conflict of law principles.</w:t>
      </w:r>
    </w:p>
    <w:p>
      <w:pPr>
        <w:pStyle w:val="TextBody"/>
        <w:bidi w:val="0"/>
        <w:spacing w:lineRule="auto" w:line="285" w:before="198" w:after="283"/>
        <w:ind w:left="720" w:right="447" w:hanging="0"/>
        <w:jc w:val="left"/>
        <w:rPr>
          <w:rFonts w:ascii="Aptos" w:hAnsi="Aptos"/>
          <w:sz w:val="24"/>
        </w:rPr>
      </w:pPr>
      <w:r>
        <w:rPr>
          <w:rFonts w:ascii="Arial;Helvetica;sans-serif" w:hAnsi="Arial;Helvetica;sans-serif"/>
          <w:sz w:val="20"/>
        </w:rPr>
        <w:t>(iii)Disputes. The Parties agree that any action arising from</w:t>
      </w:r>
      <w:r>
        <w:rPr>
          <w:rFonts w:ascii="Aptos" w:hAnsi="Aptos"/>
          <w:spacing w:val="-1"/>
          <w:sz w:val="24"/>
        </w:rPr>
        <w:t xml:space="preserve"> </w:t>
      </w:r>
      <w:r>
        <w:rPr>
          <w:rFonts w:ascii="Arial;Helvetica;sans-serif" w:hAnsi="Arial;Helvetica;sans-serif"/>
          <w:sz w:val="20"/>
        </w:rPr>
        <w:t>or relating in any way to this Agreement</w:t>
      </w:r>
      <w:r>
        <w:rPr>
          <w:rFonts w:ascii="Aptos" w:hAnsi="Aptos"/>
          <w:spacing w:val="-3"/>
          <w:sz w:val="24"/>
        </w:rPr>
        <w:t xml:space="preserve"> </w:t>
      </w:r>
      <w:r>
        <w:rPr>
          <w:rFonts w:ascii="Arial;Helvetica;sans-serif" w:hAnsi="Arial;Helvetica;sans-serif"/>
          <w:sz w:val="20"/>
        </w:rPr>
        <w:t>shall</w:t>
      </w:r>
      <w:r>
        <w:rPr>
          <w:rFonts w:ascii="Aptos" w:hAnsi="Aptos"/>
          <w:spacing w:val="-3"/>
          <w:sz w:val="24"/>
        </w:rPr>
        <w:t xml:space="preserve"> </w:t>
      </w:r>
      <w:r>
        <w:rPr>
          <w:rFonts w:ascii="Arial;Helvetica;sans-serif" w:hAnsi="Arial;Helvetica;sans-serif"/>
          <w:sz w:val="20"/>
        </w:rPr>
        <w:t>be</w:t>
      </w:r>
      <w:r>
        <w:rPr>
          <w:rFonts w:ascii="Aptos" w:hAnsi="Aptos"/>
          <w:spacing w:val="-3"/>
          <w:sz w:val="24"/>
        </w:rPr>
        <w:t xml:space="preserve"> </w:t>
      </w:r>
      <w:r>
        <w:rPr>
          <w:rFonts w:ascii="Arial;Helvetica;sans-serif" w:hAnsi="Arial;Helvetica;sans-serif"/>
          <w:sz w:val="20"/>
        </w:rPr>
        <w:t>resolved</w:t>
      </w:r>
      <w:r>
        <w:rPr>
          <w:rFonts w:ascii="Aptos" w:hAnsi="Aptos"/>
          <w:spacing w:val="-3"/>
          <w:sz w:val="24"/>
        </w:rPr>
        <w:t xml:space="preserve"> </w:t>
      </w:r>
      <w:r>
        <w:rPr>
          <w:rFonts w:ascii="Arial;Helvetica;sans-serif" w:hAnsi="Arial;Helvetica;sans-serif"/>
          <w:sz w:val="20"/>
        </w:rPr>
        <w:t>and</w:t>
      </w:r>
      <w:r>
        <w:rPr>
          <w:rFonts w:ascii="Aptos" w:hAnsi="Aptos"/>
          <w:spacing w:val="-3"/>
          <w:sz w:val="24"/>
        </w:rPr>
        <w:t xml:space="preserve"> </w:t>
      </w:r>
      <w:r>
        <w:rPr>
          <w:rFonts w:ascii="Arial;Helvetica;sans-serif" w:hAnsi="Arial;Helvetica;sans-serif"/>
          <w:sz w:val="20"/>
        </w:rPr>
        <w:t>tried</w:t>
      </w:r>
      <w:r>
        <w:rPr>
          <w:rFonts w:ascii="Aptos" w:hAnsi="Aptos"/>
          <w:spacing w:val="-3"/>
          <w:sz w:val="24"/>
        </w:rPr>
        <w:t xml:space="preserve"> </w:t>
      </w:r>
      <w:r>
        <w:rPr>
          <w:rFonts w:ascii="Arial;Helvetica;sans-serif" w:hAnsi="Arial;Helvetica;sans-serif"/>
          <w:sz w:val="20"/>
        </w:rPr>
        <w:t>in</w:t>
      </w:r>
      <w:r>
        <w:rPr>
          <w:rFonts w:ascii="Aptos" w:hAnsi="Aptos"/>
          <w:spacing w:val="-3"/>
          <w:sz w:val="24"/>
        </w:rPr>
        <w:t xml:space="preserve"> </w:t>
      </w:r>
      <w:r>
        <w:rPr>
          <w:rFonts w:ascii="Arial;Helvetica;sans-serif" w:hAnsi="Arial;Helvetica;sans-serif"/>
          <w:sz w:val="20"/>
        </w:rPr>
        <w:t>the</w:t>
      </w:r>
      <w:r>
        <w:rPr>
          <w:rFonts w:ascii="Aptos" w:hAnsi="Aptos"/>
          <w:spacing w:val="-3"/>
          <w:sz w:val="24"/>
        </w:rPr>
        <w:t xml:space="preserve"> </w:t>
      </w:r>
      <w:r>
        <w:rPr>
          <w:rFonts w:ascii="Arial;Helvetica;sans-serif" w:hAnsi="Arial;Helvetica;sans-serif"/>
          <w:sz w:val="20"/>
        </w:rPr>
        <w:t>state</w:t>
      </w:r>
      <w:r>
        <w:rPr>
          <w:rFonts w:ascii="Aptos" w:hAnsi="Aptos"/>
          <w:spacing w:val="-3"/>
          <w:sz w:val="24"/>
        </w:rPr>
        <w:t xml:space="preserve"> </w:t>
      </w:r>
      <w:r>
        <w:rPr>
          <w:rFonts w:ascii="Arial;Helvetica;sans-serif" w:hAnsi="Arial;Helvetica;sans-serif"/>
          <w:sz w:val="20"/>
        </w:rPr>
        <w:t>or</w:t>
      </w:r>
      <w:r>
        <w:rPr>
          <w:rFonts w:ascii="Aptos" w:hAnsi="Aptos"/>
          <w:spacing w:val="-3"/>
          <w:sz w:val="24"/>
        </w:rPr>
        <w:t xml:space="preserve"> </w:t>
      </w:r>
      <w:r>
        <w:rPr>
          <w:rFonts w:ascii="Arial;Helvetica;sans-serif" w:hAnsi="Arial;Helvetica;sans-serif"/>
          <w:sz w:val="20"/>
        </w:rPr>
        <w:t>federal</w:t>
      </w:r>
      <w:r>
        <w:rPr>
          <w:rFonts w:ascii="Aptos" w:hAnsi="Aptos"/>
          <w:spacing w:val="-3"/>
          <w:sz w:val="24"/>
        </w:rPr>
        <w:t xml:space="preserve"> </w:t>
      </w:r>
      <w:r>
        <w:rPr>
          <w:rFonts w:ascii="Arial;Helvetica;sans-serif" w:hAnsi="Arial;Helvetica;sans-serif"/>
          <w:sz w:val="20"/>
        </w:rPr>
        <w:t>courts</w:t>
      </w:r>
      <w:r>
        <w:rPr>
          <w:rFonts w:ascii="Aptos" w:hAnsi="Aptos"/>
          <w:spacing w:val="-3"/>
          <w:sz w:val="24"/>
        </w:rPr>
        <w:t xml:space="preserve"> </w:t>
      </w:r>
      <w:r>
        <w:rPr>
          <w:rFonts w:ascii="Arial;Helvetica;sans-serif" w:hAnsi="Arial;Helvetica;sans-serif"/>
          <w:sz w:val="20"/>
        </w:rPr>
        <w:t>situated</w:t>
      </w:r>
      <w:r>
        <w:rPr>
          <w:rFonts w:ascii="Aptos" w:hAnsi="Aptos"/>
          <w:spacing w:val="-3"/>
          <w:sz w:val="24"/>
        </w:rPr>
        <w:t xml:space="preserve"> </w:t>
      </w:r>
      <w:r>
        <w:rPr>
          <w:rFonts w:ascii="Arial;Helvetica;sans-serif" w:hAnsi="Arial;Helvetica;sans-serif"/>
          <w:sz w:val="20"/>
        </w:rPr>
        <w:t>in</w:t>
      </w:r>
      <w:r>
        <w:rPr>
          <w:rFonts w:ascii="Aptos" w:hAnsi="Aptos"/>
          <w:spacing w:val="-3"/>
          <w:sz w:val="24"/>
        </w:rPr>
        <w:t xml:space="preserve"> </w:t>
      </w:r>
      <w:r>
        <w:rPr>
          <w:rFonts w:ascii="Arial;Helvetica;sans-serif" w:hAnsi="Arial;Helvetica;sans-serif"/>
          <w:sz w:val="20"/>
        </w:rPr>
        <w:t>Denver,</w:t>
      </w:r>
      <w:r>
        <w:rPr>
          <w:rFonts w:ascii="Aptos" w:hAnsi="Aptos"/>
          <w:spacing w:val="-3"/>
          <w:sz w:val="24"/>
        </w:rPr>
        <w:t xml:space="preserve"> </w:t>
      </w:r>
      <w:r>
        <w:rPr>
          <w:rFonts w:ascii="Arial;Helvetica;sans-serif" w:hAnsi="Arial;Helvetica;sans-serif"/>
          <w:sz w:val="20"/>
        </w:rPr>
        <w:t xml:space="preserve">Colorado. The parties consent to jurisdiction and venue of those courts to the greatest extent allowed by </w:t>
      </w:r>
      <w:r>
        <w:rPr>
          <w:rFonts w:ascii="Arial;Helvetica;sans-serif" w:hAnsi="Arial;Helvetica;sans-serif"/>
          <w:spacing w:val="-4"/>
          <w:sz w:val="20"/>
        </w:rPr>
        <w:t>law.</w:t>
      </w:r>
    </w:p>
    <w:p>
      <w:pPr>
        <w:pStyle w:val="TextBody"/>
        <w:bidi w:val="0"/>
        <w:spacing w:lineRule="auto" w:line="285" w:before="0" w:after="0"/>
        <w:ind w:left="0" w:right="0" w:hanging="0"/>
        <w:jc w:val="right"/>
        <w:rPr>
          <w:rFonts w:ascii="Arial;Helvetica;sans-serif" w:hAnsi="Arial;Helvetica;sans-serif"/>
          <w:sz w:val="22"/>
        </w:rPr>
      </w:pPr>
      <w:r>
        <w:rPr>
          <w:rFonts w:ascii="Arial;Helvetica;sans-serif" w:hAnsi="Arial;Helvetica;sans-serif"/>
          <w:sz w:val="22"/>
        </w:rPr>
        <w:t xml:space="preserve">Page </w:t>
      </w:r>
      <w:r>
        <w:rPr>
          <w:rFonts w:ascii="Arial;Helvetica;sans-serif" w:hAnsi="Arial;Helvetica;sans-serif"/>
          <w:b/>
          <w:sz w:val="22"/>
        </w:rPr>
        <w:t>12</w:t>
      </w:r>
      <w:r>
        <w:rPr>
          <w:rFonts w:ascii="Arial;Helvetica;sans-serif" w:hAnsi="Arial;Helvetica;sans-serif"/>
          <w:sz w:val="22"/>
        </w:rPr>
        <w:t xml:space="preserve"> of </w:t>
      </w:r>
      <w:r>
        <w:rPr>
          <w:rFonts w:ascii="Arial;Helvetica;sans-serif" w:hAnsi="Arial;Helvetica;sans-serif"/>
          <w:b/>
          <w:sz w:val="22"/>
        </w:rPr>
        <w:t>15</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5"/>
        <w:gridCol w:w="9974"/>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e.</w:t>
            </w:r>
          </w:p>
        </w:tc>
        <w:tc>
          <w:tcPr>
            <w:tcW w:w="9974"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 xml:space="preserve">Severability. </w:t>
            </w:r>
            <w:r>
              <w:rPr>
                <w:rFonts w:ascii="Arial;Helvetica;sans-serif" w:hAnsi="Arial;Helvetica;sans-serif"/>
                <w:b w:val="false"/>
                <w:i w:val="false"/>
                <w:caps w:val="false"/>
                <w:smallCaps w:val="false"/>
                <w:sz w:val="20"/>
              </w:rPr>
              <w:t>If any court of competent jurisdiction declares any provision of this Agreement invalid or unenforceable, the remainder of the Agreement shall remain fully enforceable. To the extent</w:t>
            </w:r>
            <w:r>
              <w:rPr>
                <w:caps w:val="false"/>
                <w:smallCaps w:val="false"/>
                <w:spacing w:val="-3"/>
              </w:rPr>
              <w:t xml:space="preserve"> </w:t>
            </w:r>
            <w:r>
              <w:rPr>
                <w:rFonts w:ascii="Arial;Helvetica;sans-serif" w:hAnsi="Arial;Helvetica;sans-serif"/>
                <w:b w:val="false"/>
                <w:i w:val="false"/>
                <w:caps w:val="false"/>
                <w:smallCaps w:val="false"/>
                <w:sz w:val="20"/>
              </w:rPr>
              <w:t>that</w:t>
            </w:r>
            <w:r>
              <w:rPr>
                <w:caps w:val="false"/>
                <w:smallCaps w:val="false"/>
                <w:spacing w:val="-3"/>
              </w:rPr>
              <w:t xml:space="preserve"> </w:t>
            </w:r>
            <w:r>
              <w:rPr>
                <w:rFonts w:ascii="Arial;Helvetica;sans-serif" w:hAnsi="Arial;Helvetica;sans-serif"/>
                <w:b w:val="false"/>
                <w:i w:val="false"/>
                <w:caps w:val="false"/>
                <w:smallCaps w:val="false"/>
                <w:sz w:val="20"/>
              </w:rPr>
              <w:t>any</w:t>
            </w:r>
            <w:r>
              <w:rPr>
                <w:caps w:val="false"/>
                <w:smallCaps w:val="false"/>
                <w:spacing w:val="-3"/>
              </w:rPr>
              <w:t xml:space="preserve"> </w:t>
            </w:r>
            <w:r>
              <w:rPr>
                <w:rFonts w:ascii="Arial;Helvetica;sans-serif" w:hAnsi="Arial;Helvetica;sans-serif"/>
                <w:b w:val="false"/>
                <w:i w:val="false"/>
                <w:caps w:val="false"/>
                <w:smallCaps w:val="false"/>
                <w:sz w:val="20"/>
              </w:rPr>
              <w:t>court</w:t>
            </w:r>
            <w:r>
              <w:rPr>
                <w:caps w:val="false"/>
                <w:smallCaps w:val="false"/>
                <w:spacing w:val="-3"/>
              </w:rPr>
              <w:t xml:space="preserve"> </w:t>
            </w:r>
            <w:r>
              <w:rPr>
                <w:rFonts w:ascii="Arial;Helvetica;sans-serif" w:hAnsi="Arial;Helvetica;sans-serif"/>
                <w:b w:val="false"/>
                <w:i w:val="false"/>
                <w:caps w:val="false"/>
                <w:smallCaps w:val="false"/>
                <w:sz w:val="20"/>
              </w:rPr>
              <w:t>concludes</w:t>
            </w:r>
            <w:r>
              <w:rPr>
                <w:caps w:val="false"/>
                <w:smallCaps w:val="false"/>
                <w:spacing w:val="-3"/>
              </w:rPr>
              <w:t xml:space="preserve"> </w:t>
            </w:r>
            <w:r>
              <w:rPr>
                <w:rFonts w:ascii="Arial;Helvetica;sans-serif" w:hAnsi="Arial;Helvetica;sans-serif"/>
                <w:b w:val="false"/>
                <w:i w:val="false"/>
                <w:caps w:val="false"/>
                <w:smallCaps w:val="false"/>
                <w:sz w:val="20"/>
              </w:rPr>
              <w:t>that</w:t>
            </w:r>
            <w:r>
              <w:rPr>
                <w:caps w:val="false"/>
                <w:smallCaps w:val="false"/>
                <w:spacing w:val="-3"/>
              </w:rPr>
              <w:t xml:space="preserve"> </w:t>
            </w:r>
            <w:r>
              <w:rPr>
                <w:rFonts w:ascii="Arial;Helvetica;sans-serif" w:hAnsi="Arial;Helvetica;sans-serif"/>
                <w:b w:val="false"/>
                <w:i w:val="false"/>
                <w:caps w:val="false"/>
                <w:smallCaps w:val="false"/>
                <w:sz w:val="20"/>
              </w:rPr>
              <w:t>any</w:t>
            </w:r>
            <w:r>
              <w:rPr>
                <w:caps w:val="false"/>
                <w:smallCaps w:val="false"/>
                <w:spacing w:val="-3"/>
              </w:rPr>
              <w:t xml:space="preserve"> </w:t>
            </w:r>
            <w:r>
              <w:rPr>
                <w:rFonts w:ascii="Arial;Helvetica;sans-serif" w:hAnsi="Arial;Helvetica;sans-serif"/>
                <w:b w:val="false"/>
                <w:i w:val="false"/>
                <w:caps w:val="false"/>
                <w:smallCaps w:val="false"/>
                <w:sz w:val="20"/>
              </w:rPr>
              <w:t>provision</w:t>
            </w:r>
            <w:r>
              <w:rPr>
                <w:caps w:val="false"/>
                <w:smallCaps w:val="false"/>
                <w:spacing w:val="-3"/>
              </w:rPr>
              <w:t xml:space="preserve"> </w:t>
            </w:r>
            <w:r>
              <w:rPr>
                <w:rFonts w:ascii="Arial;Helvetica;sans-serif" w:hAnsi="Arial;Helvetica;sans-serif"/>
                <w:b w:val="false"/>
                <w:i w:val="false"/>
                <w:caps w:val="false"/>
                <w:smallCaps w:val="false"/>
                <w:sz w:val="20"/>
              </w:rPr>
              <w:t>of</w:t>
            </w:r>
            <w:r>
              <w:rPr>
                <w:caps w:val="false"/>
                <w:smallCaps w:val="false"/>
                <w:spacing w:val="-3"/>
              </w:rPr>
              <w:t xml:space="preserve"> </w:t>
            </w:r>
            <w:r>
              <w:rPr>
                <w:rFonts w:ascii="Arial;Helvetica;sans-serif" w:hAnsi="Arial;Helvetica;sans-serif"/>
                <w:b w:val="false"/>
                <w:i w:val="false"/>
                <w:caps w:val="false"/>
                <w:smallCaps w:val="false"/>
                <w:sz w:val="20"/>
              </w:rPr>
              <w:t>this</w:t>
            </w:r>
            <w:r>
              <w:rPr>
                <w:caps w:val="false"/>
                <w:smallCaps w:val="false"/>
                <w:spacing w:val="-3"/>
              </w:rPr>
              <w:t xml:space="preserve"> </w:t>
            </w:r>
            <w:r>
              <w:rPr>
                <w:rFonts w:ascii="Arial;Helvetica;sans-serif" w:hAnsi="Arial;Helvetica;sans-serif"/>
                <w:b w:val="false"/>
                <w:i w:val="false"/>
                <w:caps w:val="false"/>
                <w:smallCaps w:val="false"/>
                <w:sz w:val="20"/>
              </w:rPr>
              <w:t>Agreement</w:t>
            </w:r>
            <w:r>
              <w:rPr>
                <w:caps w:val="false"/>
                <w:smallCaps w:val="false"/>
                <w:spacing w:val="-3"/>
              </w:rPr>
              <w:t xml:space="preserve"> </w:t>
            </w:r>
            <w:r>
              <w:rPr>
                <w:rFonts w:ascii="Arial;Helvetica;sans-serif" w:hAnsi="Arial;Helvetica;sans-serif"/>
                <w:b w:val="false"/>
                <w:i w:val="false"/>
                <w:caps w:val="false"/>
                <w:smallCaps w:val="false"/>
                <w:sz w:val="20"/>
              </w:rPr>
              <w:t>is</w:t>
            </w:r>
            <w:r>
              <w:rPr>
                <w:caps w:val="false"/>
                <w:smallCaps w:val="false"/>
                <w:spacing w:val="-3"/>
              </w:rPr>
              <w:t xml:space="preserve"> </w:t>
            </w:r>
            <w:r>
              <w:rPr>
                <w:rFonts w:ascii="Arial;Helvetica;sans-serif" w:hAnsi="Arial;Helvetica;sans-serif"/>
                <w:b w:val="false"/>
                <w:i w:val="false"/>
                <w:caps w:val="false"/>
                <w:smallCaps w:val="false"/>
                <w:sz w:val="20"/>
              </w:rPr>
              <w:t>void</w:t>
            </w:r>
            <w:r>
              <w:rPr>
                <w:caps w:val="false"/>
                <w:smallCaps w:val="false"/>
                <w:spacing w:val="-3"/>
              </w:rPr>
              <w:t xml:space="preserve"> </w:t>
            </w:r>
            <w:r>
              <w:rPr>
                <w:rFonts w:ascii="Arial;Helvetica;sans-serif" w:hAnsi="Arial;Helvetica;sans-serif"/>
                <w:b w:val="false"/>
                <w:i w:val="false"/>
                <w:caps w:val="false"/>
                <w:smallCaps w:val="false"/>
                <w:sz w:val="20"/>
              </w:rPr>
              <w:t>or</w:t>
            </w:r>
            <w:r>
              <w:rPr>
                <w:caps w:val="false"/>
                <w:smallCaps w:val="false"/>
                <w:spacing w:val="-3"/>
              </w:rPr>
              <w:t xml:space="preserve"> </w:t>
            </w:r>
            <w:r>
              <w:rPr>
                <w:rFonts w:ascii="Arial;Helvetica;sans-serif" w:hAnsi="Arial;Helvetica;sans-serif"/>
                <w:b w:val="false"/>
                <w:i w:val="false"/>
                <w:caps w:val="false"/>
                <w:smallCaps w:val="false"/>
                <w:sz w:val="20"/>
              </w:rPr>
              <w:t>voidable,</w:t>
            </w:r>
            <w:r>
              <w:rPr>
                <w:caps w:val="false"/>
                <w:smallCaps w:val="false"/>
                <w:spacing w:val="-3"/>
              </w:rPr>
              <w:t xml:space="preserve"> </w:t>
            </w:r>
            <w:r>
              <w:rPr>
                <w:rFonts w:ascii="Arial;Helvetica;sans-serif" w:hAnsi="Arial;Helvetica;sans-serif"/>
                <w:b w:val="false"/>
                <w:i w:val="false"/>
                <w:caps w:val="false"/>
                <w:smallCaps w:val="false"/>
                <w:sz w:val="20"/>
              </w:rPr>
              <w:t>the</w:t>
            </w:r>
            <w:r>
              <w:rPr>
                <w:caps w:val="false"/>
                <w:smallCaps w:val="false"/>
                <w:spacing w:val="-3"/>
              </w:rPr>
              <w:t xml:space="preserve"> </w:t>
            </w:r>
            <w:r>
              <w:rPr>
                <w:rFonts w:ascii="Arial;Helvetica;sans-serif" w:hAnsi="Arial;Helvetica;sans-serif"/>
                <w:b w:val="false"/>
                <w:i w:val="false"/>
                <w:caps w:val="false"/>
                <w:smallCaps w:val="false"/>
                <w:sz w:val="20"/>
              </w:rPr>
              <w:t>court shall reform such provision(s) to render the provision(s) enforceable, but only to the extent absolutely necessary to render the provision(s) enforceable.</w:t>
            </w:r>
          </w:p>
        </w:tc>
        <w:tc>
          <w:tcPr>
            <w:tcW w:w="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3"/>
        <w:gridCol w:w="140"/>
        <w:gridCol w:w="1001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w:t>
            </w:r>
          </w:p>
        </w:tc>
        <w:tc>
          <w:tcPr>
            <w:tcW w:w="10019"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 xml:space="preserve">Modification of Agreement. </w:t>
            </w:r>
            <w:r>
              <w:rPr>
                <w:rFonts w:ascii="Arial;Helvetica;sans-serif" w:hAnsi="Arial;Helvetica;sans-serif"/>
                <w:b w:val="false"/>
                <w:i w:val="false"/>
                <w:caps w:val="false"/>
                <w:smallCaps w:val="false"/>
                <w:sz w:val="20"/>
              </w:rPr>
              <w:t>This Agreement or any other term</w:t>
            </w:r>
            <w:r>
              <w:rPr>
                <w:caps w:val="false"/>
                <w:smallCaps w:val="false"/>
                <w:spacing w:val="-1"/>
              </w:rPr>
              <w:t xml:space="preserve"> </w:t>
            </w:r>
            <w:r>
              <w:rPr>
                <w:rFonts w:ascii="Arial;Helvetica;sans-serif" w:hAnsi="Arial;Helvetica;sans-serif"/>
                <w:b w:val="false"/>
                <w:i w:val="false"/>
                <w:caps w:val="false"/>
                <w:smallCaps w:val="false"/>
                <w:sz w:val="20"/>
              </w:rPr>
              <w:t>or condition of employment may not</w:t>
            </w:r>
            <w:r>
              <w:rPr>
                <w:caps w:val="false"/>
                <w:smallCaps w:val="false"/>
                <w:spacing w:val="-2"/>
              </w:rPr>
              <w:t xml:space="preserve"> </w:t>
            </w:r>
            <w:r>
              <w:rPr>
                <w:rFonts w:ascii="Arial;Helvetica;sans-serif" w:hAnsi="Arial;Helvetica;sans-serif"/>
                <w:b w:val="false"/>
                <w:i w:val="false"/>
                <w:caps w:val="false"/>
                <w:smallCaps w:val="false"/>
                <w:sz w:val="20"/>
              </w:rPr>
              <w:t>be</w:t>
            </w:r>
            <w:r>
              <w:rPr>
                <w:caps w:val="false"/>
                <w:smallCaps w:val="false"/>
                <w:spacing w:val="-2"/>
              </w:rPr>
              <w:t xml:space="preserve"> </w:t>
            </w:r>
            <w:r>
              <w:rPr>
                <w:rFonts w:ascii="Arial;Helvetica;sans-serif" w:hAnsi="Arial;Helvetica;sans-serif"/>
                <w:b w:val="false"/>
                <w:i w:val="false"/>
                <w:caps w:val="false"/>
                <w:smallCaps w:val="false"/>
                <w:sz w:val="20"/>
              </w:rPr>
              <w:t>modified</w:t>
            </w:r>
            <w:r>
              <w:rPr>
                <w:caps w:val="false"/>
                <w:smallCaps w:val="false"/>
                <w:spacing w:val="-3"/>
              </w:rPr>
              <w:t xml:space="preserve"> </w:t>
            </w:r>
            <w:r>
              <w:rPr>
                <w:rFonts w:ascii="Arial;Helvetica;sans-serif" w:hAnsi="Arial;Helvetica;sans-serif"/>
                <w:b w:val="false"/>
                <w:i w:val="false"/>
                <w:caps w:val="false"/>
                <w:smallCaps w:val="false"/>
                <w:sz w:val="20"/>
              </w:rPr>
              <w:t>by</w:t>
            </w:r>
            <w:r>
              <w:rPr>
                <w:caps w:val="false"/>
                <w:smallCaps w:val="false"/>
                <w:spacing w:val="-2"/>
              </w:rPr>
              <w:t xml:space="preserve"> </w:t>
            </w:r>
            <w:r>
              <w:rPr>
                <w:rFonts w:ascii="Arial;Helvetica;sans-serif" w:hAnsi="Arial;Helvetica;sans-serif"/>
                <w:b w:val="false"/>
                <w:i w:val="false"/>
                <w:caps w:val="false"/>
                <w:smallCaps w:val="false"/>
                <w:sz w:val="20"/>
              </w:rPr>
              <w:t>word</w:t>
            </w:r>
            <w:r>
              <w:rPr>
                <w:caps w:val="false"/>
                <w:smallCaps w:val="false"/>
                <w:spacing w:val="-2"/>
              </w:rPr>
              <w:t xml:space="preserve"> </w:t>
            </w:r>
            <w:r>
              <w:rPr>
                <w:rFonts w:ascii="Arial;Helvetica;sans-serif" w:hAnsi="Arial;Helvetica;sans-serif"/>
                <w:b w:val="false"/>
                <w:i w:val="false"/>
                <w:caps w:val="false"/>
                <w:smallCaps w:val="false"/>
                <w:sz w:val="20"/>
              </w:rPr>
              <w:t>or</w:t>
            </w:r>
            <w:r>
              <w:rPr>
                <w:caps w:val="false"/>
                <w:smallCaps w:val="false"/>
                <w:spacing w:val="-2"/>
              </w:rPr>
              <w:t xml:space="preserve"> </w:t>
            </w:r>
            <w:r>
              <w:rPr>
                <w:rFonts w:ascii="Arial;Helvetica;sans-serif" w:hAnsi="Arial;Helvetica;sans-serif"/>
                <w:b w:val="false"/>
                <w:i w:val="false"/>
                <w:caps w:val="false"/>
                <w:smallCaps w:val="false"/>
                <w:sz w:val="20"/>
              </w:rPr>
              <w:t>deed,</w:t>
            </w:r>
            <w:r>
              <w:rPr>
                <w:caps w:val="false"/>
                <w:smallCaps w:val="false"/>
                <w:spacing w:val="-2"/>
              </w:rPr>
              <w:t xml:space="preserve"> </w:t>
            </w:r>
            <w:r>
              <w:rPr>
                <w:rFonts w:ascii="Arial;Helvetica;sans-serif" w:hAnsi="Arial;Helvetica;sans-serif"/>
                <w:b w:val="false"/>
                <w:i w:val="false"/>
                <w:caps w:val="false"/>
                <w:smallCaps w:val="false"/>
                <w:sz w:val="20"/>
              </w:rPr>
              <w:t>except</w:t>
            </w:r>
            <w:r>
              <w:rPr>
                <w:caps w:val="false"/>
                <w:smallCaps w:val="false"/>
                <w:spacing w:val="-2"/>
              </w:rPr>
              <w:t xml:space="preserve"> </w:t>
            </w:r>
            <w:r>
              <w:rPr>
                <w:rFonts w:ascii="Arial;Helvetica;sans-serif" w:hAnsi="Arial;Helvetica;sans-serif"/>
                <w:b w:val="false"/>
                <w:i w:val="false"/>
                <w:caps w:val="false"/>
                <w:smallCaps w:val="false"/>
                <w:sz w:val="20"/>
              </w:rPr>
              <w:t>in</w:t>
            </w:r>
            <w:r>
              <w:rPr>
                <w:caps w:val="false"/>
                <w:smallCaps w:val="false"/>
                <w:spacing w:val="-2"/>
              </w:rPr>
              <w:t xml:space="preserve"> </w:t>
            </w:r>
            <w:r>
              <w:rPr>
                <w:rFonts w:ascii="Arial;Helvetica;sans-serif" w:hAnsi="Arial;Helvetica;sans-serif"/>
                <w:b w:val="false"/>
                <w:i w:val="false"/>
                <w:caps w:val="false"/>
                <w:smallCaps w:val="false"/>
                <w:sz w:val="20"/>
              </w:rPr>
              <w:t>writing,</w:t>
            </w:r>
            <w:r>
              <w:rPr>
                <w:caps w:val="false"/>
                <w:smallCaps w:val="false"/>
                <w:spacing w:val="-2"/>
              </w:rPr>
              <w:t xml:space="preserve"> </w:t>
            </w:r>
            <w:r>
              <w:rPr>
                <w:rFonts w:ascii="Arial;Helvetica;sans-serif" w:hAnsi="Arial;Helvetica;sans-serif"/>
                <w:b w:val="false"/>
                <w:i w:val="false"/>
                <w:caps w:val="false"/>
                <w:smallCaps w:val="false"/>
                <w:sz w:val="20"/>
              </w:rPr>
              <w:t>signed</w:t>
            </w:r>
            <w:r>
              <w:rPr>
                <w:caps w:val="false"/>
                <w:smallCaps w:val="false"/>
                <w:spacing w:val="-2"/>
              </w:rPr>
              <w:t xml:space="preserve"> </w:t>
            </w:r>
            <w:r>
              <w:rPr>
                <w:rFonts w:ascii="Arial;Helvetica;sans-serif" w:hAnsi="Arial;Helvetica;sans-serif"/>
                <w:b w:val="false"/>
                <w:i w:val="false"/>
                <w:caps w:val="false"/>
                <w:smallCaps w:val="false"/>
                <w:sz w:val="20"/>
              </w:rPr>
              <w:t>by</w:t>
            </w:r>
            <w:r>
              <w:rPr>
                <w:caps w:val="false"/>
                <w:smallCaps w:val="false"/>
                <w:spacing w:val="-2"/>
              </w:rPr>
              <w:t xml:space="preserve"> </w:t>
            </w:r>
            <w:r>
              <w:rPr>
                <w:rFonts w:ascii="Arial;Helvetica;sans-serif" w:hAnsi="Arial;Helvetica;sans-serif"/>
                <w:b w:val="false"/>
                <w:i w:val="false"/>
                <w:caps w:val="false"/>
                <w:smallCaps w:val="false"/>
                <w:sz w:val="20"/>
              </w:rPr>
              <w:t>Executive</w:t>
            </w:r>
            <w:r>
              <w:rPr>
                <w:caps w:val="false"/>
                <w:smallCaps w:val="false"/>
                <w:spacing w:val="-2"/>
              </w:rPr>
              <w:t xml:space="preserve"> </w:t>
            </w:r>
            <w:r>
              <w:rPr>
                <w:rFonts w:ascii="Arial;Helvetica;sans-serif" w:hAnsi="Arial;Helvetica;sans-serif"/>
                <w:b w:val="false"/>
                <w:i w:val="false"/>
                <w:caps w:val="false"/>
                <w:smallCaps w:val="false"/>
                <w:sz w:val="20"/>
              </w:rPr>
              <w:t>on</w:t>
            </w:r>
            <w:r>
              <w:rPr>
                <w:caps w:val="false"/>
                <w:smallCaps w:val="false"/>
                <w:spacing w:val="-2"/>
              </w:rPr>
              <w:t xml:space="preserve"> </w:t>
            </w:r>
            <w:r>
              <w:rPr>
                <w:rFonts w:ascii="Arial;Helvetica;sans-serif" w:hAnsi="Arial;Helvetica;sans-serif"/>
                <w:b w:val="false"/>
                <w:i w:val="false"/>
                <w:caps w:val="false"/>
                <w:smallCaps w:val="false"/>
                <w:sz w:val="20"/>
              </w:rPr>
              <w:t>his</w:t>
            </w:r>
            <w:r>
              <w:rPr>
                <w:caps w:val="false"/>
                <w:smallCaps w:val="false"/>
                <w:spacing w:val="-2"/>
              </w:rPr>
              <w:t xml:space="preserve"> </w:t>
            </w:r>
            <w:r>
              <w:rPr>
                <w:rFonts w:ascii="Arial;Helvetica;sans-serif" w:hAnsi="Arial;Helvetica;sans-serif"/>
                <w:b w:val="false"/>
                <w:i w:val="false"/>
                <w:caps w:val="false"/>
                <w:smallCaps w:val="false"/>
                <w:sz w:val="20"/>
              </w:rPr>
              <w:t>own</w:t>
            </w:r>
            <w:r>
              <w:rPr>
                <w:caps w:val="false"/>
                <w:smallCaps w:val="false"/>
                <w:spacing w:val="-2"/>
              </w:rPr>
              <w:t xml:space="preserve"> </w:t>
            </w:r>
            <w:r>
              <w:rPr>
                <w:rFonts w:ascii="Arial;Helvetica;sans-serif" w:hAnsi="Arial;Helvetica;sans-serif"/>
                <w:b w:val="false"/>
                <w:i w:val="false"/>
                <w:caps w:val="false"/>
                <w:smallCaps w:val="false"/>
                <w:sz w:val="20"/>
              </w:rPr>
              <w:t>behalf</w:t>
            </w:r>
            <w:r>
              <w:rPr>
                <w:caps w:val="false"/>
                <w:smallCaps w:val="false"/>
                <w:spacing w:val="-2"/>
              </w:rPr>
              <w:t xml:space="preserve"> </w:t>
            </w:r>
            <w:r>
              <w:rPr>
                <w:rFonts w:ascii="Arial;Helvetica;sans-serif" w:hAnsi="Arial;Helvetica;sans-serif"/>
                <w:b w:val="false"/>
                <w:i w:val="false"/>
                <w:caps w:val="false"/>
                <w:smallCaps w:val="false"/>
                <w:sz w:val="20"/>
              </w:rPr>
              <w:t>and</w:t>
            </w:r>
            <w:r>
              <w:rPr>
                <w:caps w:val="false"/>
                <w:smallCaps w:val="false"/>
                <w:spacing w:val="-2"/>
              </w:rPr>
              <w:t xml:space="preserve"> </w:t>
            </w:r>
            <w:r>
              <w:rPr>
                <w:rFonts w:ascii="Arial;Helvetica;sans-serif" w:hAnsi="Arial;Helvetica;sans-serif"/>
                <w:b w:val="false"/>
                <w:i w:val="false"/>
                <w:caps w:val="false"/>
                <w:smallCaps w:val="false"/>
                <w:sz w:val="20"/>
              </w:rPr>
              <w:t>by TTEC Chairman &amp; CEO or Chief People Officer on behalf of the Company.</w:t>
            </w:r>
          </w:p>
        </w:tc>
        <w:tc>
          <w:tcPr>
            <w:tcW w:w="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3"/>
        <w:gridCol w:w="185"/>
        <w:gridCol w:w="9974"/>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g.</w:t>
            </w:r>
          </w:p>
        </w:tc>
        <w:tc>
          <w:tcPr>
            <w:tcW w:w="9974"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 xml:space="preserve">Waiver. </w:t>
            </w:r>
            <w:r>
              <w:rPr>
                <w:rFonts w:ascii="Arial;Helvetica;sans-serif" w:hAnsi="Arial;Helvetica;sans-serif"/>
                <w:b w:val="false"/>
                <w:i w:val="false"/>
                <w:caps w:val="false"/>
                <w:smallCaps w:val="false"/>
                <w:sz w:val="20"/>
              </w:rPr>
              <w:t>No provision of this Agreement shall be deemed waived, nor shall there be an estoppel against</w:t>
            </w:r>
            <w:r>
              <w:rPr>
                <w:caps w:val="false"/>
                <w:smallCaps w:val="false"/>
                <w:spacing w:val="-3"/>
              </w:rPr>
              <w:t xml:space="preserve"> </w:t>
            </w:r>
            <w:r>
              <w:rPr>
                <w:rFonts w:ascii="Arial;Helvetica;sans-serif" w:hAnsi="Arial;Helvetica;sans-serif"/>
                <w:b w:val="false"/>
                <w:i w:val="false"/>
                <w:caps w:val="false"/>
                <w:smallCaps w:val="false"/>
                <w:sz w:val="20"/>
              </w:rPr>
              <w:t>the</w:t>
            </w:r>
            <w:r>
              <w:rPr>
                <w:caps w:val="false"/>
                <w:smallCaps w:val="false"/>
                <w:spacing w:val="-3"/>
              </w:rPr>
              <w:t xml:space="preserve"> </w:t>
            </w:r>
            <w:r>
              <w:rPr>
                <w:rFonts w:ascii="Arial;Helvetica;sans-serif" w:hAnsi="Arial;Helvetica;sans-serif"/>
                <w:b w:val="false"/>
                <w:i w:val="false"/>
                <w:caps w:val="false"/>
                <w:smallCaps w:val="false"/>
                <w:sz w:val="20"/>
              </w:rPr>
              <w:t>enforcement</w:t>
            </w:r>
            <w:r>
              <w:rPr>
                <w:caps w:val="false"/>
                <w:smallCaps w:val="false"/>
                <w:spacing w:val="-3"/>
              </w:rPr>
              <w:t xml:space="preserve"> </w:t>
            </w:r>
            <w:r>
              <w:rPr>
                <w:rFonts w:ascii="Arial;Helvetica;sans-serif" w:hAnsi="Arial;Helvetica;sans-serif"/>
                <w:b w:val="false"/>
                <w:i w:val="false"/>
                <w:caps w:val="false"/>
                <w:smallCaps w:val="false"/>
                <w:sz w:val="20"/>
              </w:rPr>
              <w:t>of</w:t>
            </w:r>
            <w:r>
              <w:rPr>
                <w:caps w:val="false"/>
                <w:smallCaps w:val="false"/>
                <w:spacing w:val="-3"/>
              </w:rPr>
              <w:t xml:space="preserve"> </w:t>
            </w:r>
            <w:r>
              <w:rPr>
                <w:rFonts w:ascii="Arial;Helvetica;sans-serif" w:hAnsi="Arial;Helvetica;sans-serif"/>
                <w:b w:val="false"/>
                <w:i w:val="false"/>
                <w:caps w:val="false"/>
                <w:smallCaps w:val="false"/>
                <w:sz w:val="20"/>
              </w:rPr>
              <w:t>any</w:t>
            </w:r>
            <w:r>
              <w:rPr>
                <w:caps w:val="false"/>
                <w:smallCaps w:val="false"/>
                <w:spacing w:val="-3"/>
              </w:rPr>
              <w:t xml:space="preserve"> </w:t>
            </w:r>
            <w:r>
              <w:rPr>
                <w:rFonts w:ascii="Arial;Helvetica;sans-serif" w:hAnsi="Arial;Helvetica;sans-serif"/>
                <w:b w:val="false"/>
                <w:i w:val="false"/>
                <w:caps w:val="false"/>
                <w:smallCaps w:val="false"/>
                <w:sz w:val="20"/>
              </w:rPr>
              <w:t>such</w:t>
            </w:r>
            <w:r>
              <w:rPr>
                <w:caps w:val="false"/>
                <w:smallCaps w:val="false"/>
                <w:spacing w:val="-3"/>
              </w:rPr>
              <w:t xml:space="preserve"> </w:t>
            </w:r>
            <w:r>
              <w:rPr>
                <w:rFonts w:ascii="Arial;Helvetica;sans-serif" w:hAnsi="Arial;Helvetica;sans-serif"/>
                <w:b w:val="false"/>
                <w:i w:val="false"/>
                <w:caps w:val="false"/>
                <w:smallCaps w:val="false"/>
                <w:sz w:val="20"/>
              </w:rPr>
              <w:t>provision,</w:t>
            </w:r>
            <w:r>
              <w:rPr>
                <w:caps w:val="false"/>
                <w:smallCaps w:val="false"/>
                <w:spacing w:val="-3"/>
              </w:rPr>
              <w:t xml:space="preserve"> </w:t>
            </w:r>
            <w:r>
              <w:rPr>
                <w:rFonts w:ascii="Arial;Helvetica;sans-serif" w:hAnsi="Arial;Helvetica;sans-serif"/>
                <w:b w:val="false"/>
                <w:i w:val="false"/>
                <w:caps w:val="false"/>
                <w:smallCaps w:val="false"/>
                <w:sz w:val="20"/>
              </w:rPr>
              <w:t>except</w:t>
            </w:r>
            <w:r>
              <w:rPr>
                <w:caps w:val="false"/>
                <w:smallCaps w:val="false"/>
                <w:spacing w:val="-3"/>
              </w:rPr>
              <w:t xml:space="preserve"> </w:t>
            </w:r>
            <w:r>
              <w:rPr>
                <w:rFonts w:ascii="Arial;Helvetica;sans-serif" w:hAnsi="Arial;Helvetica;sans-serif"/>
                <w:b w:val="false"/>
                <w:i w:val="false"/>
                <w:caps w:val="false"/>
                <w:smallCaps w:val="false"/>
                <w:sz w:val="20"/>
              </w:rPr>
              <w:t>in</w:t>
            </w:r>
            <w:r>
              <w:rPr>
                <w:caps w:val="false"/>
                <w:smallCaps w:val="false"/>
                <w:spacing w:val="-3"/>
              </w:rPr>
              <w:t xml:space="preserve"> </w:t>
            </w:r>
            <w:r>
              <w:rPr>
                <w:rFonts w:ascii="Arial;Helvetica;sans-serif" w:hAnsi="Arial;Helvetica;sans-serif"/>
                <w:b w:val="false"/>
                <w:i w:val="false"/>
                <w:caps w:val="false"/>
                <w:smallCaps w:val="false"/>
                <w:sz w:val="20"/>
              </w:rPr>
              <w:t>writing</w:t>
            </w:r>
            <w:r>
              <w:rPr>
                <w:caps w:val="false"/>
                <w:smallCaps w:val="false"/>
                <w:spacing w:val="-3"/>
              </w:rPr>
              <w:t xml:space="preserve"> </w:t>
            </w:r>
            <w:r>
              <w:rPr>
                <w:rFonts w:ascii="Arial;Helvetica;sans-serif" w:hAnsi="Arial;Helvetica;sans-serif"/>
                <w:b w:val="false"/>
                <w:i w:val="false"/>
                <w:caps w:val="false"/>
                <w:smallCaps w:val="false"/>
                <w:sz w:val="20"/>
              </w:rPr>
              <w:t>and</w:t>
            </w:r>
            <w:r>
              <w:rPr>
                <w:caps w:val="false"/>
                <w:smallCaps w:val="false"/>
                <w:spacing w:val="-3"/>
              </w:rPr>
              <w:t xml:space="preserve"> </w:t>
            </w:r>
            <w:r>
              <w:rPr>
                <w:rFonts w:ascii="Arial;Helvetica;sans-serif" w:hAnsi="Arial;Helvetica;sans-serif"/>
                <w:b w:val="false"/>
                <w:i w:val="false"/>
                <w:caps w:val="false"/>
                <w:smallCaps w:val="false"/>
                <w:sz w:val="20"/>
              </w:rPr>
              <w:t>signed</w:t>
            </w:r>
            <w:r>
              <w:rPr>
                <w:caps w:val="false"/>
                <w:smallCaps w:val="false"/>
                <w:spacing w:val="-3"/>
              </w:rPr>
              <w:t xml:space="preserve"> </w:t>
            </w:r>
            <w:r>
              <w:rPr>
                <w:rFonts w:ascii="Arial;Helvetica;sans-serif" w:hAnsi="Arial;Helvetica;sans-serif"/>
                <w:b w:val="false"/>
                <w:i w:val="false"/>
                <w:caps w:val="false"/>
                <w:smallCaps w:val="false"/>
                <w:sz w:val="20"/>
              </w:rPr>
              <w:t>by</w:t>
            </w:r>
            <w:r>
              <w:rPr>
                <w:caps w:val="false"/>
                <w:smallCaps w:val="false"/>
                <w:spacing w:val="-3"/>
              </w:rPr>
              <w:t xml:space="preserve"> </w:t>
            </w:r>
            <w:r>
              <w:rPr>
                <w:rFonts w:ascii="Arial;Helvetica;sans-serif" w:hAnsi="Arial;Helvetica;sans-serif"/>
                <w:b w:val="false"/>
                <w:i w:val="false"/>
                <w:caps w:val="false"/>
                <w:smallCaps w:val="false"/>
                <w:sz w:val="20"/>
              </w:rPr>
              <w:t>the</w:t>
            </w:r>
            <w:r>
              <w:rPr>
                <w:caps w:val="false"/>
                <w:smallCaps w:val="false"/>
                <w:spacing w:val="-3"/>
              </w:rPr>
              <w:t xml:space="preserve"> </w:t>
            </w:r>
            <w:r>
              <w:rPr>
                <w:rFonts w:ascii="Arial;Helvetica;sans-serif" w:hAnsi="Arial;Helvetica;sans-serif"/>
                <w:b w:val="false"/>
                <w:i w:val="false"/>
                <w:caps w:val="false"/>
                <w:smallCaps w:val="false"/>
                <w:sz w:val="20"/>
              </w:rPr>
              <w:t>party</w:t>
            </w:r>
            <w:r>
              <w:rPr>
                <w:caps w:val="false"/>
                <w:smallCaps w:val="false"/>
                <w:spacing w:val="-3"/>
              </w:rPr>
              <w:t xml:space="preserve"> </w:t>
            </w:r>
            <w:r>
              <w:rPr>
                <w:rFonts w:ascii="Arial;Helvetica;sans-serif" w:hAnsi="Arial;Helvetica;sans-serif"/>
                <w:b w:val="false"/>
                <w:i w:val="false"/>
                <w:caps w:val="false"/>
                <w:smallCaps w:val="false"/>
                <w:sz w:val="20"/>
              </w:rPr>
              <w:t>charged with the waiver or estoppel. No waiver shall be deemed continuing unless specifically stated therein,</w:t>
            </w:r>
            <w:r>
              <w:rPr>
                <w:caps w:val="false"/>
                <w:smallCaps w:val="false"/>
                <w:spacing w:val="-1"/>
              </w:rPr>
              <w:t xml:space="preserve"> </w:t>
            </w:r>
            <w:r>
              <w:rPr>
                <w:rFonts w:ascii="Arial;Helvetica;sans-serif" w:hAnsi="Arial;Helvetica;sans-serif"/>
                <w:b w:val="false"/>
                <w:i w:val="false"/>
                <w:caps w:val="false"/>
                <w:smallCaps w:val="false"/>
                <w:sz w:val="20"/>
              </w:rPr>
              <w:t>and</w:t>
            </w:r>
            <w:r>
              <w:rPr>
                <w:caps w:val="false"/>
                <w:smallCaps w:val="false"/>
                <w:spacing w:val="-1"/>
              </w:rPr>
              <w:t xml:space="preserve"> </w:t>
            </w:r>
            <w:r>
              <w:rPr>
                <w:rFonts w:ascii="Arial;Helvetica;sans-serif" w:hAnsi="Arial;Helvetica;sans-serif"/>
                <w:b w:val="false"/>
                <w:i w:val="false"/>
                <w:caps w:val="false"/>
                <w:smallCaps w:val="false"/>
                <w:sz w:val="20"/>
              </w:rPr>
              <w:t>the</w:t>
            </w:r>
            <w:r>
              <w:rPr>
                <w:caps w:val="false"/>
                <w:smallCaps w:val="false"/>
                <w:spacing w:val="-1"/>
              </w:rPr>
              <w:t xml:space="preserve"> </w:t>
            </w:r>
            <w:r>
              <w:rPr>
                <w:rFonts w:ascii="Arial;Helvetica;sans-serif" w:hAnsi="Arial;Helvetica;sans-serif"/>
                <w:b w:val="false"/>
                <w:i w:val="false"/>
                <w:caps w:val="false"/>
                <w:smallCaps w:val="false"/>
                <w:sz w:val="20"/>
              </w:rPr>
              <w:t>written</w:t>
            </w:r>
            <w:r>
              <w:rPr>
                <w:caps w:val="false"/>
                <w:smallCaps w:val="false"/>
                <w:spacing w:val="-1"/>
              </w:rPr>
              <w:t xml:space="preserve"> </w:t>
            </w:r>
            <w:r>
              <w:rPr>
                <w:rFonts w:ascii="Arial;Helvetica;sans-serif" w:hAnsi="Arial;Helvetica;sans-serif"/>
                <w:b w:val="false"/>
                <w:i w:val="false"/>
                <w:caps w:val="false"/>
                <w:smallCaps w:val="false"/>
                <w:sz w:val="20"/>
              </w:rPr>
              <w:t>waiver</w:t>
            </w:r>
            <w:r>
              <w:rPr>
                <w:caps w:val="false"/>
                <w:smallCaps w:val="false"/>
                <w:spacing w:val="-1"/>
              </w:rPr>
              <w:t xml:space="preserve"> </w:t>
            </w:r>
            <w:r>
              <w:rPr>
                <w:rFonts w:ascii="Arial;Helvetica;sans-serif" w:hAnsi="Arial;Helvetica;sans-serif"/>
                <w:b w:val="false"/>
                <w:i w:val="false"/>
                <w:caps w:val="false"/>
                <w:smallCaps w:val="false"/>
                <w:sz w:val="20"/>
              </w:rPr>
              <w:t>shall</w:t>
            </w:r>
            <w:r>
              <w:rPr>
                <w:caps w:val="false"/>
                <w:smallCaps w:val="false"/>
                <w:spacing w:val="-1"/>
              </w:rPr>
              <w:t xml:space="preserve"> </w:t>
            </w:r>
            <w:r>
              <w:rPr>
                <w:rFonts w:ascii="Arial;Helvetica;sans-serif" w:hAnsi="Arial;Helvetica;sans-serif"/>
                <w:b w:val="false"/>
                <w:i w:val="false"/>
                <w:caps w:val="false"/>
                <w:smallCaps w:val="false"/>
                <w:sz w:val="20"/>
              </w:rPr>
              <w:t>operate</w:t>
            </w:r>
            <w:r>
              <w:rPr>
                <w:caps w:val="false"/>
                <w:smallCaps w:val="false"/>
                <w:spacing w:val="-1"/>
              </w:rPr>
              <w:t xml:space="preserve"> </w:t>
            </w:r>
            <w:r>
              <w:rPr>
                <w:rFonts w:ascii="Arial;Helvetica;sans-serif" w:hAnsi="Arial;Helvetica;sans-serif"/>
                <w:b w:val="false"/>
                <w:i w:val="false"/>
                <w:caps w:val="false"/>
                <w:smallCaps w:val="false"/>
                <w:sz w:val="20"/>
              </w:rPr>
              <w:t>only</w:t>
            </w:r>
            <w:r>
              <w:rPr>
                <w:caps w:val="false"/>
                <w:smallCaps w:val="false"/>
                <w:spacing w:val="-1"/>
              </w:rPr>
              <w:t xml:space="preserve"> </w:t>
            </w:r>
            <w:r>
              <w:rPr>
                <w:rFonts w:ascii="Arial;Helvetica;sans-serif" w:hAnsi="Arial;Helvetica;sans-serif"/>
                <w:b w:val="false"/>
                <w:i w:val="false"/>
                <w:caps w:val="false"/>
                <w:smallCaps w:val="false"/>
                <w:sz w:val="20"/>
              </w:rPr>
              <w:t>as</w:t>
            </w:r>
            <w:r>
              <w:rPr>
                <w:caps w:val="false"/>
                <w:smallCaps w:val="false"/>
                <w:spacing w:val="-1"/>
              </w:rPr>
              <w:t xml:space="preserve"> </w:t>
            </w:r>
            <w:r>
              <w:rPr>
                <w:rFonts w:ascii="Arial;Helvetica;sans-serif" w:hAnsi="Arial;Helvetica;sans-serif"/>
                <w:b w:val="false"/>
                <w:i w:val="false"/>
                <w:caps w:val="false"/>
                <w:smallCaps w:val="false"/>
                <w:sz w:val="20"/>
              </w:rPr>
              <w:t>to</w:t>
            </w:r>
            <w:r>
              <w:rPr>
                <w:caps w:val="false"/>
                <w:smallCaps w:val="false"/>
                <w:spacing w:val="-1"/>
              </w:rPr>
              <w:t xml:space="preserve"> </w:t>
            </w:r>
            <w:r>
              <w:rPr>
                <w:rFonts w:ascii="Arial;Helvetica;sans-serif" w:hAnsi="Arial;Helvetica;sans-serif"/>
                <w:b w:val="false"/>
                <w:i w:val="false"/>
                <w:caps w:val="false"/>
                <w:smallCaps w:val="false"/>
                <w:sz w:val="20"/>
              </w:rPr>
              <w:t>the</w:t>
            </w:r>
            <w:r>
              <w:rPr>
                <w:caps w:val="false"/>
                <w:smallCaps w:val="false"/>
                <w:spacing w:val="-1"/>
              </w:rPr>
              <w:t xml:space="preserve"> </w:t>
            </w:r>
            <w:r>
              <w:rPr>
                <w:rFonts w:ascii="Arial;Helvetica;sans-serif" w:hAnsi="Arial;Helvetica;sans-serif"/>
                <w:b w:val="false"/>
                <w:i w:val="false"/>
                <w:caps w:val="false"/>
                <w:smallCaps w:val="false"/>
                <w:sz w:val="20"/>
              </w:rPr>
              <w:t>specific</w:t>
            </w:r>
            <w:r>
              <w:rPr>
                <w:caps w:val="false"/>
                <w:smallCaps w:val="false"/>
                <w:spacing w:val="-1"/>
              </w:rPr>
              <w:t xml:space="preserve"> </w:t>
            </w:r>
            <w:r>
              <w:rPr>
                <w:rFonts w:ascii="Arial;Helvetica;sans-serif" w:hAnsi="Arial;Helvetica;sans-serif"/>
                <w:b w:val="false"/>
                <w:i w:val="false"/>
                <w:caps w:val="false"/>
                <w:smallCaps w:val="false"/>
                <w:sz w:val="20"/>
              </w:rPr>
              <w:t>term</w:t>
            </w:r>
            <w:r>
              <w:rPr>
                <w:caps w:val="false"/>
                <w:smallCaps w:val="false"/>
                <w:spacing w:val="-2"/>
              </w:rPr>
              <w:t xml:space="preserve"> </w:t>
            </w:r>
            <w:r>
              <w:rPr>
                <w:rFonts w:ascii="Arial;Helvetica;sans-serif" w:hAnsi="Arial;Helvetica;sans-serif"/>
                <w:b w:val="false"/>
                <w:i w:val="false"/>
                <w:caps w:val="false"/>
                <w:smallCaps w:val="false"/>
                <w:sz w:val="20"/>
              </w:rPr>
              <w:t>or</w:t>
            </w:r>
            <w:r>
              <w:rPr>
                <w:caps w:val="false"/>
                <w:smallCaps w:val="false"/>
                <w:spacing w:val="-1"/>
              </w:rPr>
              <w:t xml:space="preserve"> </w:t>
            </w:r>
            <w:r>
              <w:rPr>
                <w:rFonts w:ascii="Arial;Helvetica;sans-serif" w:hAnsi="Arial;Helvetica;sans-serif"/>
                <w:b w:val="false"/>
                <w:i w:val="false"/>
                <w:caps w:val="false"/>
                <w:smallCaps w:val="false"/>
                <w:sz w:val="20"/>
              </w:rPr>
              <w:t>condition</w:t>
            </w:r>
            <w:r>
              <w:rPr>
                <w:caps w:val="false"/>
                <w:smallCaps w:val="false"/>
                <w:spacing w:val="-1"/>
              </w:rPr>
              <w:t xml:space="preserve"> </w:t>
            </w:r>
            <w:r>
              <w:rPr>
                <w:rFonts w:ascii="Arial;Helvetica;sans-serif" w:hAnsi="Arial;Helvetica;sans-serif"/>
                <w:b w:val="false"/>
                <w:i w:val="false"/>
                <w:caps w:val="false"/>
                <w:smallCaps w:val="false"/>
                <w:sz w:val="20"/>
              </w:rPr>
              <w:t>waived,</w:t>
            </w:r>
            <w:r>
              <w:rPr>
                <w:caps w:val="false"/>
                <w:smallCaps w:val="false"/>
                <w:spacing w:val="-1"/>
              </w:rPr>
              <w:t xml:space="preserve"> </w:t>
            </w:r>
            <w:r>
              <w:rPr>
                <w:rFonts w:ascii="Arial;Helvetica;sans-serif" w:hAnsi="Arial;Helvetica;sans-serif"/>
                <w:b w:val="false"/>
                <w:i w:val="false"/>
                <w:caps w:val="false"/>
                <w:smallCaps w:val="false"/>
                <w:sz w:val="20"/>
              </w:rPr>
              <w:t>and not for the future or as to any act other than that specifically waived.</w:t>
            </w:r>
          </w:p>
        </w:tc>
        <w:tc>
          <w:tcPr>
            <w:tcW w:w="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3"/>
        <w:gridCol w:w="185"/>
        <w:gridCol w:w="9974"/>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h.</w:t>
            </w:r>
          </w:p>
        </w:tc>
        <w:tc>
          <w:tcPr>
            <w:tcW w:w="9974"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 xml:space="preserve">Construction. </w:t>
            </w:r>
            <w:r>
              <w:rPr>
                <w:rFonts w:ascii="Arial;Helvetica;sans-serif" w:hAnsi="Arial;Helvetica;sans-serif"/>
                <w:b w:val="false"/>
                <w:i w:val="false"/>
                <w:caps w:val="false"/>
                <w:smallCaps w:val="false"/>
                <w:sz w:val="20"/>
              </w:rPr>
              <w:t>Whenever applicable, masculine and neutral pronouns shall equally apply to the feminine genders; the singular shall include the plural, and the plural shall include the singular. The Parties have reviewed and understand this Agreement, and each has had a full opportunity</w:t>
            </w:r>
            <w:r>
              <w:rPr>
                <w:caps w:val="false"/>
                <w:smallCaps w:val="false"/>
                <w:spacing w:val="40"/>
              </w:rPr>
              <w:t xml:space="preserve"> </w:t>
            </w:r>
            <w:r>
              <w:rPr>
                <w:rFonts w:ascii="Arial;Helvetica;sans-serif" w:hAnsi="Arial;Helvetica;sans-serif"/>
                <w:b w:val="false"/>
                <w:i w:val="false"/>
                <w:caps w:val="false"/>
                <w:smallCaps w:val="false"/>
                <w:sz w:val="20"/>
              </w:rPr>
              <w:t>to negotiate the agreement's terms and to consult with counsel of their own choosing. Therefore, the</w:t>
            </w:r>
            <w:r>
              <w:rPr>
                <w:caps w:val="false"/>
                <w:smallCaps w:val="false"/>
                <w:spacing w:val="-3"/>
              </w:rPr>
              <w:t xml:space="preserve"> </w:t>
            </w:r>
            <w:r>
              <w:rPr>
                <w:rFonts w:ascii="Arial;Helvetica;sans-serif" w:hAnsi="Arial;Helvetica;sans-serif"/>
                <w:b w:val="false"/>
                <w:i w:val="false"/>
                <w:caps w:val="false"/>
                <w:smallCaps w:val="false"/>
                <w:sz w:val="20"/>
              </w:rPr>
              <w:t>Parties</w:t>
            </w:r>
            <w:r>
              <w:rPr>
                <w:caps w:val="false"/>
                <w:smallCaps w:val="false"/>
                <w:spacing w:val="-3"/>
              </w:rPr>
              <w:t xml:space="preserve"> </w:t>
            </w:r>
            <w:r>
              <w:rPr>
                <w:rFonts w:ascii="Arial;Helvetica;sans-serif" w:hAnsi="Arial;Helvetica;sans-serif"/>
                <w:b w:val="false"/>
                <w:i w:val="false"/>
                <w:caps w:val="false"/>
                <w:smallCaps w:val="false"/>
                <w:sz w:val="20"/>
              </w:rPr>
              <w:t>expressly</w:t>
            </w:r>
            <w:r>
              <w:rPr>
                <w:caps w:val="false"/>
                <w:smallCaps w:val="false"/>
                <w:spacing w:val="-3"/>
              </w:rPr>
              <w:t xml:space="preserve"> </w:t>
            </w:r>
            <w:r>
              <w:rPr>
                <w:rFonts w:ascii="Arial;Helvetica;sans-serif" w:hAnsi="Arial;Helvetica;sans-serif"/>
                <w:b w:val="false"/>
                <w:i w:val="false"/>
                <w:caps w:val="false"/>
                <w:smallCaps w:val="false"/>
                <w:sz w:val="20"/>
              </w:rPr>
              <w:t>waive</w:t>
            </w:r>
            <w:r>
              <w:rPr>
                <w:caps w:val="false"/>
                <w:smallCaps w:val="false"/>
                <w:spacing w:val="-3"/>
              </w:rPr>
              <w:t xml:space="preserve"> </w:t>
            </w:r>
            <w:r>
              <w:rPr>
                <w:rFonts w:ascii="Arial;Helvetica;sans-serif" w:hAnsi="Arial;Helvetica;sans-serif"/>
                <w:b w:val="false"/>
                <w:i w:val="false"/>
                <w:caps w:val="false"/>
                <w:smallCaps w:val="false"/>
                <w:sz w:val="20"/>
              </w:rPr>
              <w:t>all</w:t>
            </w:r>
            <w:r>
              <w:rPr>
                <w:caps w:val="false"/>
                <w:smallCaps w:val="false"/>
                <w:spacing w:val="-3"/>
              </w:rPr>
              <w:t xml:space="preserve"> </w:t>
            </w:r>
            <w:r>
              <w:rPr>
                <w:rFonts w:ascii="Arial;Helvetica;sans-serif" w:hAnsi="Arial;Helvetica;sans-serif"/>
                <w:b w:val="false"/>
                <w:i w:val="false"/>
                <w:caps w:val="false"/>
                <w:smallCaps w:val="false"/>
                <w:sz w:val="20"/>
              </w:rPr>
              <w:t>applicable</w:t>
            </w:r>
            <w:r>
              <w:rPr>
                <w:caps w:val="false"/>
                <w:smallCaps w:val="false"/>
                <w:spacing w:val="-3"/>
              </w:rPr>
              <w:t xml:space="preserve"> </w:t>
            </w:r>
            <w:r>
              <w:rPr>
                <w:rFonts w:ascii="Arial;Helvetica;sans-serif" w:hAnsi="Arial;Helvetica;sans-serif"/>
                <w:b w:val="false"/>
                <w:i w:val="false"/>
                <w:caps w:val="false"/>
                <w:smallCaps w:val="false"/>
                <w:sz w:val="20"/>
              </w:rPr>
              <w:t>common</w:t>
            </w:r>
            <w:r>
              <w:rPr>
                <w:caps w:val="false"/>
                <w:smallCaps w:val="false"/>
                <w:spacing w:val="-3"/>
              </w:rPr>
              <w:t xml:space="preserve"> </w:t>
            </w:r>
            <w:r>
              <w:rPr>
                <w:rFonts w:ascii="Arial;Helvetica;sans-serif" w:hAnsi="Arial;Helvetica;sans-serif"/>
                <w:b w:val="false"/>
                <w:i w:val="false"/>
                <w:caps w:val="false"/>
                <w:smallCaps w:val="false"/>
                <w:sz w:val="20"/>
              </w:rPr>
              <w:t>law</w:t>
            </w:r>
            <w:r>
              <w:rPr>
                <w:caps w:val="false"/>
                <w:smallCaps w:val="false"/>
                <w:spacing w:val="-4"/>
              </w:rPr>
              <w:t xml:space="preserve"> </w:t>
            </w:r>
            <w:r>
              <w:rPr>
                <w:rFonts w:ascii="Arial;Helvetica;sans-serif" w:hAnsi="Arial;Helvetica;sans-serif"/>
                <w:b w:val="false"/>
                <w:i w:val="false"/>
                <w:caps w:val="false"/>
                <w:smallCaps w:val="false"/>
                <w:sz w:val="20"/>
              </w:rPr>
              <w:t>and</w:t>
            </w:r>
            <w:r>
              <w:rPr>
                <w:caps w:val="false"/>
                <w:smallCaps w:val="false"/>
                <w:spacing w:val="-3"/>
              </w:rPr>
              <w:t xml:space="preserve"> </w:t>
            </w:r>
            <w:r>
              <w:rPr>
                <w:rFonts w:ascii="Arial;Helvetica;sans-serif" w:hAnsi="Arial;Helvetica;sans-serif"/>
                <w:b w:val="false"/>
                <w:i w:val="false"/>
                <w:caps w:val="false"/>
                <w:smallCaps w:val="false"/>
                <w:sz w:val="20"/>
              </w:rPr>
              <w:t>statutory</w:t>
            </w:r>
            <w:r>
              <w:rPr>
                <w:caps w:val="false"/>
                <w:smallCaps w:val="false"/>
                <w:spacing w:val="-3"/>
              </w:rPr>
              <w:t xml:space="preserve"> </w:t>
            </w:r>
            <w:r>
              <w:rPr>
                <w:rFonts w:ascii="Arial;Helvetica;sans-serif" w:hAnsi="Arial;Helvetica;sans-serif"/>
                <w:b w:val="false"/>
                <w:i w:val="false"/>
                <w:caps w:val="false"/>
                <w:smallCaps w:val="false"/>
                <w:sz w:val="20"/>
              </w:rPr>
              <w:t>rules</w:t>
            </w:r>
            <w:r>
              <w:rPr>
                <w:caps w:val="false"/>
                <w:smallCaps w:val="false"/>
                <w:spacing w:val="-3"/>
              </w:rPr>
              <w:t xml:space="preserve"> </w:t>
            </w:r>
            <w:r>
              <w:rPr>
                <w:rFonts w:ascii="Arial;Helvetica;sans-serif" w:hAnsi="Arial;Helvetica;sans-serif"/>
                <w:b w:val="false"/>
                <w:i w:val="false"/>
                <w:caps w:val="false"/>
                <w:smallCaps w:val="false"/>
                <w:sz w:val="20"/>
              </w:rPr>
              <w:t>of</w:t>
            </w:r>
            <w:r>
              <w:rPr>
                <w:caps w:val="false"/>
                <w:smallCaps w:val="false"/>
                <w:spacing w:val="-3"/>
              </w:rPr>
              <w:t xml:space="preserve"> </w:t>
            </w:r>
            <w:r>
              <w:rPr>
                <w:rFonts w:ascii="Arial;Helvetica;sans-serif" w:hAnsi="Arial;Helvetica;sans-serif"/>
                <w:b w:val="false"/>
                <w:i w:val="false"/>
                <w:caps w:val="false"/>
                <w:smallCaps w:val="false"/>
                <w:sz w:val="20"/>
              </w:rPr>
              <w:t>construction</w:t>
            </w:r>
            <w:r>
              <w:rPr>
                <w:caps w:val="false"/>
                <w:smallCaps w:val="false"/>
                <w:spacing w:val="-3"/>
              </w:rPr>
              <w:t xml:space="preserve"> </w:t>
            </w:r>
            <w:r>
              <w:rPr>
                <w:rFonts w:ascii="Arial;Helvetica;sans-serif" w:hAnsi="Arial;Helvetica;sans-serif"/>
                <w:b w:val="false"/>
                <w:i w:val="false"/>
                <w:caps w:val="false"/>
                <w:smallCaps w:val="false"/>
                <w:sz w:val="20"/>
              </w:rPr>
              <w:t>that</w:t>
            </w:r>
            <w:r>
              <w:rPr>
                <w:caps w:val="false"/>
                <w:smallCaps w:val="false"/>
                <w:spacing w:val="-3"/>
              </w:rPr>
              <w:t xml:space="preserve"> </w:t>
            </w:r>
            <w:r>
              <w:rPr>
                <w:rFonts w:ascii="Arial;Helvetica;sans-serif" w:hAnsi="Arial;Helvetica;sans-serif"/>
                <w:b w:val="false"/>
                <w:i w:val="false"/>
                <w:caps w:val="false"/>
                <w:smallCaps w:val="false"/>
                <w:sz w:val="20"/>
              </w:rPr>
              <w:t>any provision of this Agreement should be construed against the agreement's drafter and agree that this Agreement and all amendments thereto shall be construed as a whole, according to the fair meaning of the language used.</w:t>
            </w:r>
          </w:p>
        </w:tc>
        <w:tc>
          <w:tcPr>
            <w:tcW w:w="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3"/>
        <w:gridCol w:w="125"/>
        <w:gridCol w:w="10034"/>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i.</w:t>
            </w:r>
          </w:p>
        </w:tc>
        <w:tc>
          <w:tcPr>
            <w:tcW w:w="10034"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 xml:space="preserve">Dodd-Frank and Other Clawback Provisions. </w:t>
            </w:r>
            <w:r>
              <w:rPr>
                <w:rFonts w:ascii="Arial;Helvetica;sans-serif" w:hAnsi="Arial;Helvetica;sans-serif"/>
                <w:b w:val="false"/>
                <w:i w:val="false"/>
                <w:caps w:val="false"/>
                <w:smallCaps w:val="false"/>
                <w:sz w:val="20"/>
              </w:rPr>
              <w:t>Notwithstanding any other provision in this Agreement or in the related Incentive Agreements, this Agreement is subject to TTEC Incentive Recoupment</w:t>
            </w:r>
            <w:r>
              <w:rPr>
                <w:caps w:val="false"/>
                <w:smallCaps w:val="false"/>
                <w:spacing w:val="-4"/>
              </w:rPr>
              <w:t xml:space="preserve"> </w:t>
            </w:r>
            <w:r>
              <w:rPr>
                <w:rFonts w:ascii="Arial;Helvetica;sans-serif" w:hAnsi="Arial;Helvetica;sans-serif"/>
                <w:b w:val="false"/>
                <w:i w:val="false"/>
                <w:caps w:val="false"/>
                <w:smallCaps w:val="false"/>
                <w:sz w:val="20"/>
              </w:rPr>
              <w:t>Policy</w:t>
            </w:r>
            <w:r>
              <w:rPr>
                <w:caps w:val="false"/>
                <w:smallCaps w:val="false"/>
                <w:spacing w:val="-4"/>
              </w:rPr>
              <w:t xml:space="preserve"> </w:t>
            </w:r>
            <w:r>
              <w:rPr>
                <w:rFonts w:ascii="Arial;Helvetica;sans-serif" w:hAnsi="Arial;Helvetica;sans-serif"/>
                <w:b w:val="false"/>
                <w:i w:val="false"/>
                <w:caps w:val="false"/>
                <w:smallCaps w:val="false"/>
                <w:sz w:val="20"/>
              </w:rPr>
              <w:t>promulgated</w:t>
            </w:r>
            <w:r>
              <w:rPr>
                <w:caps w:val="false"/>
                <w:smallCaps w:val="false"/>
                <w:spacing w:val="-4"/>
              </w:rPr>
              <w:t xml:space="preserve"> </w:t>
            </w:r>
            <w:r>
              <w:rPr>
                <w:rFonts w:ascii="Arial;Helvetica;sans-serif" w:hAnsi="Arial;Helvetica;sans-serif"/>
                <w:b w:val="false"/>
                <w:i w:val="false"/>
                <w:caps w:val="false"/>
                <w:smallCaps w:val="false"/>
                <w:sz w:val="20"/>
              </w:rPr>
              <w:t>in</w:t>
            </w:r>
            <w:r>
              <w:rPr>
                <w:caps w:val="false"/>
                <w:smallCaps w:val="false"/>
                <w:spacing w:val="-4"/>
              </w:rPr>
              <w:t xml:space="preserve"> </w:t>
            </w:r>
            <w:r>
              <w:rPr>
                <w:rFonts w:ascii="Arial;Helvetica;sans-serif" w:hAnsi="Arial;Helvetica;sans-serif"/>
                <w:b w:val="false"/>
                <w:i w:val="false"/>
                <w:caps w:val="false"/>
                <w:smallCaps w:val="false"/>
                <w:sz w:val="20"/>
              </w:rPr>
              <w:t>accordance</w:t>
            </w:r>
            <w:r>
              <w:rPr>
                <w:caps w:val="false"/>
                <w:smallCaps w:val="false"/>
                <w:spacing w:val="-4"/>
              </w:rPr>
              <w:t xml:space="preserve"> </w:t>
            </w:r>
            <w:r>
              <w:rPr>
                <w:rFonts w:ascii="Arial;Helvetica;sans-serif" w:hAnsi="Arial;Helvetica;sans-serif"/>
                <w:b w:val="false"/>
                <w:i w:val="false"/>
                <w:caps w:val="false"/>
                <w:smallCaps w:val="false"/>
                <w:sz w:val="20"/>
              </w:rPr>
              <w:t>with</w:t>
            </w:r>
            <w:r>
              <w:rPr>
                <w:caps w:val="false"/>
                <w:smallCaps w:val="false"/>
                <w:spacing w:val="-4"/>
              </w:rPr>
              <w:t xml:space="preserve"> </w:t>
            </w:r>
            <w:r>
              <w:rPr>
                <w:rFonts w:ascii="Arial;Helvetica;sans-serif" w:hAnsi="Arial;Helvetica;sans-serif"/>
                <w:b w:val="false"/>
                <w:i w:val="false"/>
                <w:caps w:val="false"/>
                <w:smallCaps w:val="false"/>
                <w:sz w:val="20"/>
              </w:rPr>
              <w:t>the</w:t>
            </w:r>
            <w:r>
              <w:rPr>
                <w:caps w:val="false"/>
                <w:smallCaps w:val="false"/>
                <w:spacing w:val="-4"/>
              </w:rPr>
              <w:t xml:space="preserve"> </w:t>
            </w:r>
            <w:r>
              <w:rPr>
                <w:rFonts w:ascii="Arial;Helvetica;sans-serif" w:hAnsi="Arial;Helvetica;sans-serif"/>
                <w:b w:val="false"/>
                <w:i w:val="false"/>
                <w:caps w:val="false"/>
                <w:smallCaps w:val="false"/>
                <w:sz w:val="20"/>
              </w:rPr>
              <w:t>requirements</w:t>
            </w:r>
            <w:r>
              <w:rPr>
                <w:caps w:val="false"/>
                <w:smallCaps w:val="false"/>
                <w:spacing w:val="-4"/>
              </w:rPr>
              <w:t xml:space="preserve"> </w:t>
            </w:r>
            <w:r>
              <w:rPr>
                <w:rFonts w:ascii="Arial;Helvetica;sans-serif" w:hAnsi="Arial;Helvetica;sans-serif"/>
                <w:b w:val="false"/>
                <w:i w:val="false"/>
                <w:caps w:val="false"/>
                <w:smallCaps w:val="false"/>
                <w:sz w:val="20"/>
              </w:rPr>
              <w:t>of</w:t>
            </w:r>
            <w:r>
              <w:rPr>
                <w:caps w:val="false"/>
                <w:smallCaps w:val="false"/>
                <w:spacing w:val="-4"/>
              </w:rPr>
              <w:t xml:space="preserve"> </w:t>
            </w:r>
            <w:r>
              <w:rPr>
                <w:rFonts w:ascii="Arial;Helvetica;sans-serif" w:hAnsi="Arial;Helvetica;sans-serif"/>
                <w:b w:val="false"/>
                <w:i w:val="false"/>
                <w:caps w:val="false"/>
                <w:smallCaps w:val="false"/>
                <w:sz w:val="20"/>
              </w:rPr>
              <w:t>the</w:t>
            </w:r>
            <w:r>
              <w:rPr>
                <w:caps w:val="false"/>
                <w:smallCaps w:val="false"/>
                <w:spacing w:val="-4"/>
              </w:rPr>
              <w:t xml:space="preserve"> </w:t>
            </w:r>
            <w:r>
              <w:rPr>
                <w:rFonts w:ascii="Arial;Helvetica;sans-serif" w:hAnsi="Arial;Helvetica;sans-serif"/>
                <w:b w:val="false"/>
                <w:i w:val="false"/>
                <w:caps w:val="false"/>
                <w:smallCaps w:val="false"/>
                <w:sz w:val="20"/>
              </w:rPr>
              <w:t>Sarbanes-Oxley</w:t>
            </w:r>
            <w:r>
              <w:rPr>
                <w:caps w:val="false"/>
                <w:smallCaps w:val="false"/>
                <w:spacing w:val="-4"/>
              </w:rPr>
              <w:t xml:space="preserve"> </w:t>
            </w:r>
            <w:r>
              <w:rPr>
                <w:rFonts w:ascii="Arial;Helvetica;sans-serif" w:hAnsi="Arial;Helvetica;sans-serif"/>
                <w:b w:val="false"/>
                <w:i w:val="false"/>
                <w:caps w:val="false"/>
                <w:smallCaps w:val="false"/>
                <w:sz w:val="20"/>
              </w:rPr>
              <w:t xml:space="preserve">Act of 2002 and the Dodd-Frank Wall Street Reform and Consumer Protection Act of 2010, and incorporated herein by reference as </w:t>
            </w:r>
            <w:r>
              <w:rPr>
                <w:rFonts w:ascii="Arial;Helvetica;sans-serif" w:hAnsi="Arial;Helvetica;sans-serif"/>
                <w:b w:val="false"/>
                <w:i/>
                <w:sz w:val="20"/>
              </w:rPr>
              <w:t xml:space="preserve">Exhibit F. </w:t>
            </w:r>
            <w:r>
              <w:rPr>
                <w:rFonts w:ascii="Arial;Helvetica;sans-serif" w:hAnsi="Arial;Helvetica;sans-serif"/>
                <w:b w:val="false"/>
                <w:i w:val="false"/>
                <w:caps w:val="false"/>
                <w:smallCaps w:val="false"/>
                <w:sz w:val="20"/>
              </w:rPr>
              <w:t>Notwithstanding any other provision in this Agreement or in the relevant Incentive Agreements, if Executive materially breaches the requirements of the TTEC Ethics Code in a manner that results in negative publicity to TTEC Parent, the Company, or any affiliate thereof, then any payments made, or awards granted (and compensation received pursuant to these awards) for the year(s) when such breach occurred (regardless of when discovered or made public) shall be returned and forfeited.</w:t>
            </w:r>
          </w:p>
        </w:tc>
        <w:tc>
          <w:tcPr>
            <w:tcW w:w="23" w:type="dxa"/>
            <w:tcBorders/>
            <w:vAlign w:val="center"/>
          </w:tcPr>
          <w:p>
            <w:pPr>
              <w:pStyle w:val="TableContents"/>
              <w:bidi w:val="0"/>
              <w:spacing w:before="0" w:after="283"/>
              <w:jc w:val="left"/>
              <w:rPr>
                <w:sz w:val="4"/>
                <w:szCs w:val="4"/>
              </w:rPr>
            </w:pPr>
            <w:r>
              <w:rPr>
                <w:sz w:val="4"/>
                <w:szCs w:val="4"/>
              </w:rPr>
            </w:r>
          </w:p>
        </w:tc>
      </w:tr>
    </w:tbl>
    <w:tbl>
      <w:tblPr>
        <w:tblW w:w="2044" w:type="dxa"/>
        <w:jc w:val="left"/>
        <w:tblInd w:w="0" w:type="dxa"/>
        <w:tblLayout w:type="fixed"/>
        <w:tblCellMar>
          <w:top w:w="0" w:type="dxa"/>
          <w:left w:w="0" w:type="dxa"/>
          <w:bottom w:w="0" w:type="dxa"/>
          <w:right w:w="0" w:type="dxa"/>
        </w:tblCellMar>
      </w:tblPr>
      <w:tblGrid>
        <w:gridCol w:w="23"/>
        <w:gridCol w:w="125"/>
        <w:gridCol w:w="1896"/>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j.</w:t>
            </w:r>
          </w:p>
        </w:tc>
        <w:tc>
          <w:tcPr>
            <w:tcW w:w="1896"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Greatest</w:t>
            </w:r>
            <w:r>
              <w:rPr>
                <w:caps w:val="false"/>
                <w:smallCaps w:val="false"/>
                <w:spacing w:val="-7"/>
              </w:rPr>
              <w:t xml:space="preserve"> </w:t>
            </w:r>
            <w:r>
              <w:rPr>
                <w:rFonts w:ascii="Arial;Helvetica;sans-serif" w:hAnsi="Arial;Helvetica;sans-serif"/>
                <w:b/>
                <w:i w:val="false"/>
                <w:caps w:val="false"/>
                <w:smallCaps w:val="false"/>
                <w:sz w:val="20"/>
              </w:rPr>
              <w:t>Net</w:t>
            </w:r>
            <w:r>
              <w:rPr>
                <w:caps w:val="false"/>
                <w:smallCaps w:val="false"/>
                <w:spacing w:val="-6"/>
              </w:rPr>
              <w:t xml:space="preserve"> </w:t>
            </w:r>
            <w:r>
              <w:rPr>
                <w:rFonts w:ascii="Arial;Helvetica;sans-serif" w:hAnsi="Arial;Helvetica;sans-serif"/>
                <w:b/>
                <w:i w:val="false"/>
                <w:caps w:val="false"/>
                <w:smallCaps w:val="false"/>
                <w:spacing w:val="-2"/>
                <w:sz w:val="20"/>
              </w:rPr>
              <w:t>Benefit.</w:t>
            </w:r>
          </w:p>
        </w:tc>
      </w:tr>
    </w:tbl>
    <w:p>
      <w:pPr>
        <w:pStyle w:val="TextBody"/>
        <w:bidi w:val="0"/>
        <w:spacing w:lineRule="auto" w:line="285" w:before="0" w:after="0"/>
        <w:ind w:left="720" w:right="437" w:hanging="0"/>
        <w:jc w:val="left"/>
        <w:rPr>
          <w:rFonts w:ascii="Aptos" w:hAnsi="Aptos"/>
          <w:sz w:val="24"/>
        </w:rPr>
      </w:pPr>
      <w:r>
        <w:rPr>
          <w:rFonts w:ascii="Arial;Helvetica;sans-serif" w:hAnsi="Arial;Helvetica;sans-serif"/>
          <w:sz w:val="20"/>
        </w:rPr>
        <w:t>(i)Anything in this Agreement to the contrary notwithstanding, in the event that the Executive</w:t>
      </w:r>
      <w:r>
        <w:rPr>
          <w:rFonts w:ascii="Aptos" w:hAnsi="Aptos"/>
          <w:spacing w:val="-3"/>
          <w:sz w:val="24"/>
        </w:rPr>
        <w:t xml:space="preserve"> </w:t>
      </w:r>
      <w:r>
        <w:rPr>
          <w:rFonts w:ascii="Arial;Helvetica;sans-serif" w:hAnsi="Arial;Helvetica;sans-serif"/>
          <w:sz w:val="20"/>
        </w:rPr>
        <w:t>determines</w:t>
      </w:r>
      <w:r>
        <w:rPr>
          <w:rFonts w:ascii="Aptos" w:hAnsi="Aptos"/>
          <w:spacing w:val="-3"/>
          <w:sz w:val="24"/>
        </w:rPr>
        <w:t xml:space="preserve"> </w:t>
      </w:r>
      <w:r>
        <w:rPr>
          <w:rFonts w:ascii="Arial;Helvetica;sans-serif" w:hAnsi="Arial;Helvetica;sans-serif"/>
          <w:sz w:val="20"/>
        </w:rPr>
        <w:t>(at</w:t>
      </w:r>
      <w:r>
        <w:rPr>
          <w:rFonts w:ascii="Aptos" w:hAnsi="Aptos"/>
          <w:spacing w:val="-3"/>
          <w:sz w:val="24"/>
        </w:rPr>
        <w:t xml:space="preserve"> </w:t>
      </w:r>
      <w:r>
        <w:rPr>
          <w:rFonts w:ascii="Arial;Helvetica;sans-serif" w:hAnsi="Arial;Helvetica;sans-serif"/>
          <w:sz w:val="20"/>
        </w:rPr>
        <w:t>his</w:t>
      </w:r>
      <w:r>
        <w:rPr>
          <w:rFonts w:ascii="Aptos" w:hAnsi="Aptos"/>
          <w:spacing w:val="-3"/>
          <w:sz w:val="24"/>
        </w:rPr>
        <w:t xml:space="preserve"> </w:t>
      </w:r>
      <w:r>
        <w:rPr>
          <w:rFonts w:ascii="Arial;Helvetica;sans-serif" w:hAnsi="Arial;Helvetica;sans-serif"/>
          <w:sz w:val="20"/>
        </w:rPr>
        <w:t>discretion</w:t>
      </w:r>
      <w:r>
        <w:rPr>
          <w:rFonts w:ascii="Aptos" w:hAnsi="Aptos"/>
          <w:spacing w:val="-3"/>
          <w:sz w:val="24"/>
        </w:rPr>
        <w:t xml:space="preserve"> </w:t>
      </w:r>
      <w:r>
        <w:rPr>
          <w:rFonts w:ascii="Arial;Helvetica;sans-serif" w:hAnsi="Arial;Helvetica;sans-serif"/>
          <w:sz w:val="20"/>
        </w:rPr>
        <w:t>and</w:t>
      </w:r>
      <w:r>
        <w:rPr>
          <w:rFonts w:ascii="Aptos" w:hAnsi="Aptos"/>
          <w:spacing w:val="-3"/>
          <w:sz w:val="24"/>
        </w:rPr>
        <w:t xml:space="preserve"> </w:t>
      </w:r>
      <w:r>
        <w:rPr>
          <w:rFonts w:ascii="Arial;Helvetica;sans-serif" w:hAnsi="Arial;Helvetica;sans-serif"/>
          <w:sz w:val="20"/>
        </w:rPr>
        <w:t>expense)</w:t>
      </w:r>
      <w:r>
        <w:rPr>
          <w:rFonts w:ascii="Aptos" w:hAnsi="Aptos"/>
          <w:spacing w:val="-3"/>
          <w:sz w:val="24"/>
        </w:rPr>
        <w:t xml:space="preserve"> </w:t>
      </w:r>
      <w:r>
        <w:rPr>
          <w:rFonts w:ascii="Arial;Helvetica;sans-serif" w:hAnsi="Arial;Helvetica;sans-serif"/>
          <w:sz w:val="20"/>
        </w:rPr>
        <w:t>that</w:t>
      </w:r>
      <w:r>
        <w:rPr>
          <w:rFonts w:ascii="Aptos" w:hAnsi="Aptos"/>
          <w:spacing w:val="-3"/>
          <w:sz w:val="24"/>
        </w:rPr>
        <w:t xml:space="preserve"> </w:t>
      </w:r>
      <w:r>
        <w:rPr>
          <w:rFonts w:ascii="Arial;Helvetica;sans-serif" w:hAnsi="Arial;Helvetica;sans-serif"/>
          <w:sz w:val="20"/>
        </w:rPr>
        <w:t>the</w:t>
      </w:r>
      <w:r>
        <w:rPr>
          <w:rFonts w:ascii="Aptos" w:hAnsi="Aptos"/>
          <w:spacing w:val="-3"/>
          <w:sz w:val="24"/>
        </w:rPr>
        <w:t xml:space="preserve"> </w:t>
      </w:r>
      <w:r>
        <w:rPr>
          <w:rFonts w:ascii="Arial;Helvetica;sans-serif" w:hAnsi="Arial;Helvetica;sans-serif"/>
          <w:sz w:val="20"/>
        </w:rPr>
        <w:t>receipt</w:t>
      </w:r>
      <w:r>
        <w:rPr>
          <w:rFonts w:ascii="Aptos" w:hAnsi="Aptos"/>
          <w:spacing w:val="-3"/>
          <w:sz w:val="24"/>
        </w:rPr>
        <w:t xml:space="preserve"> </w:t>
      </w:r>
      <w:r>
        <w:rPr>
          <w:rFonts w:ascii="Arial;Helvetica;sans-serif" w:hAnsi="Arial;Helvetica;sans-serif"/>
          <w:sz w:val="20"/>
        </w:rPr>
        <w:t>of</w:t>
      </w:r>
      <w:r>
        <w:rPr>
          <w:rFonts w:ascii="Aptos" w:hAnsi="Aptos"/>
          <w:spacing w:val="-3"/>
          <w:sz w:val="24"/>
        </w:rPr>
        <w:t xml:space="preserve"> </w:t>
      </w:r>
      <w:r>
        <w:rPr>
          <w:rFonts w:ascii="Arial;Helvetica;sans-serif" w:hAnsi="Arial;Helvetica;sans-serif"/>
          <w:sz w:val="20"/>
        </w:rPr>
        <w:t>any</w:t>
      </w:r>
      <w:r>
        <w:rPr>
          <w:rFonts w:ascii="Aptos" w:hAnsi="Aptos"/>
          <w:spacing w:val="-3"/>
          <w:sz w:val="24"/>
        </w:rPr>
        <w:t xml:space="preserve"> </w:t>
      </w:r>
      <w:r>
        <w:rPr>
          <w:rFonts w:ascii="Arial;Helvetica;sans-serif" w:hAnsi="Arial;Helvetica;sans-serif"/>
          <w:sz w:val="20"/>
        </w:rPr>
        <w:t>payments</w:t>
      </w:r>
      <w:r>
        <w:rPr>
          <w:rFonts w:ascii="Aptos" w:hAnsi="Aptos"/>
          <w:spacing w:val="-3"/>
          <w:sz w:val="24"/>
        </w:rPr>
        <w:t xml:space="preserve"> </w:t>
      </w:r>
      <w:r>
        <w:rPr>
          <w:rFonts w:ascii="Arial;Helvetica;sans-serif" w:hAnsi="Arial;Helvetica;sans-serif"/>
          <w:sz w:val="20"/>
        </w:rPr>
        <w:t>hereunder would subject the Executive to tax under Internal Revenue Code (the "Code") Section 4999 or a successor provision, Executive shall have the option at his discretion to cause TTEC Parent or successor to reduce the payment due to Executive under this Agreement so that the net (after tax)</w:t>
      </w:r>
      <w:r>
        <w:rPr>
          <w:rFonts w:ascii="Aptos" w:hAnsi="Aptos"/>
          <w:spacing w:val="-2"/>
          <w:sz w:val="24"/>
        </w:rPr>
        <w:t xml:space="preserve"> </w:t>
      </w:r>
      <w:r>
        <w:rPr>
          <w:rFonts w:ascii="Arial;Helvetica;sans-serif" w:hAnsi="Arial;Helvetica;sans-serif"/>
          <w:sz w:val="20"/>
        </w:rPr>
        <w:t>benefit</w:t>
      </w:r>
      <w:r>
        <w:rPr>
          <w:rFonts w:ascii="Aptos" w:hAnsi="Aptos"/>
          <w:spacing w:val="-2"/>
          <w:sz w:val="24"/>
        </w:rPr>
        <w:t xml:space="preserve"> </w:t>
      </w:r>
      <w:r>
        <w:rPr>
          <w:rFonts w:ascii="Arial;Helvetica;sans-serif" w:hAnsi="Arial;Helvetica;sans-serif"/>
          <w:sz w:val="20"/>
        </w:rPr>
        <w:t>of</w:t>
      </w:r>
      <w:r>
        <w:rPr>
          <w:rFonts w:ascii="Aptos" w:hAnsi="Aptos"/>
          <w:spacing w:val="-2"/>
          <w:sz w:val="24"/>
        </w:rPr>
        <w:t xml:space="preserve"> </w:t>
      </w:r>
      <w:r>
        <w:rPr>
          <w:rFonts w:ascii="Arial;Helvetica;sans-serif" w:hAnsi="Arial;Helvetica;sans-serif"/>
          <w:sz w:val="20"/>
        </w:rPr>
        <w:t>the</w:t>
      </w:r>
      <w:r>
        <w:rPr>
          <w:rFonts w:ascii="Aptos" w:hAnsi="Aptos"/>
          <w:spacing w:val="-2"/>
          <w:sz w:val="24"/>
        </w:rPr>
        <w:t xml:space="preserve"> </w:t>
      </w:r>
      <w:r>
        <w:rPr>
          <w:rFonts w:ascii="Arial;Helvetica;sans-serif" w:hAnsi="Arial;Helvetica;sans-serif"/>
          <w:sz w:val="20"/>
        </w:rPr>
        <w:t>payments</w:t>
      </w:r>
      <w:r>
        <w:rPr>
          <w:rFonts w:ascii="Aptos" w:hAnsi="Aptos"/>
          <w:spacing w:val="-2"/>
          <w:sz w:val="24"/>
        </w:rPr>
        <w:t xml:space="preserve"> </w:t>
      </w:r>
      <w:r>
        <w:rPr>
          <w:rFonts w:ascii="Arial;Helvetica;sans-serif" w:hAnsi="Arial;Helvetica;sans-serif"/>
          <w:sz w:val="20"/>
        </w:rPr>
        <w:t>to</w:t>
      </w:r>
      <w:r>
        <w:rPr>
          <w:rFonts w:ascii="Aptos" w:hAnsi="Aptos"/>
          <w:spacing w:val="-2"/>
          <w:sz w:val="24"/>
        </w:rPr>
        <w:t xml:space="preserve"> </w:t>
      </w:r>
      <w:r>
        <w:rPr>
          <w:rFonts w:ascii="Arial;Helvetica;sans-serif" w:hAnsi="Arial;Helvetica;sans-serif"/>
          <w:sz w:val="20"/>
        </w:rPr>
        <w:t>Executive</w:t>
      </w:r>
      <w:r>
        <w:rPr>
          <w:rFonts w:ascii="Aptos" w:hAnsi="Aptos"/>
          <w:spacing w:val="-2"/>
          <w:sz w:val="24"/>
        </w:rPr>
        <w:t xml:space="preserve"> </w:t>
      </w:r>
      <w:r>
        <w:rPr>
          <w:rFonts w:ascii="Arial;Helvetica;sans-serif" w:hAnsi="Arial;Helvetica;sans-serif"/>
          <w:sz w:val="20"/>
        </w:rPr>
        <w:t>is</w:t>
      </w:r>
      <w:r>
        <w:rPr>
          <w:rFonts w:ascii="Aptos" w:hAnsi="Aptos"/>
          <w:spacing w:val="-2"/>
          <w:sz w:val="24"/>
        </w:rPr>
        <w:t xml:space="preserve"> </w:t>
      </w:r>
      <w:r>
        <w:rPr>
          <w:rFonts w:ascii="Arial;Helvetica;sans-serif" w:hAnsi="Arial;Helvetica;sans-serif"/>
          <w:sz w:val="20"/>
        </w:rPr>
        <w:t>maximized</w:t>
      </w:r>
      <w:r>
        <w:rPr>
          <w:rFonts w:ascii="Aptos" w:hAnsi="Aptos"/>
          <w:spacing w:val="-2"/>
          <w:sz w:val="24"/>
        </w:rPr>
        <w:t xml:space="preserve"> </w:t>
      </w:r>
      <w:r>
        <w:rPr>
          <w:rFonts w:ascii="Arial;Helvetica;sans-serif" w:hAnsi="Arial;Helvetica;sans-serif"/>
          <w:sz w:val="20"/>
        </w:rPr>
        <w:t>("Reduced</w:t>
      </w:r>
      <w:r>
        <w:rPr>
          <w:rFonts w:ascii="Aptos" w:hAnsi="Aptos"/>
          <w:spacing w:val="-2"/>
          <w:sz w:val="24"/>
        </w:rPr>
        <w:t xml:space="preserve"> </w:t>
      </w:r>
      <w:r>
        <w:rPr>
          <w:rFonts w:ascii="Arial;Helvetica;sans-serif" w:hAnsi="Arial;Helvetica;sans-serif"/>
          <w:sz w:val="20"/>
        </w:rPr>
        <w:t>Payment</w:t>
      </w:r>
      <w:r>
        <w:rPr>
          <w:rFonts w:ascii="Aptos" w:hAnsi="Aptos"/>
          <w:spacing w:val="-2"/>
          <w:sz w:val="24"/>
        </w:rPr>
        <w:t xml:space="preserve"> </w:t>
      </w:r>
      <w:r>
        <w:rPr>
          <w:rFonts w:ascii="Arial;Helvetica;sans-serif" w:hAnsi="Arial;Helvetica;sans-serif"/>
          <w:sz w:val="20"/>
        </w:rPr>
        <w:t>Election").</w:t>
      </w:r>
      <w:r>
        <w:rPr>
          <w:rFonts w:ascii="Aptos" w:hAnsi="Aptos"/>
          <w:spacing w:val="-2"/>
          <w:sz w:val="24"/>
        </w:rPr>
        <w:t xml:space="preserve"> </w:t>
      </w:r>
      <w:r>
        <w:rPr>
          <w:rFonts w:ascii="Arial;Helvetica;sans-serif" w:hAnsi="Arial;Helvetica;sans-serif"/>
          <w:sz w:val="20"/>
        </w:rPr>
        <w:t>Executive shall have forty-five (45) calendar days from receipt of notice of the payment due under this Agreement or the payment itself under this Agreement, as the case may be, to advise TTEC Parent or successor of such election.</w:t>
      </w:r>
    </w:p>
    <w:p>
      <w:pPr>
        <w:pStyle w:val="TextBody"/>
        <w:bidi w:val="0"/>
        <w:spacing w:lineRule="auto" w:line="285" w:before="2" w:after="0"/>
        <w:ind w:left="720" w:right="357" w:hanging="0"/>
        <w:jc w:val="left"/>
        <w:rPr>
          <w:rFonts w:ascii="Aptos" w:hAnsi="Aptos"/>
          <w:sz w:val="24"/>
        </w:rPr>
      </w:pPr>
      <w:r>
        <w:rPr>
          <w:rFonts w:ascii="Arial;Helvetica;sans-serif" w:hAnsi="Arial;Helvetica;sans-serif"/>
          <w:sz w:val="20"/>
        </w:rPr>
        <w:t>(ii)If Executive accepts the full payment hereunder and thereafter, within the period provided</w:t>
      </w:r>
      <w:r>
        <w:rPr>
          <w:rFonts w:ascii="Aptos" w:hAnsi="Aptos"/>
          <w:spacing w:val="-3"/>
          <w:sz w:val="24"/>
        </w:rPr>
        <w:t xml:space="preserve"> </w:t>
      </w:r>
      <w:r>
        <w:rPr>
          <w:rFonts w:ascii="Arial;Helvetica;sans-serif" w:hAnsi="Arial;Helvetica;sans-serif"/>
          <w:sz w:val="20"/>
        </w:rPr>
        <w:t>above,</w:t>
      </w:r>
      <w:r>
        <w:rPr>
          <w:rFonts w:ascii="Aptos" w:hAnsi="Aptos"/>
          <w:spacing w:val="-3"/>
          <w:sz w:val="24"/>
        </w:rPr>
        <w:t xml:space="preserve"> </w:t>
      </w:r>
      <w:r>
        <w:rPr>
          <w:rFonts w:ascii="Arial;Helvetica;sans-serif" w:hAnsi="Arial;Helvetica;sans-serif"/>
          <w:sz w:val="20"/>
        </w:rPr>
        <w:t>determines</w:t>
      </w:r>
      <w:r>
        <w:rPr>
          <w:rFonts w:ascii="Aptos" w:hAnsi="Aptos"/>
          <w:spacing w:val="-3"/>
          <w:sz w:val="24"/>
        </w:rPr>
        <w:t xml:space="preserve"> </w:t>
      </w:r>
      <w:r>
        <w:rPr>
          <w:rFonts w:ascii="Arial;Helvetica;sans-serif" w:hAnsi="Arial;Helvetica;sans-serif"/>
          <w:sz w:val="20"/>
        </w:rPr>
        <w:t>that</w:t>
      </w:r>
      <w:r>
        <w:rPr>
          <w:rFonts w:ascii="Aptos" w:hAnsi="Aptos"/>
          <w:spacing w:val="-3"/>
          <w:sz w:val="24"/>
        </w:rPr>
        <w:t xml:space="preserve"> </w:t>
      </w:r>
      <w:r>
        <w:rPr>
          <w:rFonts w:ascii="Arial;Helvetica;sans-serif" w:hAnsi="Arial;Helvetica;sans-serif"/>
          <w:sz w:val="20"/>
        </w:rPr>
        <w:t>he</w:t>
      </w:r>
      <w:r>
        <w:rPr>
          <w:rFonts w:ascii="Aptos" w:hAnsi="Aptos"/>
          <w:spacing w:val="-3"/>
          <w:sz w:val="24"/>
        </w:rPr>
        <w:t xml:space="preserve"> </w:t>
      </w:r>
      <w:r>
        <w:rPr>
          <w:rFonts w:ascii="Arial;Helvetica;sans-serif" w:hAnsi="Arial;Helvetica;sans-serif"/>
          <w:sz w:val="20"/>
        </w:rPr>
        <w:t>wants</w:t>
      </w:r>
      <w:r>
        <w:rPr>
          <w:rFonts w:ascii="Aptos" w:hAnsi="Aptos"/>
          <w:spacing w:val="-3"/>
          <w:sz w:val="24"/>
        </w:rPr>
        <w:t xml:space="preserve"> </w:t>
      </w:r>
      <w:r>
        <w:rPr>
          <w:rFonts w:ascii="Arial;Helvetica;sans-serif" w:hAnsi="Arial;Helvetica;sans-serif"/>
          <w:sz w:val="20"/>
        </w:rPr>
        <w:t>to</w:t>
      </w:r>
      <w:r>
        <w:rPr>
          <w:rFonts w:ascii="Aptos" w:hAnsi="Aptos"/>
          <w:spacing w:val="-3"/>
          <w:sz w:val="24"/>
        </w:rPr>
        <w:t xml:space="preserve"> </w:t>
      </w:r>
      <w:r>
        <w:rPr>
          <w:rFonts w:ascii="Arial;Helvetica;sans-serif" w:hAnsi="Arial;Helvetica;sans-serif"/>
          <w:sz w:val="20"/>
        </w:rPr>
        <w:t>make</w:t>
      </w:r>
      <w:r>
        <w:rPr>
          <w:rFonts w:ascii="Aptos" w:hAnsi="Aptos"/>
          <w:spacing w:val="-3"/>
          <w:sz w:val="24"/>
        </w:rPr>
        <w:t xml:space="preserve"> </w:t>
      </w:r>
      <w:r>
        <w:rPr>
          <w:rFonts w:ascii="Arial;Helvetica;sans-serif" w:hAnsi="Arial;Helvetica;sans-serif"/>
          <w:sz w:val="20"/>
        </w:rPr>
        <w:t>the</w:t>
      </w:r>
      <w:r>
        <w:rPr>
          <w:rFonts w:ascii="Aptos" w:hAnsi="Aptos"/>
          <w:spacing w:val="-3"/>
          <w:sz w:val="24"/>
        </w:rPr>
        <w:t xml:space="preserve"> </w:t>
      </w:r>
      <w:r>
        <w:rPr>
          <w:rFonts w:ascii="Arial;Helvetica;sans-serif" w:hAnsi="Arial;Helvetica;sans-serif"/>
          <w:sz w:val="20"/>
        </w:rPr>
        <w:t>Reduced</w:t>
      </w:r>
      <w:r>
        <w:rPr>
          <w:rFonts w:ascii="Aptos" w:hAnsi="Aptos"/>
          <w:spacing w:val="-3"/>
          <w:sz w:val="24"/>
        </w:rPr>
        <w:t xml:space="preserve"> </w:t>
      </w:r>
      <w:r>
        <w:rPr>
          <w:rFonts w:ascii="Arial;Helvetica;sans-serif" w:hAnsi="Arial;Helvetica;sans-serif"/>
          <w:sz w:val="20"/>
        </w:rPr>
        <w:t>Payment</w:t>
      </w:r>
      <w:r>
        <w:rPr>
          <w:rFonts w:ascii="Aptos" w:hAnsi="Aptos"/>
          <w:spacing w:val="-3"/>
          <w:sz w:val="24"/>
        </w:rPr>
        <w:t xml:space="preserve"> </w:t>
      </w:r>
      <w:r>
        <w:rPr>
          <w:rFonts w:ascii="Arial;Helvetica;sans-serif" w:hAnsi="Arial;Helvetica;sans-serif"/>
          <w:sz w:val="20"/>
        </w:rPr>
        <w:t>Election,</w:t>
      </w:r>
      <w:r>
        <w:rPr>
          <w:rFonts w:ascii="Aptos" w:hAnsi="Aptos"/>
          <w:spacing w:val="-3"/>
          <w:sz w:val="24"/>
        </w:rPr>
        <w:t xml:space="preserve"> </w:t>
      </w:r>
      <w:r>
        <w:rPr>
          <w:rFonts w:ascii="Arial;Helvetica;sans-serif" w:hAnsi="Arial;Helvetica;sans-serif"/>
          <w:sz w:val="20"/>
        </w:rPr>
        <w:t>any</w:t>
      </w:r>
      <w:r>
        <w:rPr>
          <w:rFonts w:ascii="Aptos" w:hAnsi="Aptos"/>
          <w:spacing w:val="-3"/>
          <w:sz w:val="24"/>
        </w:rPr>
        <w:t xml:space="preserve"> </w:t>
      </w:r>
      <w:r>
        <w:rPr>
          <w:rFonts w:ascii="Arial;Helvetica;sans-serif" w:hAnsi="Arial;Helvetica;sans-serif"/>
          <w:sz w:val="20"/>
        </w:rPr>
        <w:t>payments received by Executive in excess of the amount payable under Reduced Payment Election shall</w:t>
      </w:r>
      <w:r>
        <w:rPr>
          <w:rFonts w:ascii="Aptos" w:hAnsi="Aptos"/>
          <w:spacing w:val="40"/>
          <w:sz w:val="24"/>
        </w:rPr>
        <w:t xml:space="preserve"> </w:t>
      </w:r>
      <w:r>
        <w:rPr>
          <w:rFonts w:ascii="Arial;Helvetica;sans-serif" w:hAnsi="Arial;Helvetica;sans-serif"/>
          <w:sz w:val="20"/>
        </w:rPr>
        <w:t>be treated for all purposes as a loan ab initio to Executive, which Executive shall repay to TTEC Parent or successor, together with appropriate interest at the applicable federal rate provided for in Section 7872(f)(2) of the Code, within sixty (60) days of the Reduced Payment Election.</w:t>
      </w:r>
    </w:p>
    <w:p>
      <w:pPr>
        <w:pStyle w:val="TextBody"/>
        <w:bidi w:val="0"/>
        <w:spacing w:lineRule="auto" w:line="285" w:before="199" w:after="283"/>
        <w:ind w:left="720" w:right="584" w:hanging="0"/>
        <w:jc w:val="left"/>
        <w:rPr>
          <w:rFonts w:ascii="Aptos" w:hAnsi="Aptos"/>
          <w:sz w:val="24"/>
        </w:rPr>
      </w:pPr>
      <w:r>
        <w:rPr>
          <w:rFonts w:ascii="Arial;Helvetica;sans-serif" w:hAnsi="Arial;Helvetica;sans-serif"/>
          <w:sz w:val="20"/>
        </w:rPr>
        <w:t>(iii)Nothing</w:t>
      </w:r>
      <w:r>
        <w:rPr>
          <w:rFonts w:ascii="Aptos" w:hAnsi="Aptos"/>
          <w:spacing w:val="-3"/>
          <w:sz w:val="24"/>
        </w:rPr>
        <w:t xml:space="preserve"> </w:t>
      </w:r>
      <w:r>
        <w:rPr>
          <w:rFonts w:ascii="Arial;Helvetica;sans-serif" w:hAnsi="Arial;Helvetica;sans-serif"/>
          <w:sz w:val="20"/>
        </w:rPr>
        <w:t>in</w:t>
      </w:r>
      <w:r>
        <w:rPr>
          <w:rFonts w:ascii="Aptos" w:hAnsi="Aptos"/>
          <w:spacing w:val="-3"/>
          <w:sz w:val="24"/>
        </w:rPr>
        <w:t xml:space="preserve"> </w:t>
      </w:r>
      <w:r>
        <w:rPr>
          <w:rFonts w:ascii="Arial;Helvetica;sans-serif" w:hAnsi="Arial;Helvetica;sans-serif"/>
          <w:sz w:val="20"/>
        </w:rPr>
        <w:t>this</w:t>
      </w:r>
      <w:r>
        <w:rPr>
          <w:rFonts w:ascii="Aptos" w:hAnsi="Aptos"/>
          <w:spacing w:val="-3"/>
          <w:sz w:val="24"/>
        </w:rPr>
        <w:t xml:space="preserve"> </w:t>
      </w:r>
      <w:r>
        <w:rPr>
          <w:rFonts w:ascii="Arial;Helvetica;sans-serif" w:hAnsi="Arial;Helvetica;sans-serif"/>
          <w:sz w:val="20"/>
        </w:rPr>
        <w:t>Section</w:t>
      </w:r>
      <w:r>
        <w:rPr>
          <w:rFonts w:ascii="Aptos" w:hAnsi="Aptos"/>
          <w:spacing w:val="-3"/>
          <w:sz w:val="24"/>
        </w:rPr>
        <w:t xml:space="preserve"> </w:t>
      </w:r>
      <w:r>
        <w:rPr>
          <w:rFonts w:ascii="Arial;Helvetica;sans-serif" w:hAnsi="Arial;Helvetica;sans-serif"/>
          <w:sz w:val="20"/>
        </w:rPr>
        <w:t>6(j)</w:t>
      </w:r>
      <w:r>
        <w:rPr>
          <w:rFonts w:ascii="Aptos" w:hAnsi="Aptos"/>
          <w:spacing w:val="-3"/>
          <w:sz w:val="24"/>
        </w:rPr>
        <w:t xml:space="preserve"> </w:t>
      </w:r>
      <w:r>
        <w:rPr>
          <w:rFonts w:ascii="Arial;Helvetica;sans-serif" w:hAnsi="Arial;Helvetica;sans-serif"/>
          <w:sz w:val="20"/>
        </w:rPr>
        <w:t>shall</w:t>
      </w:r>
      <w:r>
        <w:rPr>
          <w:rFonts w:ascii="Aptos" w:hAnsi="Aptos"/>
          <w:spacing w:val="-3"/>
          <w:sz w:val="24"/>
        </w:rPr>
        <w:t xml:space="preserve"> </w:t>
      </w:r>
      <w:r>
        <w:rPr>
          <w:rFonts w:ascii="Arial;Helvetica;sans-serif" w:hAnsi="Arial;Helvetica;sans-serif"/>
          <w:sz w:val="20"/>
        </w:rPr>
        <w:t>be</w:t>
      </w:r>
      <w:r>
        <w:rPr>
          <w:rFonts w:ascii="Aptos" w:hAnsi="Aptos"/>
          <w:spacing w:val="-3"/>
          <w:sz w:val="24"/>
        </w:rPr>
        <w:t xml:space="preserve"> </w:t>
      </w:r>
      <w:r>
        <w:rPr>
          <w:rFonts w:ascii="Arial;Helvetica;sans-serif" w:hAnsi="Arial;Helvetica;sans-serif"/>
          <w:sz w:val="20"/>
        </w:rPr>
        <w:t>interpreted</w:t>
      </w:r>
      <w:r>
        <w:rPr>
          <w:rFonts w:ascii="Aptos" w:hAnsi="Aptos"/>
          <w:spacing w:val="-3"/>
          <w:sz w:val="24"/>
        </w:rPr>
        <w:t xml:space="preserve"> </w:t>
      </w:r>
      <w:r>
        <w:rPr>
          <w:rFonts w:ascii="Arial;Helvetica;sans-serif" w:hAnsi="Arial;Helvetica;sans-serif"/>
          <w:sz w:val="20"/>
        </w:rPr>
        <w:t>to</w:t>
      </w:r>
      <w:r>
        <w:rPr>
          <w:rFonts w:ascii="Aptos" w:hAnsi="Aptos"/>
          <w:spacing w:val="-3"/>
          <w:sz w:val="24"/>
        </w:rPr>
        <w:t xml:space="preserve"> </w:t>
      </w:r>
      <w:r>
        <w:rPr>
          <w:rFonts w:ascii="Arial;Helvetica;sans-serif" w:hAnsi="Arial;Helvetica;sans-serif"/>
          <w:sz w:val="20"/>
        </w:rPr>
        <w:t>compel</w:t>
      </w:r>
      <w:r>
        <w:rPr>
          <w:rFonts w:ascii="Aptos" w:hAnsi="Aptos"/>
          <w:spacing w:val="-3"/>
          <w:sz w:val="24"/>
        </w:rPr>
        <w:t xml:space="preserve"> </w:t>
      </w:r>
      <w:r>
        <w:rPr>
          <w:rFonts w:ascii="Arial;Helvetica;sans-serif" w:hAnsi="Arial;Helvetica;sans-serif"/>
          <w:sz w:val="20"/>
        </w:rPr>
        <w:t>the</w:t>
      </w:r>
      <w:r>
        <w:rPr>
          <w:rFonts w:ascii="Aptos" w:hAnsi="Aptos"/>
          <w:spacing w:val="-3"/>
          <w:sz w:val="24"/>
        </w:rPr>
        <w:t xml:space="preserve"> </w:t>
      </w:r>
      <w:r>
        <w:rPr>
          <w:rFonts w:ascii="Arial;Helvetica;sans-serif" w:hAnsi="Arial;Helvetica;sans-serif"/>
          <w:sz w:val="20"/>
        </w:rPr>
        <w:t>Executive</w:t>
      </w:r>
      <w:r>
        <w:rPr>
          <w:rFonts w:ascii="Aptos" w:hAnsi="Aptos"/>
          <w:spacing w:val="-3"/>
          <w:sz w:val="24"/>
        </w:rPr>
        <w:t xml:space="preserve"> </w:t>
      </w:r>
      <w:r>
        <w:rPr>
          <w:rFonts w:ascii="Arial;Helvetica;sans-serif" w:hAnsi="Arial;Helvetica;sans-serif"/>
          <w:sz w:val="20"/>
        </w:rPr>
        <w:t>to</w:t>
      </w:r>
      <w:r>
        <w:rPr>
          <w:rFonts w:ascii="Aptos" w:hAnsi="Aptos"/>
          <w:spacing w:val="-3"/>
          <w:sz w:val="24"/>
        </w:rPr>
        <w:t xml:space="preserve"> </w:t>
      </w:r>
      <w:r>
        <w:rPr>
          <w:rFonts w:ascii="Arial;Helvetica;sans-serif" w:hAnsi="Arial;Helvetica;sans-serif"/>
          <w:sz w:val="20"/>
        </w:rPr>
        <w:t>make</w:t>
      </w:r>
      <w:r>
        <w:rPr>
          <w:rFonts w:ascii="Aptos" w:hAnsi="Aptos"/>
          <w:spacing w:val="-3"/>
          <w:sz w:val="24"/>
        </w:rPr>
        <w:t xml:space="preserve"> </w:t>
      </w:r>
      <w:r>
        <w:rPr>
          <w:rFonts w:ascii="Arial;Helvetica;sans-serif" w:hAnsi="Arial;Helvetica;sans-serif"/>
          <w:sz w:val="20"/>
        </w:rPr>
        <w:t>the Reduced Payment Election.</w:t>
      </w:r>
    </w:p>
    <w:p>
      <w:pPr>
        <w:pStyle w:val="TextBody"/>
        <w:bidi w:val="0"/>
        <w:spacing w:lineRule="auto" w:line="285" w:before="0" w:after="0"/>
        <w:ind w:left="0" w:right="0" w:hanging="0"/>
        <w:jc w:val="right"/>
        <w:rPr>
          <w:rFonts w:ascii="Arial;Helvetica;sans-serif" w:hAnsi="Arial;Helvetica;sans-serif"/>
          <w:sz w:val="22"/>
        </w:rPr>
      </w:pPr>
      <w:r>
        <w:rPr>
          <w:rFonts w:ascii="Arial;Helvetica;sans-serif" w:hAnsi="Arial;Helvetica;sans-serif"/>
          <w:sz w:val="22"/>
        </w:rPr>
        <w:t xml:space="preserve">Page </w:t>
      </w:r>
      <w:r>
        <w:rPr>
          <w:rFonts w:ascii="Arial;Helvetica;sans-serif" w:hAnsi="Arial;Helvetica;sans-serif"/>
          <w:b/>
          <w:sz w:val="22"/>
        </w:rPr>
        <w:t>13</w:t>
      </w:r>
      <w:r>
        <w:rPr>
          <w:rFonts w:ascii="Arial;Helvetica;sans-serif" w:hAnsi="Arial;Helvetica;sans-serif"/>
          <w:sz w:val="22"/>
        </w:rPr>
        <w:t xml:space="preserve"> of </w:t>
      </w:r>
      <w:r>
        <w:rPr>
          <w:rFonts w:ascii="Arial;Helvetica;sans-serif" w:hAnsi="Arial;Helvetica;sans-serif"/>
          <w:b/>
          <w:sz w:val="22"/>
        </w:rPr>
        <w:t>15</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85" w:after="0"/>
        <w:ind w:left="360" w:right="370" w:hanging="0"/>
        <w:jc w:val="left"/>
        <w:rPr>
          <w:rFonts w:ascii="Aptos" w:hAnsi="Aptos"/>
          <w:sz w:val="24"/>
        </w:rPr>
      </w:pPr>
      <w:r>
        <w:rPr>
          <w:rFonts w:ascii="Arial;Helvetica;sans-serif" w:hAnsi="Arial;Helvetica;sans-serif"/>
          <w:sz w:val="20"/>
        </w:rPr>
        <w:t>k.</w:t>
      </w:r>
      <w:r>
        <w:rPr>
          <w:rFonts w:ascii="Arial;Helvetica;sans-serif" w:hAnsi="Arial;Helvetica;sans-serif"/>
          <w:b/>
          <w:sz w:val="20"/>
        </w:rPr>
        <w:t xml:space="preserve">Assignment and Assumption of Agreement. </w:t>
      </w:r>
      <w:r>
        <w:rPr>
          <w:rFonts w:ascii="Arial;Helvetica;sans-serif" w:hAnsi="Arial;Helvetica;sans-serif"/>
          <w:sz w:val="20"/>
        </w:rPr>
        <w:t>Concurrently with any Change in Control event or a</w:t>
      </w:r>
      <w:r>
        <w:rPr>
          <w:rFonts w:ascii="Aptos" w:hAnsi="Aptos"/>
          <w:spacing w:val="-3"/>
          <w:sz w:val="24"/>
        </w:rPr>
        <w:t xml:space="preserve"> </w:t>
      </w:r>
      <w:r>
        <w:rPr>
          <w:rFonts w:ascii="Arial;Helvetica;sans-serif" w:hAnsi="Arial;Helvetica;sans-serif"/>
          <w:sz w:val="20"/>
        </w:rPr>
        <w:t>business</w:t>
      </w:r>
      <w:r>
        <w:rPr>
          <w:rFonts w:ascii="Aptos" w:hAnsi="Aptos"/>
          <w:spacing w:val="-3"/>
          <w:sz w:val="24"/>
        </w:rPr>
        <w:t xml:space="preserve"> </w:t>
      </w:r>
      <w:r>
        <w:rPr>
          <w:rFonts w:ascii="Arial;Helvetica;sans-serif" w:hAnsi="Arial;Helvetica;sans-serif"/>
          <w:sz w:val="20"/>
        </w:rPr>
        <w:t>combination</w:t>
      </w:r>
      <w:r>
        <w:rPr>
          <w:rFonts w:ascii="Aptos" w:hAnsi="Aptos"/>
          <w:spacing w:val="-3"/>
          <w:sz w:val="24"/>
        </w:rPr>
        <w:t xml:space="preserve"> </w:t>
      </w:r>
      <w:r>
        <w:rPr>
          <w:rFonts w:ascii="Arial;Helvetica;sans-serif" w:hAnsi="Arial;Helvetica;sans-serif"/>
          <w:sz w:val="20"/>
        </w:rPr>
        <w:t>that</w:t>
      </w:r>
      <w:r>
        <w:rPr>
          <w:rFonts w:ascii="Aptos" w:hAnsi="Aptos"/>
          <w:spacing w:val="-3"/>
          <w:sz w:val="24"/>
        </w:rPr>
        <w:t xml:space="preserve"> </w:t>
      </w:r>
      <w:r>
        <w:rPr>
          <w:rFonts w:ascii="Arial;Helvetica;sans-serif" w:hAnsi="Arial;Helvetica;sans-serif"/>
          <w:sz w:val="20"/>
        </w:rPr>
        <w:t>may</w:t>
      </w:r>
      <w:r>
        <w:rPr>
          <w:rFonts w:ascii="Aptos" w:hAnsi="Aptos"/>
          <w:spacing w:val="-3"/>
          <w:sz w:val="24"/>
        </w:rPr>
        <w:t xml:space="preserve"> </w:t>
      </w:r>
      <w:r>
        <w:rPr>
          <w:rFonts w:ascii="Arial;Helvetica;sans-serif" w:hAnsi="Arial;Helvetica;sans-serif"/>
          <w:sz w:val="20"/>
        </w:rPr>
        <w:t>impact</w:t>
      </w:r>
      <w:r>
        <w:rPr>
          <w:rFonts w:ascii="Aptos" w:hAnsi="Aptos"/>
          <w:spacing w:val="-3"/>
          <w:sz w:val="24"/>
        </w:rPr>
        <w:t xml:space="preserve"> </w:t>
      </w:r>
      <w:r>
        <w:rPr>
          <w:rFonts w:ascii="Arial;Helvetica;sans-serif" w:hAnsi="Arial;Helvetica;sans-serif"/>
          <w:sz w:val="20"/>
        </w:rPr>
        <w:t>the</w:t>
      </w:r>
      <w:r>
        <w:rPr>
          <w:rFonts w:ascii="Aptos" w:hAnsi="Aptos"/>
          <w:spacing w:val="-3"/>
          <w:sz w:val="24"/>
        </w:rPr>
        <w:t xml:space="preserve"> </w:t>
      </w:r>
      <w:r>
        <w:rPr>
          <w:rFonts w:ascii="Arial;Helvetica;sans-serif" w:hAnsi="Arial;Helvetica;sans-serif"/>
          <w:sz w:val="20"/>
        </w:rPr>
        <w:t>legal</w:t>
      </w:r>
      <w:r>
        <w:rPr>
          <w:rFonts w:ascii="Aptos" w:hAnsi="Aptos"/>
          <w:spacing w:val="-3"/>
          <w:sz w:val="24"/>
        </w:rPr>
        <w:t xml:space="preserve"> </w:t>
      </w:r>
      <w:r>
        <w:rPr>
          <w:rFonts w:ascii="Arial;Helvetica;sans-serif" w:hAnsi="Arial;Helvetica;sans-serif"/>
          <w:sz w:val="20"/>
        </w:rPr>
        <w:t>implications</w:t>
      </w:r>
      <w:r>
        <w:rPr>
          <w:rFonts w:ascii="Aptos" w:hAnsi="Aptos"/>
          <w:spacing w:val="-3"/>
          <w:sz w:val="24"/>
        </w:rPr>
        <w:t xml:space="preserve"> </w:t>
      </w:r>
      <w:r>
        <w:rPr>
          <w:rFonts w:ascii="Arial;Helvetica;sans-serif" w:hAnsi="Arial;Helvetica;sans-serif"/>
          <w:sz w:val="20"/>
        </w:rPr>
        <w:t>of</w:t>
      </w:r>
      <w:r>
        <w:rPr>
          <w:rFonts w:ascii="Aptos" w:hAnsi="Aptos"/>
          <w:spacing w:val="-3"/>
          <w:sz w:val="24"/>
        </w:rPr>
        <w:t xml:space="preserve"> </w:t>
      </w:r>
      <w:r>
        <w:rPr>
          <w:rFonts w:ascii="Arial;Helvetica;sans-serif" w:hAnsi="Arial;Helvetica;sans-serif"/>
          <w:sz w:val="20"/>
        </w:rPr>
        <w:t>this</w:t>
      </w:r>
      <w:r>
        <w:rPr>
          <w:rFonts w:ascii="Aptos" w:hAnsi="Aptos"/>
          <w:spacing w:val="-3"/>
          <w:sz w:val="24"/>
        </w:rPr>
        <w:t xml:space="preserve"> </w:t>
      </w:r>
      <w:r>
        <w:rPr>
          <w:rFonts w:ascii="Arial;Helvetica;sans-serif" w:hAnsi="Arial;Helvetica;sans-serif"/>
          <w:sz w:val="20"/>
        </w:rPr>
        <w:t>Agreement,</w:t>
      </w:r>
      <w:r>
        <w:rPr>
          <w:rFonts w:ascii="Aptos" w:hAnsi="Aptos"/>
          <w:spacing w:val="-3"/>
          <w:sz w:val="24"/>
        </w:rPr>
        <w:t xml:space="preserve"> </w:t>
      </w:r>
      <w:r>
        <w:rPr>
          <w:rFonts w:ascii="Arial;Helvetica;sans-serif" w:hAnsi="Arial;Helvetica;sans-serif"/>
          <w:sz w:val="20"/>
        </w:rPr>
        <w:t>the</w:t>
      </w:r>
      <w:r>
        <w:rPr>
          <w:rFonts w:ascii="Aptos" w:hAnsi="Aptos"/>
          <w:spacing w:val="-3"/>
          <w:sz w:val="24"/>
        </w:rPr>
        <w:t xml:space="preserve"> </w:t>
      </w:r>
      <w:r>
        <w:rPr>
          <w:rFonts w:ascii="Arial;Helvetica;sans-serif" w:hAnsi="Arial;Helvetica;sans-serif"/>
          <w:sz w:val="20"/>
        </w:rPr>
        <w:t>Company</w:t>
      </w:r>
      <w:r>
        <w:rPr>
          <w:rFonts w:ascii="Aptos" w:hAnsi="Aptos"/>
          <w:spacing w:val="-3"/>
          <w:sz w:val="24"/>
        </w:rPr>
        <w:t xml:space="preserve"> </w:t>
      </w:r>
      <w:r>
        <w:rPr>
          <w:rFonts w:ascii="Arial;Helvetica;sans-serif" w:hAnsi="Arial;Helvetica;sans-serif"/>
          <w:sz w:val="20"/>
        </w:rPr>
        <w:t xml:space="preserve">or TTEC Parent shall cause any successor or transferee to assume unconditionally, by written instrument delivered to Executive, all of the obligations of the Company and TTEC Parent </w:t>
      </w:r>
      <w:r>
        <w:rPr>
          <w:rFonts w:ascii="Arial;Helvetica;sans-serif" w:hAnsi="Arial;Helvetica;sans-serif"/>
          <w:spacing w:val="-2"/>
          <w:sz w:val="20"/>
        </w:rPr>
        <w:t>hereunder.</w:t>
      </w:r>
    </w:p>
    <w:tbl>
      <w:tblPr>
        <w:tblW w:w="10205" w:type="dxa"/>
        <w:jc w:val="left"/>
        <w:tblInd w:w="0" w:type="dxa"/>
        <w:tblLayout w:type="fixed"/>
        <w:tblCellMar>
          <w:top w:w="0" w:type="dxa"/>
          <w:left w:w="0" w:type="dxa"/>
          <w:bottom w:w="0" w:type="dxa"/>
          <w:right w:w="0" w:type="dxa"/>
        </w:tblCellMar>
      </w:tblPr>
      <w:tblGrid>
        <w:gridCol w:w="23"/>
        <w:gridCol w:w="125"/>
        <w:gridCol w:w="10034"/>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w:t>
            </w:r>
          </w:p>
        </w:tc>
        <w:tc>
          <w:tcPr>
            <w:tcW w:w="10034"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 xml:space="preserve">Controlling Provisions. </w:t>
            </w:r>
            <w:r>
              <w:rPr>
                <w:rFonts w:ascii="Arial;Helvetica;sans-serif" w:hAnsi="Arial;Helvetica;sans-serif"/>
                <w:b w:val="false"/>
                <w:i w:val="false"/>
                <w:caps w:val="false"/>
                <w:smallCaps w:val="false"/>
                <w:sz w:val="20"/>
              </w:rPr>
              <w:t>The employment arrangement contemplated by this Agreement includes other related documents in addition to this Executive Employment Agreement, some of which are TTEC Parent and the Company's standard documents not otherwise tailored to this transaction. To the extent any provisions of these related agreements contradict the clear provisions</w:t>
            </w:r>
            <w:r>
              <w:rPr>
                <w:caps w:val="false"/>
                <w:smallCaps w:val="false"/>
                <w:spacing w:val="-4"/>
              </w:rPr>
              <w:t xml:space="preserve"> </w:t>
            </w:r>
            <w:r>
              <w:rPr>
                <w:rFonts w:ascii="Arial;Helvetica;sans-serif" w:hAnsi="Arial;Helvetica;sans-serif"/>
                <w:b w:val="false"/>
                <w:i w:val="false"/>
                <w:caps w:val="false"/>
                <w:smallCaps w:val="false"/>
                <w:sz w:val="20"/>
              </w:rPr>
              <w:t>and</w:t>
            </w:r>
            <w:r>
              <w:rPr>
                <w:caps w:val="false"/>
                <w:smallCaps w:val="false"/>
                <w:spacing w:val="-4"/>
              </w:rPr>
              <w:t xml:space="preserve"> </w:t>
            </w:r>
            <w:r>
              <w:rPr>
                <w:rFonts w:ascii="Arial;Helvetica;sans-serif" w:hAnsi="Arial;Helvetica;sans-serif"/>
                <w:b w:val="false"/>
                <w:i w:val="false"/>
                <w:caps w:val="false"/>
                <w:smallCaps w:val="false"/>
                <w:sz w:val="20"/>
              </w:rPr>
              <w:t>terms</w:t>
            </w:r>
            <w:r>
              <w:rPr>
                <w:caps w:val="false"/>
                <w:smallCaps w:val="false"/>
                <w:spacing w:val="-4"/>
              </w:rPr>
              <w:t xml:space="preserve"> </w:t>
            </w:r>
            <w:r>
              <w:rPr>
                <w:rFonts w:ascii="Arial;Helvetica;sans-serif" w:hAnsi="Arial;Helvetica;sans-serif"/>
                <w:b w:val="false"/>
                <w:i w:val="false"/>
                <w:caps w:val="false"/>
                <w:smallCaps w:val="false"/>
                <w:sz w:val="20"/>
              </w:rPr>
              <w:t>of</w:t>
            </w:r>
            <w:r>
              <w:rPr>
                <w:caps w:val="false"/>
                <w:smallCaps w:val="false"/>
                <w:spacing w:val="-4"/>
              </w:rPr>
              <w:t xml:space="preserve"> </w:t>
            </w:r>
            <w:r>
              <w:rPr>
                <w:rFonts w:ascii="Arial;Helvetica;sans-serif" w:hAnsi="Arial;Helvetica;sans-serif"/>
                <w:b w:val="false"/>
                <w:i w:val="false"/>
                <w:caps w:val="false"/>
                <w:smallCaps w:val="false"/>
                <w:sz w:val="20"/>
              </w:rPr>
              <w:t>this</w:t>
            </w:r>
            <w:r>
              <w:rPr>
                <w:caps w:val="false"/>
                <w:smallCaps w:val="false"/>
                <w:spacing w:val="-4"/>
              </w:rPr>
              <w:t xml:space="preserve"> </w:t>
            </w:r>
            <w:r>
              <w:rPr>
                <w:rFonts w:ascii="Arial;Helvetica;sans-serif" w:hAnsi="Arial;Helvetica;sans-serif"/>
                <w:b w:val="false"/>
                <w:i w:val="false"/>
                <w:caps w:val="false"/>
                <w:smallCaps w:val="false"/>
                <w:sz w:val="20"/>
              </w:rPr>
              <w:t>Executive</w:t>
            </w:r>
            <w:r>
              <w:rPr>
                <w:caps w:val="false"/>
                <w:smallCaps w:val="false"/>
                <w:spacing w:val="-4"/>
              </w:rPr>
              <w:t xml:space="preserve"> </w:t>
            </w:r>
            <w:r>
              <w:rPr>
                <w:rFonts w:ascii="Arial;Helvetica;sans-serif" w:hAnsi="Arial;Helvetica;sans-serif"/>
                <w:b w:val="false"/>
                <w:i w:val="false"/>
                <w:caps w:val="false"/>
                <w:smallCaps w:val="false"/>
                <w:sz w:val="20"/>
              </w:rPr>
              <w:t>Employment</w:t>
            </w:r>
            <w:r>
              <w:rPr>
                <w:caps w:val="false"/>
                <w:smallCaps w:val="false"/>
                <w:spacing w:val="-4"/>
              </w:rPr>
              <w:t xml:space="preserve"> </w:t>
            </w:r>
            <w:r>
              <w:rPr>
                <w:rFonts w:ascii="Arial;Helvetica;sans-serif" w:hAnsi="Arial;Helvetica;sans-serif"/>
                <w:b w:val="false"/>
                <w:i w:val="false"/>
                <w:caps w:val="false"/>
                <w:smallCaps w:val="false"/>
                <w:sz w:val="20"/>
              </w:rPr>
              <w:t>Agreement,</w:t>
            </w:r>
            <w:r>
              <w:rPr>
                <w:caps w:val="false"/>
                <w:smallCaps w:val="false"/>
                <w:spacing w:val="-4"/>
              </w:rPr>
              <w:t xml:space="preserve"> </w:t>
            </w:r>
            <w:r>
              <w:rPr>
                <w:rFonts w:ascii="Arial;Helvetica;sans-serif" w:hAnsi="Arial;Helvetica;sans-serif"/>
                <w:b w:val="false"/>
                <w:i w:val="false"/>
                <w:caps w:val="false"/>
                <w:smallCaps w:val="false"/>
                <w:sz w:val="20"/>
              </w:rPr>
              <w:t>the</w:t>
            </w:r>
            <w:r>
              <w:rPr>
                <w:caps w:val="false"/>
                <w:smallCaps w:val="false"/>
                <w:spacing w:val="-4"/>
              </w:rPr>
              <w:t xml:space="preserve"> </w:t>
            </w:r>
            <w:r>
              <w:rPr>
                <w:rFonts w:ascii="Arial;Helvetica;sans-serif" w:hAnsi="Arial;Helvetica;sans-serif"/>
                <w:b w:val="false"/>
                <w:i w:val="false"/>
                <w:caps w:val="false"/>
                <w:smallCaps w:val="false"/>
                <w:sz w:val="20"/>
              </w:rPr>
              <w:t>provisions</w:t>
            </w:r>
            <w:r>
              <w:rPr>
                <w:caps w:val="false"/>
                <w:smallCaps w:val="false"/>
                <w:spacing w:val="-4"/>
              </w:rPr>
              <w:t xml:space="preserve"> </w:t>
            </w:r>
            <w:r>
              <w:rPr>
                <w:rFonts w:ascii="Arial;Helvetica;sans-serif" w:hAnsi="Arial;Helvetica;sans-serif"/>
                <w:b w:val="false"/>
                <w:i w:val="false"/>
                <w:caps w:val="false"/>
                <w:smallCaps w:val="false"/>
                <w:sz w:val="20"/>
              </w:rPr>
              <w:t>of</w:t>
            </w:r>
            <w:r>
              <w:rPr>
                <w:caps w:val="false"/>
                <w:smallCaps w:val="false"/>
                <w:spacing w:val="-4"/>
              </w:rPr>
              <w:t xml:space="preserve"> </w:t>
            </w:r>
            <w:r>
              <w:rPr>
                <w:rFonts w:ascii="Arial;Helvetica;sans-serif" w:hAnsi="Arial;Helvetica;sans-serif"/>
                <w:b w:val="false"/>
                <w:i w:val="false"/>
                <w:caps w:val="false"/>
                <w:smallCaps w:val="false"/>
                <w:sz w:val="20"/>
              </w:rPr>
              <w:t>this</w:t>
            </w:r>
            <w:r>
              <w:rPr>
                <w:caps w:val="false"/>
                <w:smallCaps w:val="false"/>
                <w:spacing w:val="-4"/>
              </w:rPr>
              <w:t xml:space="preserve"> </w:t>
            </w:r>
            <w:r>
              <w:rPr>
                <w:rFonts w:ascii="Arial;Helvetica;sans-serif" w:hAnsi="Arial;Helvetica;sans-serif"/>
                <w:b w:val="false"/>
                <w:i w:val="false"/>
                <w:caps w:val="false"/>
                <w:smallCaps w:val="false"/>
                <w:sz w:val="20"/>
              </w:rPr>
              <w:t>Agreement shall be controlling.</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199" w:after="0"/>
        <w:ind w:left="0" w:right="386" w:hanging="0"/>
        <w:jc w:val="left"/>
        <w:rPr>
          <w:rFonts w:ascii="Aptos" w:hAnsi="Aptos"/>
          <w:sz w:val="20"/>
        </w:rPr>
      </w:pPr>
      <w:r>
        <w:rPr>
          <w:rFonts w:ascii="Arial;Helvetica;sans-serif" w:hAnsi="Arial;Helvetica;sans-serif"/>
          <w:b/>
          <w:sz w:val="20"/>
        </w:rPr>
        <w:t>Mr. Brown acknowledges and agrees that he reviewed and fully understands the terms and provisions</w:t>
      </w:r>
      <w:r>
        <w:rPr>
          <w:rFonts w:ascii="Aptos" w:hAnsi="Aptos"/>
          <w:spacing w:val="-3"/>
          <w:sz w:val="20"/>
        </w:rPr>
        <w:t xml:space="preserve"> </w:t>
      </w:r>
      <w:r>
        <w:rPr>
          <w:rFonts w:ascii="Arial;Helvetica;sans-serif" w:hAnsi="Arial;Helvetica;sans-serif"/>
          <w:b/>
          <w:sz w:val="20"/>
        </w:rPr>
        <w:t>of</w:t>
      </w:r>
      <w:r>
        <w:rPr>
          <w:rFonts w:ascii="Aptos" w:hAnsi="Aptos"/>
          <w:spacing w:val="-3"/>
          <w:sz w:val="20"/>
        </w:rPr>
        <w:t xml:space="preserve"> </w:t>
      </w:r>
      <w:r>
        <w:rPr>
          <w:rFonts w:ascii="Arial;Helvetica;sans-serif" w:hAnsi="Arial;Helvetica;sans-serif"/>
          <w:b/>
          <w:sz w:val="20"/>
        </w:rPr>
        <w:t>this</w:t>
      </w:r>
      <w:r>
        <w:rPr>
          <w:rFonts w:ascii="Aptos" w:hAnsi="Aptos"/>
          <w:spacing w:val="-3"/>
          <w:sz w:val="20"/>
        </w:rPr>
        <w:t xml:space="preserve"> </w:t>
      </w:r>
      <w:r>
        <w:rPr>
          <w:rFonts w:ascii="Arial;Helvetica;sans-serif" w:hAnsi="Arial;Helvetica;sans-serif"/>
          <w:b/>
          <w:sz w:val="20"/>
        </w:rPr>
        <w:t>Agreement;</w:t>
      </w:r>
      <w:r>
        <w:rPr>
          <w:rFonts w:ascii="Aptos" w:hAnsi="Aptos"/>
          <w:spacing w:val="-3"/>
          <w:sz w:val="20"/>
        </w:rPr>
        <w:t xml:space="preserve"> </w:t>
      </w:r>
      <w:r>
        <w:rPr>
          <w:rFonts w:ascii="Arial;Helvetica;sans-serif" w:hAnsi="Arial;Helvetica;sans-serif"/>
          <w:b/>
          <w:sz w:val="20"/>
        </w:rPr>
        <w:t>that</w:t>
      </w:r>
      <w:r>
        <w:rPr>
          <w:rFonts w:ascii="Aptos" w:hAnsi="Aptos"/>
          <w:spacing w:val="-3"/>
          <w:sz w:val="20"/>
        </w:rPr>
        <w:t xml:space="preserve"> </w:t>
      </w:r>
      <w:r>
        <w:rPr>
          <w:rFonts w:ascii="Arial;Helvetica;sans-serif" w:hAnsi="Arial;Helvetica;sans-serif"/>
          <w:b/>
          <w:sz w:val="20"/>
        </w:rPr>
        <w:t>he</w:t>
      </w:r>
      <w:r>
        <w:rPr>
          <w:rFonts w:ascii="Aptos" w:hAnsi="Aptos"/>
          <w:spacing w:val="-3"/>
          <w:sz w:val="20"/>
        </w:rPr>
        <w:t xml:space="preserve"> </w:t>
      </w:r>
      <w:r>
        <w:rPr>
          <w:rFonts w:ascii="Arial;Helvetica;sans-serif" w:hAnsi="Arial;Helvetica;sans-serif"/>
          <w:b/>
          <w:sz w:val="20"/>
        </w:rPr>
        <w:t>enters</w:t>
      </w:r>
      <w:r>
        <w:rPr>
          <w:rFonts w:ascii="Aptos" w:hAnsi="Aptos"/>
          <w:spacing w:val="-3"/>
          <w:sz w:val="20"/>
        </w:rPr>
        <w:t xml:space="preserve"> </w:t>
      </w:r>
      <w:r>
        <w:rPr>
          <w:rFonts w:ascii="Arial;Helvetica;sans-serif" w:hAnsi="Arial;Helvetica;sans-serif"/>
          <w:b/>
          <w:sz w:val="20"/>
        </w:rPr>
        <w:t>into</w:t>
      </w:r>
      <w:r>
        <w:rPr>
          <w:rFonts w:ascii="Aptos" w:hAnsi="Aptos"/>
          <w:spacing w:val="-3"/>
          <w:sz w:val="20"/>
        </w:rPr>
        <w:t xml:space="preserve"> </w:t>
      </w:r>
      <w:r>
        <w:rPr>
          <w:rFonts w:ascii="Arial;Helvetica;sans-serif" w:hAnsi="Arial;Helvetica;sans-serif"/>
          <w:b/>
          <w:sz w:val="20"/>
        </w:rPr>
        <w:t>it</w:t>
      </w:r>
      <w:r>
        <w:rPr>
          <w:rFonts w:ascii="Aptos" w:hAnsi="Aptos"/>
          <w:spacing w:val="-3"/>
          <w:sz w:val="20"/>
        </w:rPr>
        <w:t xml:space="preserve"> </w:t>
      </w:r>
      <w:r>
        <w:rPr>
          <w:rFonts w:ascii="Arial;Helvetica;sans-serif" w:hAnsi="Arial;Helvetica;sans-serif"/>
          <w:b/>
          <w:sz w:val="20"/>
        </w:rPr>
        <w:t>freely,</w:t>
      </w:r>
      <w:r>
        <w:rPr>
          <w:rFonts w:ascii="Aptos" w:hAnsi="Aptos"/>
          <w:spacing w:val="-3"/>
          <w:sz w:val="20"/>
        </w:rPr>
        <w:t xml:space="preserve"> </w:t>
      </w:r>
      <w:r>
        <w:rPr>
          <w:rFonts w:ascii="Arial;Helvetica;sans-serif" w:hAnsi="Arial;Helvetica;sans-serif"/>
          <w:b/>
          <w:sz w:val="20"/>
        </w:rPr>
        <w:t>knowingly,</w:t>
      </w:r>
      <w:r>
        <w:rPr>
          <w:rFonts w:ascii="Aptos" w:hAnsi="Aptos"/>
          <w:spacing w:val="-3"/>
          <w:sz w:val="20"/>
        </w:rPr>
        <w:t xml:space="preserve"> </w:t>
      </w:r>
      <w:r>
        <w:rPr>
          <w:rFonts w:ascii="Arial;Helvetica;sans-serif" w:hAnsi="Arial;Helvetica;sans-serif"/>
          <w:b/>
          <w:sz w:val="20"/>
        </w:rPr>
        <w:t>and</w:t>
      </w:r>
      <w:r>
        <w:rPr>
          <w:rFonts w:ascii="Aptos" w:hAnsi="Aptos"/>
          <w:spacing w:val="-3"/>
          <w:sz w:val="20"/>
        </w:rPr>
        <w:t xml:space="preserve"> </w:t>
      </w:r>
      <w:r>
        <w:rPr>
          <w:rFonts w:ascii="Arial;Helvetica;sans-serif" w:hAnsi="Arial;Helvetica;sans-serif"/>
          <w:b/>
          <w:sz w:val="20"/>
        </w:rPr>
        <w:t>mindful</w:t>
      </w:r>
      <w:r>
        <w:rPr>
          <w:rFonts w:ascii="Aptos" w:hAnsi="Aptos"/>
          <w:spacing w:val="-3"/>
          <w:sz w:val="20"/>
        </w:rPr>
        <w:t xml:space="preserve"> </w:t>
      </w:r>
      <w:r>
        <w:rPr>
          <w:rFonts w:ascii="Arial;Helvetica;sans-serif" w:hAnsi="Arial;Helvetica;sans-serif"/>
          <w:b/>
          <w:sz w:val="20"/>
        </w:rPr>
        <w:t>of</w:t>
      </w:r>
      <w:r>
        <w:rPr>
          <w:rFonts w:ascii="Aptos" w:hAnsi="Aptos"/>
          <w:spacing w:val="-3"/>
          <w:sz w:val="20"/>
        </w:rPr>
        <w:t xml:space="preserve"> </w:t>
      </w:r>
      <w:r>
        <w:rPr>
          <w:rFonts w:ascii="Arial;Helvetica;sans-serif" w:hAnsi="Arial;Helvetica;sans-serif"/>
          <w:b/>
          <w:sz w:val="20"/>
        </w:rPr>
        <w:t>the</w:t>
      </w:r>
      <w:r>
        <w:rPr>
          <w:rFonts w:ascii="Aptos" w:hAnsi="Aptos"/>
          <w:spacing w:val="-3"/>
          <w:sz w:val="20"/>
        </w:rPr>
        <w:t xml:space="preserve"> </w:t>
      </w:r>
      <w:r>
        <w:rPr>
          <w:rFonts w:ascii="Arial;Helvetica;sans-serif" w:hAnsi="Arial;Helvetica;sans-serif"/>
          <w:b/>
          <w:sz w:val="20"/>
        </w:rPr>
        <w:t>fact</w:t>
      </w:r>
      <w:r>
        <w:rPr>
          <w:rFonts w:ascii="Aptos" w:hAnsi="Aptos"/>
          <w:spacing w:val="-3"/>
          <w:sz w:val="20"/>
        </w:rPr>
        <w:t xml:space="preserve"> </w:t>
      </w:r>
      <w:r>
        <w:rPr>
          <w:rFonts w:ascii="Arial;Helvetica;sans-serif" w:hAnsi="Arial;Helvetica;sans-serif"/>
          <w:b/>
          <w:sz w:val="20"/>
        </w:rPr>
        <w:t>that</w:t>
      </w:r>
      <w:r>
        <w:rPr>
          <w:rFonts w:ascii="Aptos" w:hAnsi="Aptos"/>
          <w:spacing w:val="-3"/>
          <w:sz w:val="20"/>
        </w:rPr>
        <w:t xml:space="preserve"> </w:t>
      </w:r>
      <w:r>
        <w:rPr>
          <w:rFonts w:ascii="Arial;Helvetica;sans-serif" w:hAnsi="Arial;Helvetica;sans-serif"/>
          <w:b/>
          <w:sz w:val="20"/>
        </w:rPr>
        <w:t>it creates important legal obligations and affects his legal rights; and that he understands the need to, and has had the opportunity to consult with, legal counsel about the terms and conditions of this Agreement.</w:t>
      </w:r>
    </w:p>
    <w:p>
      <w:pPr>
        <w:pStyle w:val="TextBody"/>
        <w:bidi w:val="0"/>
        <w:spacing w:lineRule="auto" w:line="331" w:before="0" w:after="160"/>
        <w:ind w:left="0" w:right="0" w:hanging="0"/>
        <w:jc w:val="left"/>
        <w:rPr/>
      </w:pPr>
      <w:r>
        <w:rPr/>
        <w:t>​</w:t>
      </w:r>
    </w:p>
    <w:tbl>
      <w:tblPr>
        <w:tblW w:w="9043" w:type="dxa"/>
        <w:jc w:val="left"/>
        <w:tblInd w:w="0" w:type="dxa"/>
        <w:tblLayout w:type="fixed"/>
        <w:tblCellMar>
          <w:top w:w="28" w:type="dxa"/>
          <w:left w:w="28" w:type="dxa"/>
          <w:bottom w:w="0" w:type="dxa"/>
          <w:right w:w="28" w:type="dxa"/>
        </w:tblCellMar>
      </w:tblPr>
      <w:tblGrid>
        <w:gridCol w:w="4373"/>
        <w:gridCol w:w="4670"/>
      </w:tblGrid>
      <w:tr>
        <w:trPr/>
        <w:tc>
          <w:tcPr>
            <w:tcW w:w="4373" w:type="dxa"/>
            <w:tcBorders>
              <w:top w:val="single" w:sz="2" w:space="0" w:color="000000"/>
              <w:left w:val="single" w:sz="2" w:space="0" w:color="000000"/>
              <w:right w:val="single" w:sz="2" w:space="0" w:color="000000"/>
            </w:tcBorders>
            <w:vAlign w:val="center"/>
          </w:tcPr>
          <w:p>
            <w:pPr>
              <w:pStyle w:val="TableContents"/>
              <w:bidi w:val="0"/>
              <w:spacing w:lineRule="auto" w:line="285" w:before="0" w:after="0"/>
              <w:ind w:left="0" w:right="0" w:hanging="0"/>
              <w:jc w:val="left"/>
              <w:rPr>
                <w:rFonts w:ascii="Arial;Helvetica;sans-serif" w:hAnsi="Arial;Helvetica;sans-serif"/>
                <w:spacing w:val="-2"/>
                <w:sz w:val="24"/>
              </w:rPr>
            </w:pPr>
            <w:r>
              <w:rPr>
                <w:rFonts w:ascii="Arial;Helvetica;sans-serif" w:hAnsi="Arial;Helvetica;sans-serif"/>
                <w:spacing w:val="-2"/>
                <w:sz w:val="24"/>
              </w:rPr>
              <w:t>Executive</w:t>
            </w:r>
          </w:p>
        </w:tc>
        <w:tc>
          <w:tcPr>
            <w:tcW w:w="4670" w:type="dxa"/>
            <w:tcBorders>
              <w:top w:val="single" w:sz="2" w:space="0" w:color="000000"/>
              <w:left w:val="single" w:sz="2" w:space="0" w:color="000000"/>
              <w:right w:val="single" w:sz="2" w:space="0" w:color="000000"/>
            </w:tcBorders>
            <w:vAlign w:val="center"/>
          </w:tcPr>
          <w:p>
            <w:pPr>
              <w:pStyle w:val="TableContents"/>
              <w:bidi w:val="0"/>
              <w:spacing w:lineRule="auto" w:line="285" w:before="0" w:after="0"/>
              <w:ind w:left="0" w:right="0" w:hanging="0"/>
              <w:jc w:val="left"/>
              <w:rPr>
                <w:rFonts w:ascii="Aptos" w:hAnsi="Aptos"/>
                <w:sz w:val="24"/>
              </w:rPr>
            </w:pPr>
            <w:r>
              <w:rPr>
                <w:rFonts w:ascii="Arial;Helvetica;sans-serif" w:hAnsi="Arial;Helvetica;sans-serif"/>
                <w:sz w:val="24"/>
              </w:rPr>
              <w:t>TTEC</w:t>
            </w:r>
            <w:r>
              <w:rPr>
                <w:rFonts w:ascii="Aptos" w:hAnsi="Aptos"/>
                <w:spacing w:val="-1"/>
                <w:sz w:val="24"/>
              </w:rPr>
              <w:t xml:space="preserve"> </w:t>
            </w:r>
            <w:r>
              <w:rPr>
                <w:rFonts w:ascii="Arial;Helvetica;sans-serif" w:hAnsi="Arial;Helvetica;sans-serif"/>
                <w:sz w:val="24"/>
              </w:rPr>
              <w:t xml:space="preserve">Digital </w:t>
            </w:r>
            <w:r>
              <w:rPr>
                <w:rFonts w:ascii="Arial;Helvetica;sans-serif" w:hAnsi="Arial;Helvetica;sans-serif"/>
                <w:spacing w:val="-5"/>
                <w:sz w:val="24"/>
              </w:rPr>
              <w:t>LLC</w:t>
            </w:r>
          </w:p>
        </w:tc>
      </w:tr>
      <w:tr>
        <w:trPr/>
        <w:tc>
          <w:tcPr>
            <w:tcW w:w="4373" w:type="dxa"/>
            <w:tcBorders>
              <w:left w:val="single" w:sz="2" w:space="0" w:color="000000"/>
              <w:right w:val="single" w:sz="2" w:space="0" w:color="000000"/>
            </w:tcBorders>
            <w:tcMar>
              <w:top w:w="0" w:type="dxa"/>
            </w:tcMar>
            <w:vAlign w:val="center"/>
          </w:tcPr>
          <w:p>
            <w:pPr>
              <w:pStyle w:val="TableContents"/>
              <w:bidi w:val="0"/>
              <w:spacing w:lineRule="auto" w:line="331" w:before="0" w:after="160"/>
              <w:ind w:left="0" w:right="0" w:hanging="0"/>
              <w:jc w:val="left"/>
              <w:rPr/>
            </w:pPr>
            <w:r>
              <w:rPr/>
              <w:t>​</w:t>
            </w:r>
          </w:p>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[digital signature]</w:t>
            </w:r>
          </w:p>
        </w:tc>
        <w:tc>
          <w:tcPr>
            <w:tcW w:w="4670" w:type="dxa"/>
            <w:tcBorders>
              <w:left w:val="single" w:sz="2" w:space="0" w:color="000000"/>
              <w:right w:val="single" w:sz="2" w:space="0" w:color="000000"/>
            </w:tcBorders>
            <w:tcMar>
              <w:top w:w="0" w:type="dxa"/>
            </w:tcMar>
            <w:vAlign w:val="center"/>
          </w:tcPr>
          <w:p>
            <w:pPr>
              <w:pStyle w:val="TableContents"/>
              <w:bidi w:val="0"/>
              <w:spacing w:lineRule="auto" w:line="331" w:before="0" w:after="160"/>
              <w:ind w:left="0" w:right="0" w:hanging="0"/>
              <w:jc w:val="left"/>
              <w:rPr/>
            </w:pPr>
            <w:r>
              <w:rPr/>
              <w:t>​</w:t>
            </w:r>
          </w:p>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[digital signature]</w:t>
            </w:r>
          </w:p>
        </w:tc>
      </w:tr>
      <w:tr>
        <w:trPr/>
        <w:tc>
          <w:tcPr>
            <w:tcW w:w="4373" w:type="dxa"/>
            <w:tcBorders>
              <w:left w:val="single" w:sz="2" w:space="0" w:color="000000"/>
              <w:right w:val="single" w:sz="2" w:space="0" w:color="000000"/>
            </w:tcBorders>
            <w:tcMar>
              <w:top w:w="0" w:type="dxa"/>
            </w:tcMar>
            <w:vAlign w:val="center"/>
          </w:tcPr>
          <w:p>
            <w:pPr>
              <w:pStyle w:val="TableContents"/>
              <w:bidi w:val="0"/>
              <w:spacing w:lineRule="auto" w:line="285" w:before="1" w:after="0"/>
              <w:ind w:left="0" w:right="0" w:hanging="0"/>
              <w:jc w:val="left"/>
              <w:rPr>
                <w:rFonts w:ascii="Aptos" w:hAnsi="Aptos"/>
                <w:sz w:val="22"/>
              </w:rPr>
            </w:pPr>
            <w:r>
              <w:rPr>
                <w:rFonts w:ascii="Arial;Helvetica;sans-serif" w:hAnsi="Arial;Helvetica;sans-serif"/>
                <w:sz w:val="24"/>
              </w:rPr>
              <w:t>Christopher</w:t>
            </w:r>
            <w:r>
              <w:rPr>
                <w:rFonts w:ascii="Aptos" w:hAnsi="Aptos"/>
                <w:spacing w:val="-1"/>
                <w:sz w:val="22"/>
              </w:rPr>
              <w:t xml:space="preserve"> </w:t>
            </w:r>
            <w:r>
              <w:rPr>
                <w:rFonts w:ascii="Arial;Helvetica;sans-serif" w:hAnsi="Arial;Helvetica;sans-serif"/>
                <w:sz w:val="24"/>
              </w:rPr>
              <w:t>J.</w:t>
            </w:r>
            <w:r>
              <w:rPr>
                <w:rFonts w:ascii="Aptos" w:hAnsi="Aptos"/>
                <w:spacing w:val="-1"/>
                <w:sz w:val="22"/>
              </w:rPr>
              <w:t xml:space="preserve"> </w:t>
            </w:r>
            <w:r>
              <w:rPr>
                <w:rFonts w:ascii="Arial;Helvetica;sans-serif" w:hAnsi="Arial;Helvetica;sans-serif"/>
                <w:spacing w:val="-2"/>
                <w:sz w:val="24"/>
              </w:rPr>
              <w:t>Brown</w:t>
            </w:r>
            <w:r>
              <mc:AlternateContent>
                <mc:Choice Requires="wps">
                  <w:drawing>
                    <wp:anchor behindDoc="0" distT="0" distB="0" distL="0" distR="0" simplePos="0" locked="0" layoutInCell="1" allowOverlap="1" relativeHeight="2">
                      <wp:simplePos x="0" y="0"/>
                      <wp:positionH relativeFrom="page">
                        <wp:posOffset>0</wp:posOffset>
                      </wp:positionH>
                      <wp:positionV relativeFrom="line">
                        <wp:posOffset>635</wp:posOffset>
                      </wp:positionV>
                      <wp:extent cx="2712720" cy="14605"/>
                      <wp:effectExtent l="0" t="0" r="0" b="0"/>
                      <wp:wrapNone/>
                      <wp:docPr id="509" name="Frame509"/>
                      <a:graphic xmlns:a="http://schemas.openxmlformats.org/drawingml/2006/main">
                        <a:graphicData uri="http://schemas.microsoft.com/office/word/2010/wordprocessingShape">
                          <wps:wsp>
                            <wps:cNvSpPr txBox="1"/>
                            <wps:spPr>
                              <a:xfrm>
                                <a:off x="0" y="0"/>
                                <a:ext cx="2712720" cy="14605"/>
                              </a:xfrm>
                              <a:prstGeom prst="rect"/>
                              <a:solidFill>
                                <a:srgbClr val="FFFFFF"/>
                              </a:solidFill>
                            </wps:spPr>
                            <wps:txbx>
                              <w:txbxContent>
                                <w:p>
                                  <w:pPr>
                                    <w:pStyle w:val="TextBody"/>
                                    <w:bidi w:val="0"/>
                                    <w:spacing w:before="0" w:after="283"/>
                                    <w:jc w:val="left"/>
                                    <w:rPr>
                                      <w:sz w:val="4"/>
                                      <w:szCs w:val="4"/>
                                    </w:rPr>
                                  </w:pPr>
                                  <w:r>
                                    <w:rPr>
                                      <w:sz w:val="4"/>
                                      <w:szCs w:val="4"/>
                                    </w:rPr>
                                    <w:drawing>
                                      <wp:inline distT="0" distB="0" distL="0" distR="0">
                                        <wp:extent cx="2712720" cy="14605"/>
                                        <wp:effectExtent l="0" t="0" r="0" b="0"/>
                                        <wp:docPr id="51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 name="Image1" descr=""/>
                                                <pic:cNvPicPr>
                                                  <a:picLocks noChangeAspect="1" noChangeArrowheads="1"/>
                                                </pic:cNvPicPr>
                                              </pic:nvPicPr>
                                              <pic:blipFill>
                                                <a:blip r:embed="rId15"/>
                                                <a:stretch>
                                                  <a:fillRect/>
                                                </a:stretch>
                                              </pic:blipFill>
                                              <pic:spPr bwMode="auto">
                                                <a:xfrm>
                                                  <a:off x="0" y="0"/>
                                                  <a:ext cx="2712720" cy="1460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213.6pt;height:1.15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sz w:val="4"/>
                                <w:szCs w:val="4"/>
                              </w:rPr>
                            </w:pPr>
                            <w:r>
                              <w:rPr>
                                <w:sz w:val="4"/>
                                <w:szCs w:val="4"/>
                              </w:rPr>
                              <w:drawing>
                                <wp:inline distT="0" distB="0" distL="0" distR="0">
                                  <wp:extent cx="2712720" cy="14605"/>
                                  <wp:effectExtent l="0" t="0" r="0" b="0"/>
                                  <wp:docPr id="51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 name="Image1" descr=""/>
                                          <pic:cNvPicPr>
                                            <a:picLocks noChangeAspect="1" noChangeArrowheads="1"/>
                                          </pic:cNvPicPr>
                                        </pic:nvPicPr>
                                        <pic:blipFill>
                                          <a:blip r:embed="rId16"/>
                                          <a:stretch>
                                            <a:fillRect/>
                                          </a:stretch>
                                        </pic:blipFill>
                                        <pic:spPr bwMode="auto">
                                          <a:xfrm>
                                            <a:off x="0" y="0"/>
                                            <a:ext cx="2712720" cy="14605"/>
                                          </a:xfrm>
                                          <a:prstGeom prst="rect">
                                            <a:avLst/>
                                          </a:prstGeom>
                                        </pic:spPr>
                                      </pic:pic>
                                    </a:graphicData>
                                  </a:graphic>
                                </wp:inline>
                              </w:drawing>
                            </w:r>
                          </w:p>
                        </w:txbxContent>
                      </v:textbox>
                      <w10:wrap type="none"/>
                    </v:rect>
                  </w:pict>
                </mc:Fallback>
              </mc:AlternateContent>
            </w:r>
          </w:p>
        </w:tc>
        <w:tc>
          <w:tcPr>
            <w:tcW w:w="4670" w:type="dxa"/>
            <w:tcBorders>
              <w:left w:val="single" w:sz="2" w:space="0" w:color="000000"/>
              <w:right w:val="single" w:sz="2" w:space="0" w:color="000000"/>
            </w:tcBorders>
            <w:tcMar>
              <w:top w:w="0" w:type="dxa"/>
            </w:tcMar>
            <w:vAlign w:val="center"/>
          </w:tcPr>
          <w:p>
            <w:pPr>
              <w:pStyle w:val="TableContents"/>
              <w:bidi w:val="0"/>
              <w:spacing w:lineRule="auto" w:line="285" w:before="1" w:after="0"/>
              <w:ind w:left="0" w:right="0" w:hanging="0"/>
              <w:jc w:val="left"/>
              <w:rPr>
                <w:rFonts w:ascii="Aptos" w:hAnsi="Aptos"/>
                <w:sz w:val="22"/>
              </w:rPr>
            </w:pPr>
            <w:r>
              <w:rPr>
                <w:rFonts w:ascii="Arial;Helvetica;sans-serif" w:hAnsi="Arial;Helvetica;sans-serif"/>
                <w:sz w:val="24"/>
              </w:rPr>
              <w:t>Laura</w:t>
            </w:r>
            <w:r>
              <w:rPr>
                <w:rFonts w:ascii="Aptos" w:hAnsi="Aptos"/>
                <w:spacing w:val="-1"/>
                <w:sz w:val="22"/>
              </w:rPr>
              <w:t xml:space="preserve"> </w:t>
            </w:r>
            <w:r>
              <w:rPr>
                <w:rFonts w:ascii="Arial;Helvetica;sans-serif" w:hAnsi="Arial;Helvetica;sans-serif"/>
                <w:sz w:val="24"/>
              </w:rPr>
              <w:t>L.</w:t>
            </w:r>
            <w:r>
              <w:rPr>
                <w:rFonts w:ascii="Aptos" w:hAnsi="Aptos"/>
                <w:spacing w:val="-1"/>
                <w:sz w:val="22"/>
              </w:rPr>
              <w:t xml:space="preserve"> </w:t>
            </w:r>
            <w:r>
              <w:rPr>
                <w:rFonts w:ascii="Arial;Helvetica;sans-serif" w:hAnsi="Arial;Helvetica;sans-serif"/>
                <w:spacing w:val="-2"/>
                <w:sz w:val="24"/>
              </w:rPr>
              <w:t>Butler,</w:t>
            </w:r>
            <w:r>
              <mc:AlternateContent>
                <mc:Choice Requires="wps">
                  <w:drawing>
                    <wp:anchor behindDoc="0" distT="0" distB="0" distL="0" distR="0" simplePos="0" locked="0" layoutInCell="1" allowOverlap="1" relativeHeight="4">
                      <wp:simplePos x="0" y="0"/>
                      <wp:positionH relativeFrom="page">
                        <wp:posOffset>0</wp:posOffset>
                      </wp:positionH>
                      <wp:positionV relativeFrom="line">
                        <wp:posOffset>635</wp:posOffset>
                      </wp:positionV>
                      <wp:extent cx="2882265" cy="14605"/>
                      <wp:effectExtent l="0" t="0" r="0" b="0"/>
                      <wp:wrapNone/>
                      <wp:docPr id="512" name="Frame510"/>
                      <a:graphic xmlns:a="http://schemas.openxmlformats.org/drawingml/2006/main">
                        <a:graphicData uri="http://schemas.microsoft.com/office/word/2010/wordprocessingShape">
                          <wps:wsp>
                            <wps:cNvSpPr txBox="1"/>
                            <wps:spPr>
                              <a:xfrm>
                                <a:off x="0" y="0"/>
                                <a:ext cx="2882265" cy="14605"/>
                              </a:xfrm>
                              <a:prstGeom prst="rect"/>
                              <a:solidFill>
                                <a:srgbClr val="FFFFFF"/>
                              </a:solidFill>
                            </wps:spPr>
                            <wps:txbx>
                              <w:txbxContent>
                                <w:p>
                                  <w:pPr>
                                    <w:pStyle w:val="TextBody"/>
                                    <w:bidi w:val="0"/>
                                    <w:spacing w:before="0" w:after="283"/>
                                    <w:jc w:val="left"/>
                                    <w:rPr>
                                      <w:sz w:val="4"/>
                                      <w:szCs w:val="4"/>
                                    </w:rPr>
                                  </w:pPr>
                                  <w:r>
                                    <w:rPr>
                                      <w:sz w:val="4"/>
                                      <w:szCs w:val="4"/>
                                    </w:rPr>
                                    <w:drawing>
                                      <wp:inline distT="0" distB="0" distL="0" distR="0">
                                        <wp:extent cx="2882265" cy="14605"/>
                                        <wp:effectExtent l="0" t="0" r="0" b="0"/>
                                        <wp:docPr id="51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 name="Image2" descr=""/>
                                                <pic:cNvPicPr>
                                                  <a:picLocks noChangeAspect="1" noChangeArrowheads="1"/>
                                                </pic:cNvPicPr>
                                              </pic:nvPicPr>
                                              <pic:blipFill>
                                                <a:blip r:embed="rId17"/>
                                                <a:stretch>
                                                  <a:fillRect/>
                                                </a:stretch>
                                              </pic:blipFill>
                                              <pic:spPr bwMode="auto">
                                                <a:xfrm>
                                                  <a:off x="0" y="0"/>
                                                  <a:ext cx="2882265" cy="1460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226.95pt;height:1.15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sz w:val="4"/>
                                <w:szCs w:val="4"/>
                              </w:rPr>
                            </w:pPr>
                            <w:r>
                              <w:rPr>
                                <w:sz w:val="4"/>
                                <w:szCs w:val="4"/>
                              </w:rPr>
                              <w:drawing>
                                <wp:inline distT="0" distB="0" distL="0" distR="0">
                                  <wp:extent cx="2882265" cy="14605"/>
                                  <wp:effectExtent l="0" t="0" r="0" b="0"/>
                                  <wp:docPr id="51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 name="Image2" descr=""/>
                                          <pic:cNvPicPr>
                                            <a:picLocks noChangeAspect="1" noChangeArrowheads="1"/>
                                          </pic:cNvPicPr>
                                        </pic:nvPicPr>
                                        <pic:blipFill>
                                          <a:blip r:embed="rId18"/>
                                          <a:stretch>
                                            <a:fillRect/>
                                          </a:stretch>
                                        </pic:blipFill>
                                        <pic:spPr bwMode="auto">
                                          <a:xfrm>
                                            <a:off x="0" y="0"/>
                                            <a:ext cx="2882265" cy="14605"/>
                                          </a:xfrm>
                                          <a:prstGeom prst="rect">
                                            <a:avLst/>
                                          </a:prstGeom>
                                        </pic:spPr>
                                      </pic:pic>
                                    </a:graphicData>
                                  </a:graphic>
                                </wp:inline>
                              </w:drawing>
                            </w:r>
                          </w:p>
                        </w:txbxContent>
                      </v:textbox>
                      <w10:wrap type="none"/>
                    </v:rect>
                  </w:pict>
                </mc:Fallback>
              </mc:AlternateContent>
            </w:r>
          </w:p>
        </w:tc>
      </w:tr>
      <w:tr>
        <w:trPr/>
        <w:tc>
          <w:tcPr>
            <w:tcW w:w="4373" w:type="dxa"/>
            <w:tcBorders>
              <w:left w:val="single" w:sz="2" w:space="0" w:color="000000"/>
              <w:right w:val="single" w:sz="2" w:space="0" w:color="000000"/>
            </w:tcBorders>
            <w:tcMar>
              <w:top w:w="0" w:type="dxa"/>
            </w:tcMar>
            <w:vAlign w:val="center"/>
          </w:tcPr>
          <w:p>
            <w:pPr>
              <w:pStyle w:val="TableContents"/>
              <w:bidi w:val="0"/>
              <w:spacing w:lineRule="auto" w:line="331" w:before="0" w:after="160"/>
              <w:ind w:left="0" w:right="0" w:hanging="0"/>
              <w:jc w:val="left"/>
              <w:rPr/>
            </w:pPr>
            <w:r>
              <w:rPr/>
              <w:t>​</w:t>
            </w:r>
          </w:p>
        </w:tc>
        <w:tc>
          <w:tcPr>
            <w:tcW w:w="4670" w:type="dxa"/>
            <w:tcBorders>
              <w:left w:val="single" w:sz="2" w:space="0" w:color="000000"/>
              <w:right w:val="single" w:sz="2" w:space="0" w:color="000000"/>
            </w:tcBorders>
            <w:tcMar>
              <w:top w:w="0" w:type="dxa"/>
            </w:tcMar>
            <w:vAlign w:val="center"/>
          </w:tcPr>
          <w:p>
            <w:pPr>
              <w:pStyle w:val="TableContents"/>
              <w:bidi w:val="0"/>
              <w:spacing w:lineRule="auto" w:line="285" w:before="16" w:after="0"/>
              <w:ind w:left="0" w:right="0" w:hanging="0"/>
              <w:jc w:val="left"/>
              <w:rPr>
                <w:rFonts w:ascii="Aptos" w:hAnsi="Aptos"/>
                <w:sz w:val="24"/>
              </w:rPr>
            </w:pPr>
            <w:r>
              <w:rPr>
                <w:rFonts w:ascii="Arial;Helvetica;sans-serif" w:hAnsi="Arial;Helvetica;sans-serif"/>
                <w:sz w:val="24"/>
              </w:rPr>
              <w:t>Chief</w:t>
            </w:r>
            <w:r>
              <w:rPr>
                <w:rFonts w:ascii="Aptos" w:hAnsi="Aptos"/>
                <w:spacing w:val="-2"/>
                <w:sz w:val="24"/>
              </w:rPr>
              <w:t xml:space="preserve"> </w:t>
            </w:r>
            <w:r>
              <w:rPr>
                <w:rFonts w:ascii="Arial;Helvetica;sans-serif" w:hAnsi="Arial;Helvetica;sans-serif"/>
                <w:sz w:val="24"/>
              </w:rPr>
              <w:t>People &amp;</w:t>
            </w:r>
            <w:r>
              <w:rPr>
                <w:rFonts w:ascii="Aptos" w:hAnsi="Aptos"/>
                <w:spacing w:val="-1"/>
                <w:sz w:val="24"/>
              </w:rPr>
              <w:t xml:space="preserve"> </w:t>
            </w:r>
            <w:r>
              <w:rPr>
                <w:rFonts w:ascii="Arial;Helvetica;sans-serif" w:hAnsi="Arial;Helvetica;sans-serif"/>
                <w:sz w:val="24"/>
              </w:rPr>
              <w:t xml:space="preserve">Culture </w:t>
            </w:r>
            <w:r>
              <w:rPr>
                <w:rFonts w:ascii="Arial;Helvetica;sans-serif" w:hAnsi="Arial;Helvetica;sans-serif"/>
                <w:spacing w:val="-2"/>
                <w:sz w:val="24"/>
              </w:rPr>
              <w:t>Officer</w:t>
            </w:r>
          </w:p>
        </w:tc>
      </w:tr>
      <w:tr>
        <w:trPr/>
        <w:tc>
          <w:tcPr>
            <w:tcW w:w="4373" w:type="dxa"/>
            <w:tcBorders>
              <w:left w:val="single" w:sz="2" w:space="0" w:color="000000"/>
              <w:bottom w:val="single" w:sz="2" w:space="0" w:color="000000"/>
              <w:right w:val="single" w:sz="2" w:space="0" w:color="000000"/>
            </w:tcBorders>
            <w:tcMar>
              <w:top w:w="0" w:type="dxa"/>
              <w:bottom w:w="28" w:type="dxa"/>
            </w:tcMar>
            <w:vAlign w:val="center"/>
          </w:tcPr>
          <w:p>
            <w:pPr>
              <w:pStyle w:val="TableContents"/>
              <w:bidi w:val="0"/>
              <w:spacing w:lineRule="auto" w:line="285" w:before="188" w:after="0"/>
              <w:ind w:left="0" w:right="0" w:hanging="0"/>
              <w:jc w:val="left"/>
              <w:rPr>
                <w:rFonts w:ascii="Aptos" w:hAnsi="Aptos"/>
                <w:sz w:val="18"/>
              </w:rPr>
            </w:pPr>
            <w:r>
              <w:rPr>
                <w:rFonts w:ascii="Arial;Helvetica;sans-serif" w:hAnsi="Arial;Helvetica;sans-serif"/>
                <w:sz w:val="24"/>
              </w:rPr>
              <w:t>Date:</w:t>
            </w:r>
            <w:r>
              <w:rPr>
                <w:rFonts w:ascii="Aptos" w:hAnsi="Aptos"/>
                <w:spacing w:val="7"/>
                <w:sz w:val="18"/>
              </w:rPr>
              <w:t xml:space="preserve"> </w:t>
            </w:r>
            <w:r>
              <w:rPr>
                <w:rFonts w:ascii="Arial;Helvetica;sans-serif" w:hAnsi="Arial;Helvetica;sans-serif"/>
                <w:spacing w:val="-2"/>
                <w:sz w:val="18"/>
              </w:rPr>
              <w:t>8/7/2026</w:t>
            </w:r>
          </w:p>
        </w:tc>
        <w:tc>
          <w:tcPr>
            <w:tcW w:w="4670" w:type="dxa"/>
            <w:tcBorders>
              <w:left w:val="single" w:sz="2" w:space="0" w:color="000000"/>
              <w:bottom w:val="single" w:sz="2" w:space="0" w:color="000000"/>
              <w:right w:val="single" w:sz="2" w:space="0" w:color="000000"/>
            </w:tcBorders>
            <w:tcMar>
              <w:top w:w="0" w:type="dxa"/>
              <w:bottom w:w="28" w:type="dxa"/>
            </w:tcMar>
            <w:vAlign w:val="center"/>
          </w:tcPr>
          <w:p>
            <w:pPr>
              <w:pStyle w:val="TableContents"/>
              <w:bidi w:val="0"/>
              <w:spacing w:lineRule="auto" w:line="285" w:before="188" w:after="0"/>
              <w:ind w:left="109" w:right="0" w:hanging="0"/>
              <w:jc w:val="left"/>
              <w:rPr>
                <w:rFonts w:ascii="Aptos" w:hAnsi="Aptos"/>
                <w:sz w:val="18"/>
              </w:rPr>
            </w:pPr>
            <w:r>
              <w:rPr>
                <w:rFonts w:ascii="Arial;Helvetica;sans-serif" w:hAnsi="Arial;Helvetica;sans-serif"/>
                <w:sz w:val="24"/>
              </w:rPr>
              <w:t>Date:</w:t>
            </w:r>
            <w:r>
              <w:rPr>
                <w:rFonts w:ascii="Aptos" w:hAnsi="Aptos"/>
                <w:spacing w:val="13"/>
                <w:sz w:val="18"/>
              </w:rPr>
              <w:t xml:space="preserve"> </w:t>
            </w:r>
            <w:r>
              <w:rPr>
                <w:rFonts w:ascii="Arial;Helvetica;sans-serif" w:hAnsi="Arial;Helvetica;sans-serif"/>
                <w:spacing w:val="-2"/>
                <w:sz w:val="18"/>
              </w:rPr>
              <w:t>8/6/2026</w:t>
            </w:r>
          </w:p>
        </w:tc>
      </w:tr>
    </w:tbl>
    <w:p>
      <w:pPr>
        <w:pStyle w:val="TextBody"/>
        <w:bidi w:val="0"/>
        <w:spacing w:lineRule="auto" w:line="331" w:before="0" w:after="160"/>
        <w:ind w:left="0" w:right="0" w:hanging="0"/>
        <w:jc w:val="left"/>
        <w:rPr/>
      </w:pPr>
      <w:r>
        <w:rPr/>
        <w:t>​</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right"/>
        <w:rPr>
          <w:rFonts w:ascii="Arial;Helvetica;sans-serif" w:hAnsi="Arial;Helvetica;sans-serif"/>
          <w:sz w:val="22"/>
        </w:rPr>
      </w:pPr>
      <w:r>
        <w:rPr>
          <w:rFonts w:ascii="Arial;Helvetica;sans-serif" w:hAnsi="Arial;Helvetica;sans-serif"/>
          <w:sz w:val="22"/>
        </w:rPr>
        <w:t xml:space="preserve">Page </w:t>
      </w:r>
      <w:r>
        <w:rPr>
          <w:rFonts w:ascii="Arial;Helvetica;sans-serif" w:hAnsi="Arial;Helvetica;sans-serif"/>
          <w:b/>
          <w:sz w:val="22"/>
        </w:rPr>
        <w:t>14</w:t>
      </w:r>
      <w:r>
        <w:rPr>
          <w:rFonts w:ascii="Arial;Helvetica;sans-serif" w:hAnsi="Arial;Helvetica;sans-serif"/>
          <w:sz w:val="22"/>
        </w:rPr>
        <w:t xml:space="preserve"> of </w:t>
      </w:r>
      <w:r>
        <w:rPr>
          <w:rFonts w:ascii="Arial;Helvetica;sans-serif" w:hAnsi="Arial;Helvetica;sans-serif"/>
          <w:b/>
          <w:sz w:val="22"/>
        </w:rPr>
        <w:t>15</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00"/>
        <w:ind w:left="0" w:right="0" w:hanging="0"/>
        <w:jc w:val="left"/>
        <w:rPr>
          <w:rFonts w:ascii="Aptos" w:hAnsi="Aptos"/>
          <w:sz w:val="24"/>
        </w:rPr>
      </w:pPr>
      <w:r>
        <w:rPr>
          <w:rFonts w:ascii="Arial;Helvetica;sans-serif" w:hAnsi="Arial;Helvetica;sans-serif"/>
          <w:b/>
          <w:sz w:val="24"/>
        </w:rPr>
        <w:t xml:space="preserve">List of </w:t>
      </w:r>
      <w:r>
        <w:rPr>
          <w:rFonts w:ascii="Arial;Helvetica;sans-serif" w:hAnsi="Arial;Helvetica;sans-serif"/>
          <w:b/>
          <w:spacing w:val="-2"/>
          <w:sz w:val="24"/>
        </w:rPr>
        <w:t>Exhibits</w:t>
      </w:r>
    </w:p>
    <w:p>
      <w:pPr>
        <w:pStyle w:val="TextBody"/>
        <w:bidi w:val="0"/>
        <w:spacing w:lineRule="auto" w:line="285" w:before="0" w:after="200"/>
        <w:ind w:left="0" w:right="3063" w:hanging="0"/>
        <w:jc w:val="left"/>
        <w:rPr>
          <w:rFonts w:ascii="Arial;Helvetica;sans-serif" w:hAnsi="Arial;Helvetica;sans-serif"/>
          <w:sz w:val="20"/>
        </w:rPr>
      </w:pPr>
      <w:r>
        <w:rPr>
          <w:rFonts w:ascii="Arial;Helvetica;sans-serif" w:hAnsi="Arial;Helvetica;sans-serif"/>
          <w:sz w:val="20"/>
        </w:rPr>
        <w:t>Exhibit A: Directors and Executive Officers U.S. Securities Law</w:t>
      </w:r>
    </w:p>
    <w:p>
      <w:pPr>
        <w:pStyle w:val="TextBody"/>
        <w:bidi w:val="0"/>
        <w:spacing w:lineRule="auto" w:line="285" w:before="0" w:after="200"/>
        <w:ind w:left="0" w:right="3063" w:hanging="0"/>
        <w:jc w:val="left"/>
        <w:rPr>
          <w:rFonts w:ascii="Arial;Helvetica;sans-serif" w:hAnsi="Arial;Helvetica;sans-serif"/>
          <w:sz w:val="20"/>
        </w:rPr>
      </w:pPr>
      <w:r>
        <w:rPr>
          <w:rFonts w:ascii="Arial;Helvetica;sans-serif" w:hAnsi="Arial;Helvetica;sans-serif"/>
          <w:sz w:val="20"/>
        </w:rPr>
        <w:t>Handbook Exhibit B: TTEC Ethics Code: How TTEC Does Business</w:t>
      </w:r>
    </w:p>
    <w:p>
      <w:pPr>
        <w:pStyle w:val="TextBody"/>
        <w:bidi w:val="0"/>
        <w:spacing w:lineRule="auto" w:line="285" w:before="0" w:after="200"/>
        <w:ind w:left="0" w:right="3063" w:hanging="0"/>
        <w:jc w:val="left"/>
        <w:rPr>
          <w:rFonts w:ascii="Aptos" w:hAnsi="Aptos"/>
          <w:sz w:val="20"/>
        </w:rPr>
      </w:pPr>
      <w:r>
        <w:rPr>
          <w:rFonts w:ascii="Arial;Helvetica;sans-serif" w:hAnsi="Arial;Helvetica;sans-serif"/>
          <w:sz w:val="20"/>
        </w:rPr>
        <w:t>Exhibit</w:t>
      </w:r>
      <w:r>
        <w:rPr>
          <w:rFonts w:ascii="Aptos" w:hAnsi="Aptos"/>
          <w:spacing w:val="-4"/>
          <w:sz w:val="20"/>
        </w:rPr>
        <w:t xml:space="preserve"> </w:t>
      </w:r>
      <w:r>
        <w:rPr>
          <w:rFonts w:ascii="Arial;Helvetica;sans-serif" w:hAnsi="Arial;Helvetica;sans-serif"/>
          <w:sz w:val="20"/>
        </w:rPr>
        <w:t>C:</w:t>
      </w:r>
      <w:r>
        <w:rPr>
          <w:rFonts w:ascii="Aptos" w:hAnsi="Aptos"/>
          <w:spacing w:val="-4"/>
          <w:sz w:val="20"/>
        </w:rPr>
        <w:t xml:space="preserve"> </w:t>
      </w:r>
      <w:r>
        <w:rPr>
          <w:rFonts w:ascii="Arial;Helvetica;sans-serif" w:hAnsi="Arial;Helvetica;sans-serif"/>
          <w:sz w:val="20"/>
        </w:rPr>
        <w:t>TTEC</w:t>
      </w:r>
      <w:r>
        <w:rPr>
          <w:rFonts w:ascii="Aptos" w:hAnsi="Aptos"/>
          <w:spacing w:val="-5"/>
          <w:sz w:val="20"/>
        </w:rPr>
        <w:t xml:space="preserve"> </w:t>
      </w:r>
      <w:r>
        <w:rPr>
          <w:rFonts w:ascii="Arial;Helvetica;sans-serif" w:hAnsi="Arial;Helvetica;sans-serif"/>
          <w:sz w:val="20"/>
        </w:rPr>
        <w:t>Executive</w:t>
      </w:r>
      <w:r>
        <w:rPr>
          <w:rFonts w:ascii="Aptos" w:hAnsi="Aptos"/>
          <w:spacing w:val="-4"/>
          <w:sz w:val="20"/>
        </w:rPr>
        <w:t xml:space="preserve"> </w:t>
      </w:r>
      <w:r>
        <w:rPr>
          <w:rFonts w:ascii="Arial;Helvetica;sans-serif" w:hAnsi="Arial;Helvetica;sans-serif"/>
          <w:sz w:val="20"/>
        </w:rPr>
        <w:t>and</w:t>
      </w:r>
      <w:r>
        <w:rPr>
          <w:rFonts w:ascii="Aptos" w:hAnsi="Aptos"/>
          <w:spacing w:val="-4"/>
          <w:sz w:val="20"/>
        </w:rPr>
        <w:t xml:space="preserve"> </w:t>
      </w:r>
      <w:r>
        <w:rPr>
          <w:rFonts w:ascii="Arial;Helvetica;sans-serif" w:hAnsi="Arial;Helvetica;sans-serif"/>
          <w:sz w:val="20"/>
        </w:rPr>
        <w:t>Senior</w:t>
      </w:r>
      <w:r>
        <w:rPr>
          <w:rFonts w:ascii="Aptos" w:hAnsi="Aptos"/>
          <w:spacing w:val="-4"/>
          <w:sz w:val="20"/>
        </w:rPr>
        <w:t xml:space="preserve"> </w:t>
      </w:r>
      <w:r>
        <w:rPr>
          <w:rFonts w:ascii="Arial;Helvetica;sans-serif" w:hAnsi="Arial;Helvetica;sans-serif"/>
          <w:sz w:val="20"/>
        </w:rPr>
        <w:t>Financial</w:t>
      </w:r>
      <w:r>
        <w:rPr>
          <w:rFonts w:ascii="Aptos" w:hAnsi="Aptos"/>
          <w:spacing w:val="-4"/>
          <w:sz w:val="20"/>
        </w:rPr>
        <w:t xml:space="preserve"> </w:t>
      </w:r>
      <w:r>
        <w:rPr>
          <w:rFonts w:ascii="Arial;Helvetica;sans-serif" w:hAnsi="Arial;Helvetica;sans-serif"/>
          <w:sz w:val="20"/>
        </w:rPr>
        <w:t>Officers</w:t>
      </w:r>
      <w:r>
        <w:rPr>
          <w:rFonts w:ascii="Aptos" w:hAnsi="Aptos"/>
          <w:spacing w:val="-4"/>
          <w:sz w:val="20"/>
        </w:rPr>
        <w:t xml:space="preserve"> </w:t>
      </w:r>
      <w:r>
        <w:rPr>
          <w:rFonts w:ascii="Arial;Helvetica;sans-serif" w:hAnsi="Arial;Helvetica;sans-serif"/>
          <w:sz w:val="20"/>
        </w:rPr>
        <w:t>Ethics</w:t>
      </w:r>
      <w:r>
        <w:rPr>
          <w:rFonts w:ascii="Aptos" w:hAnsi="Aptos"/>
          <w:spacing w:val="-4"/>
          <w:sz w:val="20"/>
        </w:rPr>
        <w:t xml:space="preserve"> </w:t>
      </w:r>
      <w:r>
        <w:rPr>
          <w:rFonts w:ascii="Arial;Helvetica;sans-serif" w:hAnsi="Arial;Helvetica;sans-serif"/>
          <w:sz w:val="20"/>
        </w:rPr>
        <w:t>Code</w:t>
      </w:r>
    </w:p>
    <w:p>
      <w:pPr>
        <w:pStyle w:val="TextBody"/>
        <w:bidi w:val="0"/>
        <w:spacing w:lineRule="auto" w:line="285" w:before="0" w:after="200"/>
        <w:ind w:left="0" w:right="3063" w:hanging="0"/>
        <w:jc w:val="left"/>
        <w:rPr>
          <w:rFonts w:ascii="Arial;Helvetica;sans-serif" w:hAnsi="Arial;Helvetica;sans-serif"/>
          <w:sz w:val="20"/>
        </w:rPr>
      </w:pPr>
      <w:r>
        <w:rPr>
          <w:rFonts w:ascii="Arial;Helvetica;sans-serif" w:hAnsi="Arial;Helvetica;sans-serif"/>
          <w:sz w:val="20"/>
        </w:rPr>
        <w:t>Exhibit D: Executive Stock Ownership Guidelines</w:t>
      </w:r>
    </w:p>
    <w:p>
      <w:pPr>
        <w:pStyle w:val="TextBody"/>
        <w:bidi w:val="0"/>
        <w:spacing w:lineRule="auto" w:line="285" w:before="0" w:after="200"/>
        <w:ind w:left="0" w:right="4367" w:hanging="0"/>
        <w:jc w:val="left"/>
        <w:rPr>
          <w:rFonts w:ascii="Aptos" w:hAnsi="Aptos"/>
          <w:sz w:val="20"/>
        </w:rPr>
      </w:pPr>
      <w:r>
        <w:rPr>
          <w:rFonts w:ascii="Arial;Helvetica;sans-serif" w:hAnsi="Arial;Helvetica;sans-serif"/>
          <w:sz w:val="20"/>
        </w:rPr>
        <w:t>Exhibit</w:t>
      </w:r>
      <w:r>
        <w:rPr>
          <w:rFonts w:ascii="Aptos" w:hAnsi="Aptos"/>
          <w:spacing w:val="-7"/>
          <w:sz w:val="20"/>
        </w:rPr>
        <w:t xml:space="preserve"> </w:t>
      </w:r>
      <w:r>
        <w:rPr>
          <w:rFonts w:ascii="Arial;Helvetica;sans-serif" w:hAnsi="Arial;Helvetica;sans-serif"/>
          <w:sz w:val="20"/>
        </w:rPr>
        <w:t>E:</w:t>
      </w:r>
      <w:r>
        <w:rPr>
          <w:rFonts w:ascii="Aptos" w:hAnsi="Aptos"/>
          <w:spacing w:val="-7"/>
          <w:sz w:val="20"/>
        </w:rPr>
        <w:t xml:space="preserve"> </w:t>
      </w:r>
      <w:r>
        <w:rPr>
          <w:rFonts w:ascii="Arial;Helvetica;sans-serif" w:hAnsi="Arial;Helvetica;sans-serif"/>
          <w:sz w:val="20"/>
        </w:rPr>
        <w:t>Sample</w:t>
      </w:r>
      <w:r>
        <w:rPr>
          <w:rFonts w:ascii="Aptos" w:hAnsi="Aptos"/>
          <w:spacing w:val="-7"/>
          <w:sz w:val="20"/>
        </w:rPr>
        <w:t xml:space="preserve"> </w:t>
      </w:r>
      <w:r>
        <w:rPr>
          <w:rFonts w:ascii="Arial;Helvetica;sans-serif" w:hAnsi="Arial;Helvetica;sans-serif"/>
          <w:sz w:val="20"/>
        </w:rPr>
        <w:t>Separation</w:t>
      </w:r>
      <w:r>
        <w:rPr>
          <w:rFonts w:ascii="Aptos" w:hAnsi="Aptos"/>
          <w:spacing w:val="-7"/>
          <w:sz w:val="20"/>
        </w:rPr>
        <w:t xml:space="preserve"> </w:t>
      </w:r>
      <w:r>
        <w:rPr>
          <w:rFonts w:ascii="Arial;Helvetica;sans-serif" w:hAnsi="Arial;Helvetica;sans-serif"/>
          <w:sz w:val="20"/>
        </w:rPr>
        <w:t>and</w:t>
      </w:r>
      <w:r>
        <w:rPr>
          <w:rFonts w:ascii="Aptos" w:hAnsi="Aptos"/>
          <w:spacing w:val="-7"/>
          <w:sz w:val="20"/>
        </w:rPr>
        <w:t xml:space="preserve"> </w:t>
      </w:r>
      <w:r>
        <w:rPr>
          <w:rFonts w:ascii="Arial;Helvetica;sans-serif" w:hAnsi="Arial;Helvetica;sans-serif"/>
          <w:sz w:val="20"/>
        </w:rPr>
        <w:t>Release</w:t>
      </w:r>
      <w:r>
        <w:rPr>
          <w:rFonts w:ascii="Aptos" w:hAnsi="Aptos"/>
          <w:spacing w:val="-7"/>
          <w:sz w:val="20"/>
        </w:rPr>
        <w:t xml:space="preserve"> </w:t>
      </w:r>
      <w:r>
        <w:rPr>
          <w:rFonts w:ascii="Arial;Helvetica;sans-serif" w:hAnsi="Arial;Helvetica;sans-serif"/>
          <w:sz w:val="20"/>
        </w:rPr>
        <w:t>Agreement</w:t>
      </w:r>
    </w:p>
    <w:p>
      <w:pPr>
        <w:pStyle w:val="TextBody"/>
        <w:bidi w:val="0"/>
        <w:spacing w:lineRule="auto" w:line="285" w:before="0" w:after="200"/>
        <w:ind w:left="0" w:right="4367" w:hanging="0"/>
        <w:jc w:val="left"/>
        <w:rPr>
          <w:rFonts w:ascii="Arial;Helvetica;sans-serif" w:hAnsi="Arial;Helvetica;sans-serif"/>
          <w:sz w:val="20"/>
        </w:rPr>
      </w:pPr>
      <w:r>
        <w:rPr>
          <w:rFonts w:ascii="Arial;Helvetica;sans-serif" w:hAnsi="Arial;Helvetica;sans-serif"/>
          <w:sz w:val="20"/>
        </w:rPr>
        <w:t>Exhibit F: TTEC Incentive Recoupment Policy</w:t>
      </w:r>
    </w:p>
    <w:p>
      <w:pPr>
        <w:pStyle w:val="TextBody"/>
        <w:bidi w:val="0"/>
        <w:spacing w:lineRule="auto" w:line="285" w:before="0" w:after="0"/>
        <w:ind w:left="0" w:right="0" w:hanging="0"/>
        <w:jc w:val="right"/>
        <w:rPr>
          <w:rFonts w:ascii="Arial;Helvetica;sans-serif" w:hAnsi="Arial;Helvetica;sans-serif"/>
          <w:sz w:val="22"/>
        </w:rPr>
      </w:pPr>
      <w:r>
        <w:rPr>
          <w:rFonts w:ascii="Arial;Helvetica;sans-serif" w:hAnsi="Arial;Helvetica;sans-serif"/>
          <w:sz w:val="22"/>
        </w:rPr>
        <w:t xml:space="preserve">Page </w:t>
      </w:r>
      <w:r>
        <w:rPr>
          <w:rFonts w:ascii="Arial;Helvetica;sans-serif" w:hAnsi="Arial;Helvetica;sans-serif"/>
          <w:b/>
          <w:sz w:val="22"/>
        </w:rPr>
        <w:t>15</w:t>
      </w:r>
      <w:r>
        <w:rPr>
          <w:rFonts w:ascii="Arial;Helvetica;sans-serif" w:hAnsi="Arial;Helvetica;sans-serif"/>
          <w:sz w:val="22"/>
        </w:rPr>
        <w:t xml:space="preserve"> of </w:t>
      </w:r>
      <w:r>
        <w:rPr>
          <w:rFonts w:ascii="Arial;Helvetica;sans-serif" w:hAnsi="Arial;Helvetica;sans-serif"/>
          <w:b/>
          <w:sz w:val="22"/>
        </w:rPr>
        <w:t>15</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bookmarkStart w:id="1781" w:name="ttec-20260630xex10d3.htm"/>
      <w:bookmarkStart w:id="1782" w:name="ksttec20260630xex10d3"/>
      <w:bookmarkEnd w:id="1781"/>
      <w:bookmarkEnd w:id="1782"/>
      <w:r>
        <w:rPr/>
        <w:t>​</w:t>
      </w:r>
      <w:r>
        <w:br w:type="page"/>
      </w:r>
    </w:p>
    <w:p>
      <w:pPr>
        <w:pStyle w:val="TextBody"/>
        <w:bidi w:val="0"/>
        <w:spacing w:lineRule="auto" w:line="331" w:before="0" w:after="160"/>
        <w:ind w:left="0" w:right="0" w:hanging="0"/>
        <w:jc w:val="right"/>
        <w:rPr>
          <w:rFonts w:ascii="Arial;Helvetica;sans-serif" w:hAnsi="Arial;Helvetica;sans-serif"/>
          <w:b/>
          <w:sz w:val="20"/>
        </w:rPr>
      </w:pPr>
      <w:r>
        <w:rPr>
          <w:rFonts w:ascii="Arial;Helvetica;sans-serif" w:hAnsi="Arial;Helvetica;sans-serif"/>
          <w:b/>
          <w:sz w:val="20"/>
        </w:rPr>
        <w:t>EXHIBIT 10.3</w:t>
      </w:r>
    </w:p>
    <w:p>
      <w:pPr>
        <w:pStyle w:val="TextBody"/>
        <w:bidi w:val="0"/>
        <w:spacing w:lineRule="auto" w:line="285" w:before="0" w:after="0"/>
        <w:ind w:left="0" w:right="0" w:hanging="0"/>
        <w:jc w:val="center"/>
        <w:rPr>
          <w:rFonts w:ascii="Arial;Helvetica;sans-serif" w:hAnsi="Arial;Helvetica;sans-serif"/>
          <w:b/>
          <w:caps/>
          <w:sz w:val="20"/>
        </w:rPr>
      </w:pPr>
      <w:r>
        <w:rPr>
          <w:rFonts w:ascii="Arial;Helvetica;sans-serif" w:hAnsi="Arial;Helvetica;sans-serif"/>
          <w:b/>
          <w:caps/>
          <w:sz w:val="20"/>
        </w:rPr>
        <w:t>TTEC HOLDINGS, INC.</w:t>
      </w:r>
    </w:p>
    <w:p>
      <w:pPr>
        <w:pStyle w:val="TextBody"/>
        <w:bidi w:val="0"/>
        <w:spacing w:lineRule="auto" w:line="285" w:before="0" w:after="0"/>
        <w:ind w:left="0" w:right="0" w:hanging="0"/>
        <w:jc w:val="center"/>
        <w:rPr>
          <w:rFonts w:ascii="Arial;Helvetica;sans-serif" w:hAnsi="Arial;Helvetica;sans-serif"/>
          <w:b/>
          <w:caps/>
          <w:sz w:val="20"/>
        </w:rPr>
      </w:pPr>
      <w:r>
        <w:rPr>
          <w:rFonts w:ascii="Arial;Helvetica;sans-serif" w:hAnsi="Arial;Helvetica;sans-serif"/>
          <w:b/>
          <w:caps/>
          <w:sz w:val="20"/>
        </w:rPr>
        <w:t>2026 Retention Award Agreement</w:t>
      </w:r>
    </w:p>
    <w:p>
      <w:pPr>
        <w:pStyle w:val="TextBody"/>
        <w:bidi w:val="0"/>
        <w:spacing w:lineRule="auto" w:line="331" w:before="0" w:after="160"/>
        <w:ind w:left="0" w:right="0" w:hanging="0"/>
        <w:jc w:val="center"/>
        <w:rPr/>
      </w:pPr>
      <w:r>
        <w:rPr/>
        <w:t>​</w:t>
      </w:r>
    </w:p>
    <w:p>
      <w:pPr>
        <w:pStyle w:val="TextBody"/>
        <w:bidi w:val="0"/>
        <w:spacing w:lineRule="auto" w:line="285" w:before="0" w:after="200"/>
        <w:ind w:left="0" w:right="0" w:hanging="0"/>
        <w:jc w:val="both"/>
        <w:rPr>
          <w:rFonts w:ascii="Aptos" w:hAnsi="Aptos"/>
          <w:sz w:val="20"/>
        </w:rPr>
      </w:pPr>
      <w:r>
        <w:rPr>
          <w:rFonts w:ascii="Arial;Helvetica;sans-serif" w:hAnsi="Arial;Helvetica;sans-serif"/>
          <w:sz w:val="20"/>
        </w:rPr>
        <w:t xml:space="preserve">This 2026 Retention Award Agreement (this </w:t>
      </w:r>
      <w:r>
        <w:rPr>
          <w:rFonts w:ascii="Arial;Helvetica;sans-serif" w:hAnsi="Arial;Helvetica;sans-serif"/>
          <w:b/>
          <w:sz w:val="20"/>
        </w:rPr>
        <w:t>"Agreement"</w:t>
      </w:r>
      <w:r>
        <w:rPr>
          <w:rFonts w:ascii="Arial;Helvetica;sans-serif" w:hAnsi="Arial;Helvetica;sans-serif"/>
          <w:sz w:val="20"/>
        </w:rPr>
        <w:t xml:space="preserve">) is made to be effective as of July 24, 2026 (the </w:t>
      </w:r>
      <w:r>
        <w:rPr>
          <w:rFonts w:ascii="Arial;Helvetica;sans-serif" w:hAnsi="Arial;Helvetica;sans-serif"/>
          <w:b/>
          <w:sz w:val="20"/>
        </w:rPr>
        <w:t>"Award Date"</w:t>
      </w:r>
      <w:r>
        <w:rPr>
          <w:rFonts w:ascii="Arial;Helvetica;sans-serif" w:hAnsi="Arial;Helvetica;sans-serif"/>
          <w:sz w:val="20"/>
        </w:rPr>
        <w:t xml:space="preserve">) by and between TTEC Holdings, Inc., a Texas corporation (the </w:t>
      </w:r>
      <w:r>
        <w:rPr>
          <w:rFonts w:ascii="Arial;Helvetica;sans-serif" w:hAnsi="Arial;Helvetica;sans-serif"/>
          <w:b/>
          <w:sz w:val="20"/>
        </w:rPr>
        <w:t>"Company"</w:t>
      </w:r>
      <w:r>
        <w:rPr>
          <w:rFonts w:ascii="Aptos" w:hAnsi="Aptos"/>
          <w:sz w:val="20"/>
        </w:rPr>
        <w:t xml:space="preserve"> </w:t>
      </w:r>
      <w:r>
        <w:rPr>
          <w:rFonts w:ascii="Arial;Helvetica;sans-serif" w:hAnsi="Arial;Helvetica;sans-serif"/>
          <w:sz w:val="20"/>
        </w:rPr>
        <w:t xml:space="preserve">or </w:t>
      </w:r>
      <w:r>
        <w:rPr>
          <w:rFonts w:ascii="Arial;Helvetica;sans-serif" w:hAnsi="Arial;Helvetica;sans-serif"/>
          <w:b/>
          <w:sz w:val="20"/>
        </w:rPr>
        <w:t>"TTEC"</w:t>
      </w:r>
      <w:r>
        <w:rPr>
          <w:rFonts w:ascii="Arial;Helvetica;sans-serif" w:hAnsi="Arial;Helvetica;sans-serif"/>
          <w:sz w:val="20"/>
        </w:rPr>
        <w:t xml:space="preserve">) and [_________________] (the </w:t>
      </w:r>
      <w:r>
        <w:rPr>
          <w:rFonts w:ascii="Arial;Helvetica;sans-serif" w:hAnsi="Arial;Helvetica;sans-serif"/>
          <w:b/>
          <w:sz w:val="20"/>
        </w:rPr>
        <w:t>"Executive"</w:t>
      </w:r>
      <w:r>
        <w:rPr>
          <w:rFonts w:ascii="Arial;Helvetica;sans-serif" w:hAnsi="Arial;Helvetica;sans-serif"/>
          <w:sz w:val="20"/>
        </w:rPr>
        <w:t>).</w:t>
      </w:r>
    </w:p>
    <w:p>
      <w:pPr>
        <w:pStyle w:val="TextBody"/>
        <w:bidi w:val="0"/>
        <w:spacing w:lineRule="auto" w:line="285" w:before="0" w:after="200"/>
        <w:ind w:left="0" w:right="0" w:hanging="0"/>
        <w:jc w:val="both"/>
        <w:rPr>
          <w:rFonts w:ascii="Aptos" w:hAnsi="Aptos"/>
          <w:sz w:val="20"/>
        </w:rPr>
      </w:pPr>
      <w:r>
        <w:rPr>
          <w:rFonts w:ascii="Arial;Helvetica;sans-serif" w:hAnsi="Arial;Helvetica;sans-serif"/>
          <w:sz w:val="20"/>
        </w:rPr>
        <w:t>The Executive’s Employment Agreement with the Company (</w:t>
      </w:r>
      <w:r>
        <w:rPr>
          <w:rFonts w:ascii="Arial;Helvetica;sans-serif" w:hAnsi="Arial;Helvetica;sans-serif"/>
          <w:b/>
          <w:sz w:val="20"/>
        </w:rPr>
        <w:t>"Employment Agreement"</w:t>
      </w:r>
      <w:r>
        <w:rPr>
          <w:rFonts w:ascii="Arial;Helvetica;sans-serif" w:hAnsi="Arial;Helvetica;sans-serif"/>
          <w:sz w:val="20"/>
        </w:rPr>
        <w:t>) provides for the Executive’s eligibility to participate in TTEC incentive programs, designed to provide long-term incentives for senior executives and to align their interests with the interests of the Company’s stockholders.</w:t>
      </w:r>
    </w:p>
    <w:p>
      <w:pPr>
        <w:pStyle w:val="TextBody"/>
        <w:bidi w:val="0"/>
        <w:spacing w:lineRule="auto" w:line="285" w:before="0" w:after="200"/>
        <w:ind w:left="0" w:right="0" w:hanging="0"/>
        <w:jc w:val="both"/>
        <w:rPr>
          <w:rFonts w:ascii="Aptos" w:hAnsi="Aptos"/>
          <w:sz w:val="20"/>
        </w:rPr>
      </w:pPr>
      <w:r>
        <w:rPr>
          <w:rFonts w:ascii="Arial;Helvetica;sans-serif" w:hAnsi="Arial;Helvetica;sans-serif"/>
          <w:sz w:val="20"/>
        </w:rPr>
        <w:t xml:space="preserve">For 2026, the Committee reviewed and approved a special one-time retention award program for the executive team, consisting of a combination of cash and time-based Restricted Stock Units (RSUs), payable and vesting in two installments over the Retention Period (the </w:t>
      </w:r>
      <w:r>
        <w:rPr>
          <w:rFonts w:ascii="Arial;Helvetica;sans-serif" w:hAnsi="Arial;Helvetica;sans-serif"/>
          <w:b/>
          <w:sz w:val="20"/>
        </w:rPr>
        <w:t>"2026 Retention Award"</w:t>
      </w:r>
      <w:r>
        <w:rPr>
          <w:rFonts w:ascii="Aptos" w:hAnsi="Aptos"/>
          <w:sz w:val="20"/>
        </w:rPr>
        <w:t xml:space="preserve"> </w:t>
      </w:r>
      <w:r>
        <w:rPr>
          <w:rFonts w:ascii="Arial;Helvetica;sans-serif" w:hAnsi="Arial;Helvetica;sans-serif"/>
          <w:sz w:val="20"/>
        </w:rPr>
        <w:t xml:space="preserve">or </w:t>
      </w:r>
      <w:r>
        <w:rPr>
          <w:rFonts w:ascii="Arial;Helvetica;sans-serif" w:hAnsi="Arial;Helvetica;sans-serif"/>
          <w:b/>
          <w:sz w:val="20"/>
        </w:rPr>
        <w:t>"Award"</w:t>
      </w:r>
      <w:r>
        <w:rPr>
          <w:rFonts w:ascii="Arial;Helvetica;sans-serif" w:hAnsi="Arial;Helvetica;sans-serif"/>
          <w:sz w:val="20"/>
        </w:rPr>
        <w:t>). The purpose of this Agreement is to document the terms and conditions of the Executive’s 2026 Retention Award, including both the cash and RSU components, in a single integrated agreement.</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parties agree to be legally bound by this Agreement, and in exchange for sufficient consideration, the adequacy of which is not in question, agree as follows:</w:t>
      </w:r>
    </w:p>
    <w:tbl>
      <w:tblPr>
        <w:tblW w:w="1510" w:type="dxa"/>
        <w:jc w:val="left"/>
        <w:tblInd w:w="0" w:type="dxa"/>
        <w:tblLayout w:type="fixed"/>
        <w:tblCellMar>
          <w:top w:w="0" w:type="dxa"/>
          <w:left w:w="0" w:type="dxa"/>
          <w:bottom w:w="0" w:type="dxa"/>
          <w:right w:w="0" w:type="dxa"/>
        </w:tblCellMar>
      </w:tblPr>
      <w:tblGrid>
        <w:gridCol w:w="185"/>
        <w:gridCol w:w="1325"/>
      </w:tblGrid>
      <w:tr>
        <w:trPr/>
        <w:tc>
          <w:tcPr>
            <w:tcW w:w="185" w:type="dxa"/>
            <w:tcBorders/>
            <w:vAlign w:val="center"/>
          </w:tcPr>
          <w:p>
            <w:pPr>
              <w:pStyle w:val="TableContents"/>
              <w:bidi w:val="0"/>
              <w:spacing w:lineRule="auto" w:line="285" w:before="0" w:after="200"/>
              <w:jc w:val="both"/>
              <w:rPr>
                <w:rFonts w:ascii="Arial;Helvetica;sans-serif" w:hAnsi="Arial;Helvetica;sans-serif"/>
                <w:b/>
                <w:sz w:val="20"/>
              </w:rPr>
            </w:pPr>
            <w:r>
              <w:rPr>
                <w:rFonts w:ascii="Arial;Helvetica;sans-serif" w:hAnsi="Arial;Helvetica;sans-serif"/>
                <w:b/>
                <w:sz w:val="20"/>
              </w:rPr>
              <w:t>1.</w:t>
            </w:r>
          </w:p>
        </w:tc>
        <w:tc>
          <w:tcPr>
            <w:tcW w:w="1325" w:type="dxa"/>
            <w:tcBorders/>
            <w:vAlign w:val="center"/>
          </w:tcPr>
          <w:p>
            <w:pPr>
              <w:pStyle w:val="TableContents"/>
              <w:bidi w:val="0"/>
              <w:spacing w:lineRule="auto" w:line="285" w:before="0" w:after="200"/>
              <w:jc w:val="both"/>
              <w:rPr>
                <w:rFonts w:ascii="Arial;Helvetica;sans-serif" w:hAnsi="Arial;Helvetica;sans-serif"/>
                <w:b/>
                <w:caps/>
                <w:sz w:val="20"/>
              </w:rPr>
            </w:pPr>
            <w:r>
              <w:rPr>
                <w:rFonts w:ascii="Arial;Helvetica;sans-serif" w:hAnsi="Arial;Helvetica;sans-serif"/>
                <w:b/>
                <w:caps/>
                <w:sz w:val="20"/>
              </w:rPr>
              <w:t>Definitions.</w:t>
            </w:r>
          </w:p>
        </w:tc>
      </w:tr>
    </w:tbl>
    <w:p>
      <w:pPr>
        <w:pStyle w:val="TextBody"/>
        <w:bidi w:val="0"/>
        <w:spacing w:lineRule="auto" w:line="285" w:before="0" w:after="200"/>
        <w:ind w:left="0" w:right="0" w:hanging="0"/>
        <w:jc w:val="both"/>
        <w:rPr>
          <w:rFonts w:ascii="Aptos" w:hAnsi="Aptos"/>
          <w:sz w:val="20"/>
        </w:rPr>
      </w:pPr>
      <w:r>
        <w:rPr>
          <w:rFonts w:ascii="Arial;Helvetica;sans-serif" w:hAnsi="Arial;Helvetica;sans-serif"/>
          <w:sz w:val="20"/>
        </w:rPr>
        <w:t xml:space="preserve">Capitalized terms used in this Agreement and not otherwise defined herein shall have the meanings set forth in </w:t>
      </w:r>
      <w:r>
        <w:rPr>
          <w:rFonts w:ascii="Arial;Helvetica;sans-serif" w:hAnsi="Arial;Helvetica;sans-serif"/>
          <w:sz w:val="20"/>
          <w:u w:val="single"/>
        </w:rPr>
        <w:t>Exhibit A</w:t>
      </w:r>
      <w:r>
        <w:rPr>
          <w:rFonts w:ascii="Aptos" w:hAnsi="Aptos"/>
          <w:sz w:val="20"/>
        </w:rPr>
        <w:t xml:space="preserve"> </w:t>
      </w:r>
      <w:r>
        <w:rPr>
          <w:rFonts w:ascii="Arial;Helvetica;sans-serif" w:hAnsi="Arial;Helvetica;sans-serif"/>
          <w:sz w:val="20"/>
        </w:rPr>
        <w:t>to this Agreement, attached hereto and incorporated herein by reference.</w:t>
      </w:r>
    </w:p>
    <w:tbl>
      <w:tblPr>
        <w:tblW w:w="1585" w:type="dxa"/>
        <w:jc w:val="left"/>
        <w:tblInd w:w="0" w:type="dxa"/>
        <w:tblLayout w:type="fixed"/>
        <w:tblCellMar>
          <w:top w:w="0" w:type="dxa"/>
          <w:left w:w="0" w:type="dxa"/>
          <w:bottom w:w="0" w:type="dxa"/>
          <w:right w:w="0" w:type="dxa"/>
        </w:tblCellMar>
      </w:tblPr>
      <w:tblGrid>
        <w:gridCol w:w="185"/>
        <w:gridCol w:w="1400"/>
      </w:tblGrid>
      <w:tr>
        <w:trPr/>
        <w:tc>
          <w:tcPr>
            <w:tcW w:w="185" w:type="dxa"/>
            <w:tcBorders/>
            <w:vAlign w:val="center"/>
          </w:tcPr>
          <w:p>
            <w:pPr>
              <w:pStyle w:val="TableContents"/>
              <w:bidi w:val="0"/>
              <w:spacing w:lineRule="auto" w:line="285" w:before="0" w:after="200"/>
              <w:jc w:val="left"/>
              <w:rPr>
                <w:rFonts w:ascii="Arial;Helvetica;sans-serif" w:hAnsi="Arial;Helvetica;sans-serif"/>
                <w:b/>
                <w:caps/>
                <w:sz w:val="20"/>
              </w:rPr>
            </w:pPr>
            <w:r>
              <w:rPr>
                <w:rFonts w:ascii="Arial;Helvetica;sans-serif" w:hAnsi="Arial;Helvetica;sans-serif"/>
                <w:b/>
                <w:caps/>
                <w:sz w:val="20"/>
              </w:rPr>
              <w:t>2.</w:t>
            </w:r>
          </w:p>
        </w:tc>
        <w:tc>
          <w:tcPr>
            <w:tcW w:w="1400" w:type="dxa"/>
            <w:tcBorders/>
            <w:vAlign w:val="center"/>
          </w:tcPr>
          <w:p>
            <w:pPr>
              <w:pStyle w:val="TableContents"/>
              <w:bidi w:val="0"/>
              <w:spacing w:lineRule="auto" w:line="285" w:before="0" w:after="200"/>
              <w:jc w:val="left"/>
              <w:rPr>
                <w:rFonts w:ascii="Arial;Helvetica;sans-serif" w:hAnsi="Arial;Helvetica;sans-serif"/>
                <w:b/>
                <w:caps/>
                <w:sz w:val="20"/>
              </w:rPr>
            </w:pPr>
            <w:r>
              <w:rPr>
                <w:rFonts w:ascii="Arial;Helvetica;sans-serif" w:hAnsi="Arial;Helvetica;sans-serif"/>
                <w:b/>
                <w:caps/>
                <w:sz w:val="20"/>
              </w:rPr>
              <w:t>Cash Award.</w:t>
            </w:r>
          </w:p>
        </w:tc>
      </w:tr>
    </w:tbl>
    <w:p>
      <w:pPr>
        <w:pStyle w:val="TextBody"/>
        <w:bidi w:val="0"/>
        <w:spacing w:lineRule="auto" w:line="285" w:before="0" w:after="0"/>
        <w:ind w:left="0" w:right="0" w:hanging="0"/>
        <w:jc w:val="both"/>
        <w:rPr>
          <w:rFonts w:ascii="Aptos" w:hAnsi="Aptos"/>
          <w:sz w:val="20"/>
        </w:rPr>
      </w:pPr>
      <w:r>
        <w:rPr>
          <w:rFonts w:ascii="Arial;Helvetica;sans-serif" w:hAnsi="Arial;Helvetica;sans-serif"/>
          <w:sz w:val="20"/>
        </w:rPr>
        <w:t xml:space="preserve">The Company is providing the Executive a cash retention award in the amount of $[_______] (the </w:t>
      </w:r>
      <w:r>
        <w:rPr>
          <w:rFonts w:ascii="Arial;Helvetica;sans-serif" w:hAnsi="Arial;Helvetica;sans-serif"/>
          <w:b/>
          <w:sz w:val="20"/>
        </w:rPr>
        <w:t>"Cash Award"</w:t>
      </w:r>
      <w:r>
        <w:rPr>
          <w:rFonts w:ascii="Arial;Helvetica;sans-serif" w:hAnsi="Arial;Helvetica;sans-serif"/>
          <w:sz w:val="20"/>
        </w:rPr>
        <w:t>), payable in two installments as follows:</w:t>
      </w:r>
    </w:p>
    <w:tbl>
      <w:tblPr>
        <w:tblW w:w="10205" w:type="dxa"/>
        <w:jc w:val="left"/>
        <w:tblInd w:w="0" w:type="dxa"/>
        <w:tblLayout w:type="fixed"/>
        <w:tblCellMar>
          <w:top w:w="0" w:type="dxa"/>
          <w:left w:w="0" w:type="dxa"/>
          <w:bottom w:w="0" w:type="dxa"/>
          <w:right w:w="0" w:type="dxa"/>
        </w:tblCellMar>
      </w:tblPr>
      <w:tblGrid>
        <w:gridCol w:w="23"/>
        <w:gridCol w:w="242"/>
        <w:gridCol w:w="9940"/>
      </w:tblGrid>
      <w:tr>
        <w:trPr/>
        <w:tc>
          <w:tcPr>
            <w:tcW w:w="2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lineRule="auto" w:line="285" w:before="0" w:after="200"/>
              <w:jc w:val="both"/>
              <w:rPr>
                <w:rFonts w:ascii="Arial;Helvetica;sans-serif" w:hAnsi="Arial;Helvetica;sans-serif"/>
                <w:sz w:val="20"/>
              </w:rPr>
            </w:pPr>
            <w:r>
              <w:rPr>
                <w:rFonts w:ascii="Arial;Helvetica;sans-serif" w:hAnsi="Arial;Helvetica;sans-serif"/>
                <w:sz w:val="20"/>
              </w:rPr>
              <w:t>(a)</w:t>
            </w:r>
          </w:p>
        </w:tc>
        <w:tc>
          <w:tcPr>
            <w:tcW w:w="9940" w:type="dxa"/>
            <w:tcBorders/>
            <w:vAlign w:val="center"/>
          </w:tcPr>
          <w:p>
            <w:pPr>
              <w:pStyle w:val="TableContents"/>
              <w:bidi w:val="0"/>
              <w:spacing w:lineRule="auto" w:line="285" w:before="0" w:after="200"/>
              <w:jc w:val="both"/>
              <w:rPr>
                <w:rFonts w:ascii="Arial;Helvetica;sans-serif" w:hAnsi="Arial;Helvetica;sans-serif"/>
                <w:sz w:val="20"/>
              </w:rPr>
            </w:pPr>
            <w:r>
              <w:rPr>
                <w:rFonts w:ascii="Arial;Helvetica;sans-serif" w:hAnsi="Arial;Helvetica;sans-serif"/>
                <w:sz w:val="20"/>
              </w:rPr>
              <w:t>Fifty percent (50%) of the Cash Award shall be payable to the Executive as part of the last pay period in July 2027; and</w:t>
            </w:r>
          </w:p>
        </w:tc>
      </w:tr>
    </w:tbl>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lineRule="auto" w:line="285" w:before="0" w:after="200"/>
              <w:jc w:val="both"/>
              <w:rPr>
                <w:rFonts w:ascii="Arial;Helvetica;sans-serif" w:hAnsi="Arial;Helvetica;sans-serif"/>
                <w:sz w:val="20"/>
              </w:rPr>
            </w:pPr>
            <w:r>
              <w:rPr>
                <w:rFonts w:ascii="Arial;Helvetica;sans-serif" w:hAnsi="Arial;Helvetica;sans-serif"/>
                <w:sz w:val="20"/>
              </w:rPr>
              <w:t>(b)</w:t>
            </w:r>
          </w:p>
        </w:tc>
        <w:tc>
          <w:tcPr>
            <w:tcW w:w="9947" w:type="dxa"/>
            <w:tcBorders/>
            <w:vAlign w:val="center"/>
          </w:tcPr>
          <w:p>
            <w:pPr>
              <w:pStyle w:val="TableContents"/>
              <w:bidi w:val="0"/>
              <w:spacing w:lineRule="auto" w:line="285" w:before="0" w:after="200"/>
              <w:jc w:val="both"/>
              <w:rPr>
                <w:rFonts w:ascii="Arial;Helvetica;sans-serif" w:hAnsi="Arial;Helvetica;sans-serif"/>
                <w:sz w:val="20"/>
              </w:rPr>
            </w:pPr>
            <w:r>
              <w:rPr>
                <w:rFonts w:ascii="Arial;Helvetica;sans-serif" w:hAnsi="Arial;Helvetica;sans-serif"/>
                <w:sz w:val="20"/>
              </w:rPr>
              <w:t>The remaining fifty percent (50%) of the Cash Award shall be payable to the Executive as part of the last pay period in January 2028.</w:t>
            </w:r>
          </w:p>
        </w:tc>
      </w:tr>
    </w:tbl>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Executive’s entitlement to payment of each installment of the Cash Award is contingent upon the Executive’s continued employment with the Company in good standing through the applicable payment date, except as otherwise provided in Paragraph 4 (Award Protection and Change in Control) of this Agreement.</w:t>
      </w:r>
    </w:p>
    <w:tbl>
      <w:tblPr>
        <w:tblW w:w="1450" w:type="dxa"/>
        <w:jc w:val="left"/>
        <w:tblInd w:w="0" w:type="dxa"/>
        <w:tblLayout w:type="fixed"/>
        <w:tblCellMar>
          <w:top w:w="0" w:type="dxa"/>
          <w:left w:w="0" w:type="dxa"/>
          <w:bottom w:w="0" w:type="dxa"/>
          <w:right w:w="0" w:type="dxa"/>
        </w:tblCellMar>
      </w:tblPr>
      <w:tblGrid>
        <w:gridCol w:w="185"/>
        <w:gridCol w:w="1265"/>
      </w:tblGrid>
      <w:tr>
        <w:trPr/>
        <w:tc>
          <w:tcPr>
            <w:tcW w:w="185" w:type="dxa"/>
            <w:tcBorders/>
            <w:vAlign w:val="center"/>
          </w:tcPr>
          <w:p>
            <w:pPr>
              <w:pStyle w:val="TableContents"/>
              <w:bidi w:val="0"/>
              <w:spacing w:lineRule="auto" w:line="285" w:before="0" w:after="200"/>
              <w:jc w:val="left"/>
              <w:rPr>
                <w:rFonts w:ascii="Arial;Helvetica;sans-serif" w:hAnsi="Arial;Helvetica;sans-serif"/>
                <w:b/>
                <w:caps/>
                <w:sz w:val="20"/>
              </w:rPr>
            </w:pPr>
            <w:r>
              <w:rPr>
                <w:rFonts w:ascii="Arial;Helvetica;sans-serif" w:hAnsi="Arial;Helvetica;sans-serif"/>
                <w:b/>
                <w:caps/>
                <w:sz w:val="20"/>
              </w:rPr>
              <w:t>3.</w:t>
            </w:r>
          </w:p>
        </w:tc>
        <w:tc>
          <w:tcPr>
            <w:tcW w:w="1265" w:type="dxa"/>
            <w:tcBorders/>
            <w:vAlign w:val="center"/>
          </w:tcPr>
          <w:p>
            <w:pPr>
              <w:pStyle w:val="TableContents"/>
              <w:bidi w:val="0"/>
              <w:spacing w:lineRule="auto" w:line="285" w:before="0" w:after="200"/>
              <w:jc w:val="left"/>
              <w:rPr>
                <w:rFonts w:ascii="Arial;Helvetica;sans-serif" w:hAnsi="Arial;Helvetica;sans-serif"/>
                <w:b/>
                <w:caps/>
                <w:sz w:val="20"/>
              </w:rPr>
            </w:pPr>
            <w:r>
              <w:rPr>
                <w:rFonts w:ascii="Arial;Helvetica;sans-serif" w:hAnsi="Arial;Helvetica;sans-serif"/>
                <w:b/>
                <w:caps/>
                <w:sz w:val="20"/>
              </w:rPr>
              <w:t>RSU Award.</w:t>
            </w:r>
          </w:p>
        </w:tc>
      </w:tr>
    </w:tbl>
    <w:p>
      <w:pPr>
        <w:pStyle w:val="TextBody"/>
        <w:bidi w:val="0"/>
        <w:spacing w:lineRule="auto" w:line="285" w:before="0" w:after="0"/>
        <w:ind w:left="0" w:right="0" w:hanging="0"/>
        <w:jc w:val="left"/>
        <w:rPr/>
      </w:pPr>
      <w:r>
        <w:rPr>
          <w:rFonts w:ascii="Arial;Helvetica;sans-serif" w:hAnsi="Arial;Helvetica;sans-serif"/>
          <w:b w:val="false"/>
          <w:i w:val="false"/>
          <w:caps w:val="false"/>
          <w:smallCaps w:val="false"/>
          <w:sz w:val="20"/>
        </w:rPr>
        <w:t>3.1</w:t>
      </w:r>
      <w:r>
        <w:rPr>
          <w:rFonts w:ascii="Arial;Helvetica;sans-serif" w:hAnsi="Arial;Helvetica;sans-serif"/>
          <w:sz w:val="20"/>
          <w:u w:val="single"/>
        </w:rPr>
        <w:t>Grant of RSUs.</w:t>
      </w:r>
      <w:r>
        <w:rPr>
          <w:rFonts w:ascii="Aptos" w:hAnsi="Aptos"/>
          <w:sz w:val="20"/>
        </w:rPr>
        <w:t xml:space="preserve"> </w:t>
      </w:r>
      <w:r>
        <w:rPr>
          <w:rFonts w:ascii="Arial;Helvetica;sans-serif" w:hAnsi="Arial;Helvetica;sans-serif"/>
          <w:sz w:val="20"/>
        </w:rPr>
        <w:t>The Company hereby grants to the Executive an award of Restricted Stock Units in the amount of US $[_______], which represents [_____] shares of Common Stock of the Company at fair market value as of market close on July 24, 2026</w:t>
      </w:r>
      <w:hyperlink w:anchor="footnote-2">
        <w:r>
          <w:rPr>
            <w:rStyle w:val="InternetLink"/>
            <w:rFonts w:ascii="Arial;Helvetica;sans-serif" w:hAnsi="Arial;Helvetica;sans-serif"/>
            <w:sz w:val="15"/>
          </w:rPr>
          <w:t>1</w:t>
        </w:r>
      </w:hyperlink>
      <w:r>
        <w:rPr>
          <w:rFonts w:ascii="Aptos" w:hAnsi="Aptos"/>
          <w:sz w:val="20"/>
        </w:rPr>
        <w:t xml:space="preserve"> </w:t>
      </w:r>
      <w:r>
        <w:rPr>
          <w:rFonts w:ascii="Arial;Helvetica;sans-serif" w:hAnsi="Arial;Helvetica;sans-serif"/>
          <w:sz w:val="20"/>
        </w:rPr>
        <w:t xml:space="preserve">(rounded up or down to a whole number of shares), on the terms and conditions provided in this Agreement (the </w:t>
      </w:r>
      <w:r>
        <w:rPr>
          <w:rFonts w:ascii="Arial;Helvetica;sans-serif" w:hAnsi="Arial;Helvetica;sans-serif"/>
          <w:b/>
          <w:sz w:val="20"/>
        </w:rPr>
        <w:t>"RSU Award"</w:t>
      </w:r>
      <w:r>
        <w:rPr>
          <w:rFonts w:ascii="Arial;Helvetica;sans-serif" w:hAnsi="Arial;Helvetica;sans-serif"/>
          <w:sz w:val="20"/>
        </w:rPr>
        <w:t>).</w:t>
      </w:r>
    </w:p>
    <w:p>
      <w:pPr>
        <w:pStyle w:val="TextBody"/>
        <w:pBdr/>
        <w:bidi w:val="0"/>
        <w:spacing w:lineRule="auto" w:line="331" w:before="0" w:after="160"/>
        <w:ind w:left="0" w:right="0" w:hanging="360"/>
        <w:jc w:val="both"/>
        <w:rPr/>
      </w:pPr>
      <w:r>
        <w:rPr/>
        <w:t>​</w:t>
      </w:r>
    </w:p>
    <w:p>
      <w:pPr>
        <w:pStyle w:val="TextBody"/>
        <w:bidi w:val="0"/>
        <w:spacing w:lineRule="auto" w:line="331" w:before="0" w:after="200"/>
        <w:ind w:left="0" w:right="0" w:hanging="0"/>
        <w:jc w:val="both"/>
        <w:rPr>
          <w:rFonts w:ascii="Aptos" w:hAnsi="Aptos"/>
          <w:sz w:val="20"/>
        </w:rPr>
      </w:pPr>
      <w:bookmarkStart w:id="1783" w:name="footnote-21"/>
      <w:bookmarkEnd w:id="1783"/>
      <w:r>
        <w:rPr>
          <w:rFonts w:ascii="Arial;Helvetica;sans-serif" w:hAnsi="Arial;Helvetica;sans-serif"/>
          <w:sz w:val="15"/>
        </w:rPr>
        <w:t>1</w:t>
      </w:r>
      <w:r>
        <w:rPr>
          <w:rFonts w:ascii="Aptos" w:hAnsi="Aptos"/>
          <w:sz w:val="20"/>
        </w:rPr>
        <w:t xml:space="preserve"> </w:t>
      </w:r>
      <w:r>
        <w:rPr>
          <w:rFonts w:ascii="Arial;Helvetica;sans-serif" w:hAnsi="Arial;Helvetica;sans-serif"/>
          <w:sz w:val="20"/>
        </w:rPr>
        <w:t>Fair Market Value is based on a stock price of $2.10 in effect on July 24, 2026, the date the Retention Program was approved by the Committee.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1</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00"/>
        <w:ind w:left="0" w:right="0" w:hanging="0"/>
        <w:jc w:val="left"/>
        <w:rPr>
          <w:rFonts w:ascii="Aptos" w:hAnsi="Aptos"/>
          <w:sz w:val="20"/>
        </w:rPr>
      </w:pPr>
      <w:r>
        <w:rPr>
          <w:rFonts w:ascii="Arial;Helvetica;sans-serif" w:hAnsi="Arial;Helvetica;sans-serif"/>
          <w:b w:val="false"/>
          <w:i w:val="false"/>
          <w:caps w:val="false"/>
          <w:smallCaps w:val="false"/>
          <w:sz w:val="20"/>
        </w:rPr>
        <w:t>3.2</w:t>
      </w:r>
      <w:r>
        <w:rPr>
          <w:rFonts w:ascii="Arial;Helvetica;sans-serif" w:hAnsi="Arial;Helvetica;sans-serif"/>
          <w:sz w:val="20"/>
          <w:u w:val="single"/>
        </w:rPr>
        <w:t>Vesting Schedule.</w:t>
      </w:r>
      <w:r>
        <w:rPr>
          <w:rFonts w:ascii="Aptos" w:hAnsi="Aptos"/>
          <w:sz w:val="20"/>
        </w:rPr>
        <w:t xml:space="preserve"> </w:t>
      </w:r>
      <w:r>
        <w:rPr>
          <w:rFonts w:ascii="Arial;Helvetica;sans-serif" w:hAnsi="Arial;Helvetica;sans-serif"/>
          <w:sz w:val="20"/>
        </w:rPr>
        <w:t>Provided Executive continues to be employed by the Company in good standing through each applicable Vesting Date, the RSU Award shall vest as follows:</w:t>
      </w:r>
    </w:p>
    <w:tbl>
      <w:tblPr>
        <w:tblW w:w="6408" w:type="dxa"/>
        <w:jc w:val="left"/>
        <w:tblInd w:w="0" w:type="dxa"/>
        <w:tblLayout w:type="fixed"/>
        <w:tblCellMar>
          <w:top w:w="0" w:type="dxa"/>
          <w:left w:w="0" w:type="dxa"/>
          <w:bottom w:w="0" w:type="dxa"/>
          <w:right w:w="0" w:type="dxa"/>
        </w:tblCellMar>
      </w:tblPr>
      <w:tblGrid>
        <w:gridCol w:w="23"/>
        <w:gridCol w:w="245"/>
        <w:gridCol w:w="614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lineRule="auto" w:line="285" w:before="0" w:after="200"/>
              <w:jc w:val="both"/>
              <w:rPr>
                <w:rFonts w:ascii="Arial;Helvetica;sans-serif" w:hAnsi="Arial;Helvetica;sans-serif"/>
                <w:sz w:val="20"/>
              </w:rPr>
            </w:pPr>
            <w:r>
              <w:rPr>
                <w:rFonts w:ascii="Arial;Helvetica;sans-serif" w:hAnsi="Arial;Helvetica;sans-serif"/>
                <w:sz w:val="20"/>
              </w:rPr>
              <w:t>(a)</w:t>
            </w:r>
          </w:p>
        </w:tc>
        <w:tc>
          <w:tcPr>
            <w:tcW w:w="6140" w:type="dxa"/>
            <w:tcBorders/>
            <w:vAlign w:val="center"/>
          </w:tcPr>
          <w:p>
            <w:pPr>
              <w:pStyle w:val="TableContents"/>
              <w:bidi w:val="0"/>
              <w:spacing w:lineRule="auto" w:line="285" w:before="0" w:after="200"/>
              <w:jc w:val="both"/>
              <w:rPr>
                <w:rFonts w:ascii="Arial;Helvetica;sans-serif" w:hAnsi="Arial;Helvetica;sans-serif"/>
                <w:sz w:val="20"/>
              </w:rPr>
            </w:pPr>
            <w:r>
              <w:rPr>
                <w:rFonts w:ascii="Arial;Helvetica;sans-serif" w:hAnsi="Arial;Helvetica;sans-serif"/>
                <w:sz w:val="20"/>
              </w:rPr>
              <w:t>Fifty percent (50%) of the RSU Award shall vest on July 24, 2027; and</w:t>
            </w:r>
          </w:p>
        </w:tc>
      </w:tr>
    </w:tbl>
    <w:tbl>
      <w:tblPr>
        <w:tblW w:w="7593" w:type="dxa"/>
        <w:jc w:val="left"/>
        <w:tblInd w:w="0" w:type="dxa"/>
        <w:tblLayout w:type="fixed"/>
        <w:tblCellMar>
          <w:top w:w="0" w:type="dxa"/>
          <w:left w:w="0" w:type="dxa"/>
          <w:bottom w:w="0" w:type="dxa"/>
          <w:right w:w="0" w:type="dxa"/>
        </w:tblCellMar>
      </w:tblPr>
      <w:tblGrid>
        <w:gridCol w:w="23"/>
        <w:gridCol w:w="245"/>
        <w:gridCol w:w="732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lineRule="auto" w:line="285" w:before="0" w:after="200"/>
              <w:jc w:val="both"/>
              <w:rPr>
                <w:rFonts w:ascii="Arial;Helvetica;sans-serif" w:hAnsi="Arial;Helvetica;sans-serif"/>
                <w:sz w:val="20"/>
              </w:rPr>
            </w:pPr>
            <w:r>
              <w:rPr>
                <w:rFonts w:ascii="Arial;Helvetica;sans-serif" w:hAnsi="Arial;Helvetica;sans-serif"/>
                <w:sz w:val="20"/>
              </w:rPr>
              <w:t>(b)</w:t>
            </w:r>
          </w:p>
        </w:tc>
        <w:tc>
          <w:tcPr>
            <w:tcW w:w="7325" w:type="dxa"/>
            <w:tcBorders/>
            <w:vAlign w:val="center"/>
          </w:tcPr>
          <w:p>
            <w:pPr>
              <w:pStyle w:val="TableContents"/>
              <w:bidi w:val="0"/>
              <w:spacing w:lineRule="auto" w:line="285" w:before="0" w:after="200"/>
              <w:jc w:val="both"/>
              <w:rPr>
                <w:rFonts w:ascii="Arial;Helvetica;sans-serif" w:hAnsi="Arial;Helvetica;sans-serif"/>
                <w:sz w:val="20"/>
              </w:rPr>
            </w:pPr>
            <w:r>
              <w:rPr>
                <w:rFonts w:ascii="Arial;Helvetica;sans-serif" w:hAnsi="Arial;Helvetica;sans-serif"/>
                <w:sz w:val="20"/>
              </w:rPr>
              <w:t>The remaining fifty percent (50%) of the RSU Award shall vest on January 24, 2028.</w:t>
            </w:r>
          </w:p>
        </w:tc>
      </w:tr>
    </w:tbl>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Executive’s entitlement to vesting of each installment of the RSU Award is contingent upon the Executive’s continued employment with the Company in good standing through the applicable Vesting Date, except as otherwise provided in Paragraph 4 (Award Protection and Change in Control) of this Agreement.</w:t>
      </w:r>
    </w:p>
    <w:p>
      <w:pPr>
        <w:pStyle w:val="TextBody"/>
        <w:bidi w:val="0"/>
        <w:spacing w:lineRule="auto" w:line="285" w:before="0" w:after="200"/>
        <w:ind w:left="0" w:right="0" w:hanging="0"/>
        <w:jc w:val="left"/>
        <w:rPr>
          <w:rFonts w:ascii="Aptos" w:hAnsi="Aptos"/>
          <w:sz w:val="20"/>
        </w:rPr>
      </w:pPr>
      <w:r>
        <w:rPr>
          <w:rFonts w:ascii="Arial;Helvetica;sans-serif" w:hAnsi="Arial;Helvetica;sans-serif"/>
          <w:b w:val="false"/>
          <w:i w:val="false"/>
          <w:caps w:val="false"/>
          <w:smallCaps w:val="false"/>
          <w:sz w:val="20"/>
        </w:rPr>
        <w:t>3.3</w:t>
      </w:r>
      <w:r>
        <w:rPr>
          <w:rFonts w:ascii="Arial;Helvetica;sans-serif" w:hAnsi="Arial;Helvetica;sans-serif"/>
          <w:sz w:val="20"/>
          <w:u w:val="single"/>
        </w:rPr>
        <w:t>Settlement of Vested RSUs.</w:t>
      </w:r>
      <w:r>
        <w:rPr>
          <w:rFonts w:ascii="Aptos" w:hAnsi="Aptos"/>
          <w:sz w:val="20"/>
        </w:rPr>
        <w:t xml:space="preserve"> </w:t>
      </w:r>
      <w:r>
        <w:rPr>
          <w:rFonts w:ascii="Arial;Helvetica;sans-serif" w:hAnsi="Arial;Helvetica;sans-serif"/>
          <w:sz w:val="20"/>
        </w:rPr>
        <w:t>Vested RSUs shall be settled in shares of Common Stock of the Company (or cash equivalent, as determined by the Committee in its sole discretion) as soon as reasonably practicable following the Vesting Date.</w:t>
      </w:r>
    </w:p>
    <w:p>
      <w:pPr>
        <w:pStyle w:val="TextBody"/>
        <w:bidi w:val="0"/>
        <w:spacing w:lineRule="auto" w:line="285" w:before="0" w:after="200"/>
        <w:ind w:left="0" w:right="0" w:hanging="0"/>
        <w:jc w:val="left"/>
        <w:rPr>
          <w:rFonts w:ascii="Aptos" w:hAnsi="Aptos"/>
          <w:sz w:val="20"/>
        </w:rPr>
      </w:pPr>
      <w:r>
        <w:rPr>
          <w:rFonts w:ascii="Arial;Helvetica;sans-serif" w:hAnsi="Arial;Helvetica;sans-serif"/>
          <w:b w:val="false"/>
          <w:i w:val="false"/>
          <w:caps w:val="false"/>
          <w:smallCaps w:val="false"/>
          <w:sz w:val="20"/>
        </w:rPr>
        <w:t>3.4</w:t>
      </w:r>
      <w:r>
        <w:rPr>
          <w:rFonts w:ascii="Arial;Helvetica;sans-serif" w:hAnsi="Arial;Helvetica;sans-serif"/>
          <w:sz w:val="20"/>
          <w:u w:val="single"/>
        </w:rPr>
        <w:t>Restrictions on Transfer.</w:t>
      </w:r>
      <w:r>
        <w:rPr>
          <w:rFonts w:ascii="Aptos" w:hAnsi="Aptos"/>
          <w:sz w:val="20"/>
        </w:rPr>
        <w:t xml:space="preserve"> </w:t>
      </w:r>
      <w:r>
        <w:rPr>
          <w:rFonts w:ascii="Arial;Helvetica;sans-serif" w:hAnsi="Arial;Helvetica;sans-serif"/>
          <w:sz w:val="20"/>
        </w:rPr>
        <w:t>During the RSU Restricted Period, the unvested portion of the RSU Award and any related rights may not be assigned, alienated, pledged, attached, sold, or otherwise transferred or encumbered by the Executive. Any attempt to assign, alienate, pledge, attach, sell, transfer, or encumber the RSU Award or its related rights during the RSU Restricted Period shall be ineffective and, if any such attempt is made, the RSU Award will be forfeited by the Executive.</w:t>
      </w:r>
    </w:p>
    <w:p>
      <w:pPr>
        <w:pStyle w:val="TextBody"/>
        <w:bidi w:val="0"/>
        <w:spacing w:lineRule="auto" w:line="285" w:before="0" w:after="200"/>
        <w:ind w:left="0" w:right="0" w:hanging="0"/>
        <w:jc w:val="left"/>
        <w:rPr>
          <w:rFonts w:ascii="Aptos" w:hAnsi="Aptos"/>
          <w:sz w:val="20"/>
        </w:rPr>
      </w:pPr>
      <w:r>
        <w:rPr>
          <w:rFonts w:ascii="Arial;Helvetica;sans-serif" w:hAnsi="Arial;Helvetica;sans-serif"/>
          <w:b w:val="false"/>
          <w:i w:val="false"/>
          <w:caps w:val="false"/>
          <w:smallCaps w:val="false"/>
          <w:sz w:val="20"/>
        </w:rPr>
        <w:t>3.5</w:t>
      </w:r>
      <w:r>
        <w:rPr>
          <w:rFonts w:ascii="Arial;Helvetica;sans-serif" w:hAnsi="Arial;Helvetica;sans-serif"/>
          <w:sz w:val="20"/>
          <w:u w:val="single"/>
        </w:rPr>
        <w:t>Adjustments.</w:t>
      </w:r>
      <w:r>
        <w:rPr>
          <w:rFonts w:ascii="Aptos" w:hAnsi="Aptos"/>
          <w:sz w:val="20"/>
        </w:rPr>
        <w:t xml:space="preserve"> </w:t>
      </w:r>
      <w:r>
        <w:rPr>
          <w:rFonts w:ascii="Arial;Helvetica;sans-serif" w:hAnsi="Arial;Helvetica;sans-serif"/>
          <w:sz w:val="20"/>
        </w:rPr>
        <w:t>Subject to the sole discretion of the Committee, the Company may, with respect to any RSUs that have not been settled, make any adjustments necessary to prevent accretion, or to protect against dilution, in the number and kind of shares that may be used to settle vested RSUs in the event of a change in the corporate structure or shares of the Company.  For purposes of this Paragraph 3.5, a change in the corporate structure or shares of the Company includes, without limitation, any change resulting from a recapitalization, stock split, stock dividend, consolidation, rights offering, business segment spin-off, reorganization, or liquidation, and any transaction in which shares of Common Stock are changed into or exchanged for a different number or kind of shares of stock or other securities of the Company or another entity.</w:t>
      </w:r>
    </w:p>
    <w:p>
      <w:pPr>
        <w:pStyle w:val="TextBody"/>
        <w:bidi w:val="0"/>
        <w:spacing w:lineRule="auto" w:line="285" w:before="0" w:after="200"/>
        <w:ind w:left="0" w:right="0" w:hanging="0"/>
        <w:jc w:val="left"/>
        <w:rPr>
          <w:rFonts w:ascii="Aptos" w:hAnsi="Aptos"/>
          <w:sz w:val="20"/>
        </w:rPr>
      </w:pPr>
      <w:r>
        <w:rPr>
          <w:rFonts w:ascii="Arial;Helvetica;sans-serif" w:hAnsi="Arial;Helvetica;sans-serif"/>
          <w:b w:val="false"/>
          <w:i w:val="false"/>
          <w:caps w:val="false"/>
          <w:smallCaps w:val="false"/>
          <w:sz w:val="20"/>
        </w:rPr>
        <w:t>3.6</w:t>
      </w:r>
      <w:r>
        <w:rPr>
          <w:rFonts w:ascii="Arial;Helvetica;sans-serif" w:hAnsi="Arial;Helvetica;sans-serif"/>
          <w:sz w:val="20"/>
          <w:u w:val="single"/>
        </w:rPr>
        <w:t>Forfeiture</w:t>
      </w:r>
      <w:r>
        <w:rPr>
          <w:rFonts w:ascii="Arial;Helvetica;sans-serif" w:hAnsi="Arial;Helvetica;sans-serif"/>
          <w:sz w:val="20"/>
        </w:rPr>
        <w:t>. Except as otherwise provided in Paragraph 4 (Award Protection and Change in Control) of this Agreement, the unvested portion of the RSU Award shall be forfeited immediately upon the termination of the Executive’s employment with the Company for any reason, and the Company shall have no further obligations to the Executive under this Agreement for such forfeited RSUs.</w:t>
      </w:r>
    </w:p>
    <w:p>
      <w:pPr>
        <w:pStyle w:val="TextBody"/>
        <w:bidi w:val="0"/>
        <w:spacing w:lineRule="auto" w:line="285" w:before="0" w:after="200"/>
        <w:ind w:left="0" w:right="0" w:hanging="0"/>
        <w:jc w:val="left"/>
        <w:rPr>
          <w:rFonts w:ascii="Aptos" w:hAnsi="Aptos"/>
          <w:sz w:val="20"/>
        </w:rPr>
      </w:pPr>
      <w:r>
        <w:rPr>
          <w:rFonts w:ascii="Arial;Helvetica;sans-serif" w:hAnsi="Arial;Helvetica;sans-serif"/>
          <w:b w:val="false"/>
          <w:i w:val="false"/>
          <w:caps w:val="false"/>
          <w:smallCaps w:val="false"/>
          <w:sz w:val="20"/>
        </w:rPr>
        <w:t>3.7</w:t>
      </w:r>
      <w:r>
        <w:rPr>
          <w:rFonts w:ascii="Arial;Helvetica;sans-serif" w:hAnsi="Arial;Helvetica;sans-serif"/>
          <w:sz w:val="20"/>
          <w:u w:val="single"/>
        </w:rPr>
        <w:t>Amendment.</w:t>
      </w:r>
      <w:r>
        <w:rPr>
          <w:rFonts w:ascii="Aptos" w:hAnsi="Aptos"/>
          <w:sz w:val="20"/>
        </w:rPr>
        <w:t xml:space="preserve"> </w:t>
      </w:r>
      <w:r>
        <w:rPr>
          <w:rFonts w:ascii="Arial;Helvetica;sans-serif" w:hAnsi="Arial;Helvetica;sans-serif"/>
          <w:sz w:val="20"/>
        </w:rPr>
        <w:t>The Company may amend, suspend, or cancel the unvested portion of the RSU Award prospectively, provided that no amendment shall have an adverse effect on the Executive’s material rights under this Agreement without the Executive’s written consent. If the RSU Award is amended or cancelled while unvested and the Executive is not in breach of this Agreement, the Company shall substitute an instrument of equal value.</w:t>
      </w:r>
    </w:p>
    <w:tbl>
      <w:tblPr>
        <w:tblW w:w="4930" w:type="dxa"/>
        <w:jc w:val="left"/>
        <w:tblInd w:w="0" w:type="dxa"/>
        <w:tblLayout w:type="fixed"/>
        <w:tblCellMar>
          <w:top w:w="0" w:type="dxa"/>
          <w:left w:w="0" w:type="dxa"/>
          <w:bottom w:w="0" w:type="dxa"/>
          <w:right w:w="0" w:type="dxa"/>
        </w:tblCellMar>
      </w:tblPr>
      <w:tblGrid>
        <w:gridCol w:w="185"/>
        <w:gridCol w:w="4745"/>
      </w:tblGrid>
      <w:tr>
        <w:trPr/>
        <w:tc>
          <w:tcPr>
            <w:tcW w:w="185" w:type="dxa"/>
            <w:tcBorders/>
            <w:vAlign w:val="center"/>
          </w:tcPr>
          <w:p>
            <w:pPr>
              <w:pStyle w:val="TableContents"/>
              <w:bidi w:val="0"/>
              <w:spacing w:lineRule="auto" w:line="285" w:before="0" w:after="200"/>
              <w:jc w:val="left"/>
              <w:rPr>
                <w:rFonts w:ascii="Arial;Helvetica;sans-serif" w:hAnsi="Arial;Helvetica;sans-serif"/>
                <w:b/>
                <w:caps/>
                <w:sz w:val="20"/>
              </w:rPr>
            </w:pPr>
            <w:r>
              <w:rPr>
                <w:rFonts w:ascii="Arial;Helvetica;sans-serif" w:hAnsi="Arial;Helvetica;sans-serif"/>
                <w:b/>
                <w:caps/>
                <w:sz w:val="20"/>
              </w:rPr>
              <w:t>4.</w:t>
            </w:r>
          </w:p>
        </w:tc>
        <w:tc>
          <w:tcPr>
            <w:tcW w:w="4745" w:type="dxa"/>
            <w:tcBorders/>
            <w:vAlign w:val="center"/>
          </w:tcPr>
          <w:p>
            <w:pPr>
              <w:pStyle w:val="TableContents"/>
              <w:bidi w:val="0"/>
              <w:spacing w:lineRule="auto" w:line="285" w:before="0" w:after="200"/>
              <w:jc w:val="left"/>
              <w:rPr>
                <w:rFonts w:ascii="Arial;Helvetica;sans-serif" w:hAnsi="Arial;Helvetica;sans-serif"/>
                <w:b/>
                <w:caps/>
                <w:sz w:val="20"/>
              </w:rPr>
            </w:pPr>
            <w:r>
              <w:rPr>
                <w:rFonts w:ascii="Arial;Helvetica;sans-serif" w:hAnsi="Arial;Helvetica;sans-serif"/>
                <w:b/>
                <w:caps/>
                <w:sz w:val="20"/>
              </w:rPr>
              <w:t>Award Protection and Change in Control.</w:t>
            </w:r>
          </w:p>
        </w:tc>
      </w:tr>
    </w:tbl>
    <w:p>
      <w:pPr>
        <w:pStyle w:val="TextBody"/>
        <w:bidi w:val="0"/>
        <w:spacing w:lineRule="auto" w:line="285" w:before="0" w:after="200"/>
        <w:ind w:left="0" w:right="0" w:hanging="0"/>
        <w:jc w:val="left"/>
        <w:rPr>
          <w:rFonts w:ascii="Aptos" w:hAnsi="Aptos"/>
          <w:sz w:val="20"/>
        </w:rPr>
      </w:pPr>
      <w:r>
        <w:rPr>
          <w:rFonts w:ascii="Arial;Helvetica;sans-serif" w:hAnsi="Arial;Helvetica;sans-serif"/>
          <w:b w:val="false"/>
          <w:i w:val="false"/>
          <w:caps w:val="false"/>
          <w:smallCaps w:val="false"/>
          <w:sz w:val="20"/>
        </w:rPr>
        <w:t>4.1</w:t>
      </w:r>
      <w:r>
        <w:rPr>
          <w:rFonts w:ascii="Arial;Helvetica;sans-serif" w:hAnsi="Arial;Helvetica;sans-serif"/>
          <w:sz w:val="20"/>
          <w:u w:val="single"/>
        </w:rPr>
        <w:t>Termination Without Cause.</w:t>
      </w:r>
      <w:r>
        <w:rPr>
          <w:rFonts w:ascii="Aptos" w:hAnsi="Aptos"/>
          <w:sz w:val="20"/>
        </w:rPr>
        <w:t xml:space="preserve"> </w:t>
      </w:r>
      <w:r>
        <w:rPr>
          <w:rFonts w:ascii="Arial;Helvetica;sans-serif" w:hAnsi="Arial;Helvetica;sans-serif"/>
          <w:sz w:val="20"/>
        </w:rPr>
        <w:t>Except as provided in Paragraph 4.6 (Termination During Change in Control Period), if the Executive’s employment is terminated by the Company for any reason other than for Cause (as defined in the Employment Agreement) before the 2026 Retention Award is fully paid or vested, the Executive shall receive the pro rata portion of the Award (both the Cash Award and the RSU Award) as of the date of termination, with proration calculated as provided in Paragraph 4.</w:t>
      </w:r>
    </w:p>
    <w:p>
      <w:pPr>
        <w:pStyle w:val="TextBody"/>
        <w:bidi w:val="0"/>
        <w:spacing w:lineRule="auto" w:line="285" w:before="0" w:after="200"/>
        <w:ind w:left="0" w:right="0" w:hanging="0"/>
        <w:jc w:val="left"/>
        <w:rPr>
          <w:rFonts w:ascii="Aptos" w:hAnsi="Aptos"/>
          <w:sz w:val="20"/>
        </w:rPr>
      </w:pPr>
      <w:r>
        <w:rPr>
          <w:rFonts w:ascii="Arial;Helvetica;sans-serif" w:hAnsi="Arial;Helvetica;sans-serif"/>
          <w:b w:val="false"/>
          <w:i w:val="false"/>
          <w:caps w:val="false"/>
          <w:smallCaps w:val="false"/>
          <w:sz w:val="20"/>
        </w:rPr>
        <w:t>4.2</w:t>
      </w:r>
      <w:r>
        <w:rPr>
          <w:rFonts w:ascii="Arial;Helvetica;sans-serif" w:hAnsi="Arial;Helvetica;sans-serif"/>
          <w:sz w:val="20"/>
          <w:u w:val="single"/>
        </w:rPr>
        <w:t>Proration Formula.</w:t>
      </w:r>
      <w:r>
        <w:rPr>
          <w:rFonts w:ascii="Aptos" w:hAnsi="Aptos"/>
          <w:sz w:val="20"/>
        </w:rPr>
        <w:t xml:space="preserve"> </w:t>
      </w:r>
      <w:r>
        <w:rPr>
          <w:rFonts w:ascii="Arial;Helvetica;sans-serif" w:hAnsi="Arial;Helvetica;sans-serif"/>
          <w:sz w:val="20"/>
        </w:rPr>
        <w:t xml:space="preserve">For purposes of this Paragraph 4, proration shall be calculated on a straight-line basis, based on the actual number of days worked by the Executive during the Retention Period, divided by the total number of days in the Retention Period (the </w:t>
      </w:r>
      <w:r>
        <w:rPr>
          <w:rFonts w:ascii="Aptos" w:hAnsi="Aptos"/>
          <w:sz w:val="20"/>
        </w:rPr>
        <w:t>“</w:t>
      </w:r>
      <w:r>
        <w:rPr>
          <w:rFonts w:ascii="Arial;Helvetica;sans-serif" w:hAnsi="Arial;Helvetica;sans-serif"/>
          <w:b/>
          <w:sz w:val="20"/>
        </w:rPr>
        <w:t>Pro Rata Fraction”</w:t>
      </w:r>
      <w:r>
        <w:rPr>
          <w:rFonts w:ascii="Arial;Helvetica;sans-serif" w:hAnsi="Arial;Helvetica;sans-serif"/>
          <w:sz w:val="20"/>
        </w:rPr>
        <w:t>).</w:t>
      </w:r>
    </w:p>
    <w:p>
      <w:pPr>
        <w:pStyle w:val="TextBody"/>
        <w:bidi w:val="0"/>
        <w:spacing w:lineRule="auto" w:line="285" w:before="0" w:after="200"/>
        <w:ind w:left="0" w:right="0" w:hanging="0"/>
        <w:jc w:val="left"/>
        <w:rPr>
          <w:rFonts w:ascii="Aptos" w:hAnsi="Aptos"/>
          <w:sz w:val="20"/>
        </w:rPr>
      </w:pPr>
      <w:r>
        <w:rPr>
          <w:rFonts w:ascii="Arial;Helvetica;sans-serif" w:hAnsi="Arial;Helvetica;sans-serif"/>
          <w:b w:val="false"/>
          <w:i w:val="false"/>
          <w:caps w:val="false"/>
          <w:smallCaps w:val="false"/>
          <w:sz w:val="20"/>
        </w:rPr>
        <w:t>4.3</w:t>
      </w:r>
      <w:r>
        <w:rPr>
          <w:rFonts w:ascii="Arial;Helvetica;sans-serif" w:hAnsi="Arial;Helvetica;sans-serif"/>
          <w:sz w:val="20"/>
          <w:u w:val="single"/>
        </w:rPr>
        <w:t>Cash Award Proration.</w:t>
      </w:r>
      <w:r>
        <w:rPr>
          <w:rFonts w:ascii="Aptos" w:hAnsi="Aptos"/>
          <w:sz w:val="20"/>
        </w:rPr>
        <w:t xml:space="preserve"> </w:t>
      </w:r>
      <w:r>
        <w:rPr>
          <w:rFonts w:ascii="Arial;Helvetica;sans-serif" w:hAnsi="Arial;Helvetica;sans-serif"/>
          <w:sz w:val="20"/>
        </w:rPr>
        <w:t>The unpaid portion of the Cash Award will be multiplied by the Pro Rata Fraction. The prorated Cash Award amount shall be paid on the next scheduled payout date following the Executive’s date of termination.</w:t>
      </w:r>
    </w:p>
    <w:p>
      <w:pPr>
        <w:pStyle w:val="TextBody"/>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2</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00"/>
        <w:ind w:left="0" w:right="0" w:hanging="0"/>
        <w:jc w:val="left"/>
        <w:rPr>
          <w:rFonts w:ascii="Aptos" w:hAnsi="Aptos"/>
          <w:sz w:val="20"/>
        </w:rPr>
      </w:pPr>
      <w:r>
        <w:rPr>
          <w:rFonts w:ascii="Arial;Helvetica;sans-serif" w:hAnsi="Arial;Helvetica;sans-serif"/>
          <w:b w:val="false"/>
          <w:i w:val="false"/>
          <w:caps w:val="false"/>
          <w:smallCaps w:val="false"/>
          <w:sz w:val="20"/>
        </w:rPr>
        <w:t>4.4</w:t>
      </w:r>
      <w:r>
        <w:rPr>
          <w:rFonts w:ascii="Arial;Helvetica;sans-serif" w:hAnsi="Arial;Helvetica;sans-serif"/>
          <w:sz w:val="20"/>
          <w:u w:val="single"/>
        </w:rPr>
        <w:t>RSU Award Acceleration</w:t>
      </w:r>
      <w:r>
        <w:rPr>
          <w:rFonts w:ascii="Arial;Helvetica;sans-serif" w:hAnsi="Arial;Helvetica;sans-serif"/>
          <w:b/>
          <w:sz w:val="20"/>
        </w:rPr>
        <w:t>.</w:t>
      </w:r>
      <w:r>
        <w:rPr>
          <w:rFonts w:ascii="Aptos" w:hAnsi="Aptos"/>
          <w:sz w:val="20"/>
        </w:rPr>
        <w:t xml:space="preserve"> </w:t>
      </w:r>
      <w:r>
        <w:rPr>
          <w:rFonts w:ascii="Arial;Helvetica;sans-serif" w:hAnsi="Arial;Helvetica;sans-serif"/>
          <w:sz w:val="20"/>
        </w:rPr>
        <w:t>The vesting of the prorated portion of the RSU Award, calculated using the Pro Rata Fraction, will accelerate to the Executive’s date of termination. Settlement of such accelerated RSUs shall occur in accordance with Paragraph 3.3 of this Agreement.</w:t>
      </w:r>
    </w:p>
    <w:p>
      <w:pPr>
        <w:pStyle w:val="TextBody"/>
        <w:bidi w:val="0"/>
        <w:spacing w:lineRule="auto" w:line="285" w:before="0" w:after="200"/>
        <w:ind w:left="0" w:right="0" w:hanging="0"/>
        <w:jc w:val="left"/>
        <w:rPr>
          <w:rFonts w:ascii="Aptos" w:hAnsi="Aptos"/>
          <w:sz w:val="20"/>
        </w:rPr>
      </w:pPr>
      <w:r>
        <w:rPr>
          <w:rFonts w:ascii="Arial;Helvetica;sans-serif" w:hAnsi="Arial;Helvetica;sans-serif"/>
          <w:b w:val="false"/>
          <w:i w:val="false"/>
          <w:caps w:val="false"/>
          <w:smallCaps w:val="false"/>
          <w:sz w:val="20"/>
        </w:rPr>
        <w:t>4.5</w:t>
      </w:r>
      <w:r>
        <w:rPr>
          <w:rFonts w:ascii="Arial;Helvetica;sans-serif" w:hAnsi="Arial;Helvetica;sans-serif"/>
          <w:sz w:val="20"/>
          <w:u w:val="single"/>
        </w:rPr>
        <w:t>Change in Control Vesting.</w:t>
      </w:r>
      <w:r>
        <w:rPr>
          <w:rFonts w:ascii="Aptos" w:hAnsi="Aptos"/>
          <w:sz w:val="20"/>
        </w:rPr>
        <w:t xml:space="preserve"> </w:t>
      </w:r>
      <w:r>
        <w:rPr>
          <w:rFonts w:ascii="Arial;Helvetica;sans-serif" w:hAnsi="Arial;Helvetica;sans-serif"/>
          <w:sz w:val="20"/>
        </w:rPr>
        <w:t>If, prior to the date on which the 2026 Retention Award is fully paid and vested, the Company completes a Material Transaction the effect of which is a Change in Control event, all unvested RSUs shall vest in full as of the date immediately preceding the effective date of such Change in Control event, with settlement occurring in accordance with Paragraph 3.3 of this Agreement, and the Cash Award shall remain unchanged as an obligation of the successor legal entity to be paid in accordance with the schedule set forth in Paragraph 2, subject to this Paragraph 4.</w:t>
      </w:r>
    </w:p>
    <w:p>
      <w:pPr>
        <w:pStyle w:val="TextBody"/>
        <w:bidi w:val="0"/>
        <w:spacing w:lineRule="auto" w:line="285" w:before="0" w:after="200"/>
        <w:ind w:left="0" w:right="0" w:hanging="0"/>
        <w:jc w:val="left"/>
        <w:rPr>
          <w:rFonts w:ascii="Aptos" w:hAnsi="Aptos"/>
          <w:sz w:val="20"/>
        </w:rPr>
      </w:pPr>
      <w:r>
        <w:rPr>
          <w:rFonts w:ascii="Arial;Helvetica;sans-serif" w:hAnsi="Arial;Helvetica;sans-serif"/>
          <w:b w:val="false"/>
          <w:i w:val="false"/>
          <w:caps w:val="false"/>
          <w:smallCaps w:val="false"/>
          <w:sz w:val="20"/>
        </w:rPr>
        <w:t>4.6</w:t>
      </w:r>
      <w:r>
        <w:rPr>
          <w:rFonts w:ascii="Arial;Helvetica;sans-serif" w:hAnsi="Arial;Helvetica;sans-serif"/>
          <w:sz w:val="20"/>
          <w:u w:val="single"/>
        </w:rPr>
        <w:t>Termination During Change in Control Period.</w:t>
      </w:r>
      <w:r>
        <w:rPr>
          <w:rFonts w:ascii="Aptos" w:hAnsi="Aptos"/>
          <w:sz w:val="20"/>
        </w:rPr>
        <w:t xml:space="preserve"> </w:t>
      </w:r>
      <w:r>
        <w:rPr>
          <w:rFonts w:ascii="Arial;Helvetica;sans-serif" w:hAnsi="Arial;Helvetica;sans-serif"/>
          <w:sz w:val="20"/>
        </w:rPr>
        <w:t xml:space="preserve">If the Executive is in good standing and is separated from the Company without Cause or pursuant to a Constructive Termination during the Change in Control Period, then the Company, as part of the Executive’s separation settlement, will provide the Executive no later than seventy-four (74) days following termination of employment with: </w:t>
      </w:r>
    </w:p>
    <w:p>
      <w:pPr>
        <w:pStyle w:val="TextBody"/>
        <w:bidi w:val="0"/>
        <w:spacing w:lineRule="auto" w:line="285" w:before="0" w:after="200"/>
        <w:ind w:left="0" w:right="0" w:firstLine="720"/>
        <w:jc w:val="both"/>
        <w:rPr>
          <w:rFonts w:ascii="Arial;Helvetica;sans-serif" w:hAnsi="Arial;Helvetica;sans-serif"/>
          <w:sz w:val="20"/>
        </w:rPr>
      </w:pPr>
      <w:r>
        <w:rPr>
          <w:rFonts w:ascii="Arial;Helvetica;sans-serif" w:hAnsi="Arial;Helvetica;sans-serif"/>
          <w:sz w:val="20"/>
        </w:rPr>
        <w:t xml:space="preserve">(i) payment of the full remaining unpaid balance of the Cash Award; and </w:t>
      </w:r>
    </w:p>
    <w:p>
      <w:pPr>
        <w:pStyle w:val="TextBody"/>
        <w:bidi w:val="0"/>
        <w:spacing w:lineRule="auto" w:line="285" w:before="0" w:after="200"/>
        <w:ind w:left="0" w:right="0" w:firstLine="720"/>
        <w:jc w:val="both"/>
        <w:rPr>
          <w:rFonts w:ascii="Arial;Helvetica;sans-serif" w:hAnsi="Arial;Helvetica;sans-serif"/>
          <w:sz w:val="20"/>
        </w:rPr>
      </w:pPr>
      <w:r>
        <w:rPr>
          <w:rFonts w:ascii="Arial;Helvetica;sans-serif" w:hAnsi="Arial;Helvetica;sans-serif"/>
          <w:sz w:val="20"/>
        </w:rPr>
        <w:t>(ii) immediate vesting of all remaining unvested RSUs, with settlement occurring in accordance with Paragraph 3.3 of this Agreement.</w:t>
      </w:r>
    </w:p>
    <w:p>
      <w:pPr>
        <w:pStyle w:val="TextBody"/>
        <w:bidi w:val="0"/>
        <w:spacing w:lineRule="auto" w:line="285" w:before="0" w:after="200"/>
        <w:ind w:left="0" w:right="0" w:hanging="0"/>
        <w:jc w:val="left"/>
        <w:rPr>
          <w:rFonts w:ascii="Aptos" w:hAnsi="Aptos"/>
          <w:sz w:val="20"/>
        </w:rPr>
      </w:pPr>
      <w:r>
        <w:rPr>
          <w:rFonts w:ascii="Arial;Helvetica;sans-serif" w:hAnsi="Arial;Helvetica;sans-serif"/>
          <w:b w:val="false"/>
          <w:i w:val="false"/>
          <w:caps w:val="false"/>
          <w:smallCaps w:val="false"/>
          <w:sz w:val="20"/>
        </w:rPr>
        <w:t>4.7</w:t>
      </w:r>
      <w:r>
        <w:rPr>
          <w:rFonts w:ascii="Arial;Helvetica;sans-serif" w:hAnsi="Arial;Helvetica;sans-serif"/>
          <w:sz w:val="20"/>
          <w:u w:val="single"/>
        </w:rPr>
        <w:t>Forfeiture on Voluntary Termination or Termination for Cause.</w:t>
      </w:r>
      <w:r>
        <w:rPr>
          <w:rFonts w:ascii="Aptos" w:hAnsi="Aptos"/>
          <w:sz w:val="20"/>
        </w:rPr>
        <w:t xml:space="preserve"> </w:t>
      </w:r>
      <w:r>
        <w:rPr>
          <w:rFonts w:ascii="Arial;Helvetica;sans-serif" w:hAnsi="Arial;Helvetica;sans-serif"/>
          <w:sz w:val="20"/>
        </w:rPr>
        <w:t>For the avoidance of doubt, any voluntary separation by the Executive or any termination for Cause shall not be subject to the protections set forth in this Paragraph 4, and in any such instance, the Executive’s rights to any unpaid Cash Award installments shall be forfeited and any unvested RSUs shall be forfeited in accordance with Paragraph 3.6.</w:t>
      </w:r>
    </w:p>
    <w:tbl>
      <w:tblPr>
        <w:tblW w:w="2845" w:type="dxa"/>
        <w:jc w:val="left"/>
        <w:tblInd w:w="0" w:type="dxa"/>
        <w:tblLayout w:type="fixed"/>
        <w:tblCellMar>
          <w:top w:w="0" w:type="dxa"/>
          <w:left w:w="0" w:type="dxa"/>
          <w:bottom w:w="0" w:type="dxa"/>
          <w:right w:w="0" w:type="dxa"/>
        </w:tblCellMar>
      </w:tblPr>
      <w:tblGrid>
        <w:gridCol w:w="185"/>
        <w:gridCol w:w="2660"/>
      </w:tblGrid>
      <w:tr>
        <w:trPr/>
        <w:tc>
          <w:tcPr>
            <w:tcW w:w="185" w:type="dxa"/>
            <w:tcBorders/>
            <w:vAlign w:val="center"/>
          </w:tcPr>
          <w:p>
            <w:pPr>
              <w:pStyle w:val="TableContents"/>
              <w:bidi w:val="0"/>
              <w:spacing w:lineRule="auto" w:line="285" w:before="0" w:after="200"/>
              <w:jc w:val="left"/>
              <w:rPr>
                <w:rFonts w:ascii="Arial;Helvetica;sans-serif" w:hAnsi="Arial;Helvetica;sans-serif"/>
                <w:b/>
                <w:caps/>
                <w:sz w:val="20"/>
              </w:rPr>
            </w:pPr>
            <w:r>
              <w:rPr>
                <w:rFonts w:ascii="Arial;Helvetica;sans-serif" w:hAnsi="Arial;Helvetica;sans-serif"/>
                <w:b/>
                <w:caps/>
                <w:sz w:val="20"/>
              </w:rPr>
              <w:t>5.</w:t>
            </w:r>
          </w:p>
        </w:tc>
        <w:tc>
          <w:tcPr>
            <w:tcW w:w="2660" w:type="dxa"/>
            <w:tcBorders/>
            <w:vAlign w:val="center"/>
          </w:tcPr>
          <w:p>
            <w:pPr>
              <w:pStyle w:val="TableContents"/>
              <w:bidi w:val="0"/>
              <w:spacing w:lineRule="auto" w:line="285" w:before="0" w:after="200"/>
              <w:jc w:val="left"/>
              <w:rPr>
                <w:rFonts w:ascii="Arial;Helvetica;sans-serif" w:hAnsi="Arial;Helvetica;sans-serif"/>
                <w:b/>
                <w:caps/>
                <w:sz w:val="20"/>
              </w:rPr>
            </w:pPr>
            <w:r>
              <w:rPr>
                <w:rFonts w:ascii="Arial;Helvetica;sans-serif" w:hAnsi="Arial;Helvetica;sans-serif"/>
                <w:b/>
                <w:caps/>
                <w:sz w:val="20"/>
              </w:rPr>
              <w:t>Restrictive Covenants.</w:t>
            </w:r>
          </w:p>
        </w:tc>
      </w:tr>
    </w:tbl>
    <w:p>
      <w:pPr>
        <w:pStyle w:val="TextBody"/>
        <w:bidi w:val="0"/>
        <w:spacing w:lineRule="auto" w:line="285" w:before="0" w:after="200"/>
        <w:ind w:left="0" w:right="0" w:hanging="0"/>
        <w:jc w:val="left"/>
        <w:rPr>
          <w:rFonts w:ascii="Aptos" w:hAnsi="Aptos"/>
          <w:sz w:val="20"/>
        </w:rPr>
      </w:pPr>
      <w:r>
        <w:rPr>
          <w:rFonts w:ascii="Arial;Helvetica;sans-serif" w:hAnsi="Arial;Helvetica;sans-serif"/>
          <w:b w:val="false"/>
          <w:i w:val="false"/>
          <w:caps w:val="false"/>
          <w:smallCaps w:val="false"/>
          <w:sz w:val="20"/>
        </w:rPr>
        <w:t>5.1</w:t>
      </w:r>
      <w:r>
        <w:rPr>
          <w:rFonts w:ascii="Arial;Helvetica;sans-serif" w:hAnsi="Arial;Helvetica;sans-serif"/>
          <w:sz w:val="20"/>
        </w:rPr>
        <w:t>This Agreement incorporates by reference all Restrictive Covenants set forth in the Executive’s Employment Agreement, including without limitation the Non-Compete Undertaking, the Employees Non-Solicitation Undertaking, the Client Non-Solicitation Undertaking, and all related confidentiality and non-disclosure obligations, including any duration periods provided therein. The Executive hereby acknowledges and reaffirms all such Restrictive Covenants and agrees to comply with the Restrictive Covenants to the fullest extent permitted by applicable law.</w:t>
      </w:r>
    </w:p>
    <w:p>
      <w:pPr>
        <w:pStyle w:val="TextBody"/>
        <w:bidi w:val="0"/>
        <w:spacing w:lineRule="auto" w:line="285" w:before="0" w:after="200"/>
        <w:ind w:left="0" w:right="0" w:hanging="0"/>
        <w:jc w:val="left"/>
        <w:rPr>
          <w:rFonts w:ascii="Aptos" w:hAnsi="Aptos"/>
          <w:sz w:val="20"/>
        </w:rPr>
      </w:pPr>
      <w:r>
        <w:rPr>
          <w:rFonts w:ascii="Arial;Helvetica;sans-serif" w:hAnsi="Arial;Helvetica;sans-serif"/>
          <w:b w:val="false"/>
          <w:i w:val="false"/>
          <w:caps w:val="false"/>
          <w:smallCaps w:val="false"/>
          <w:sz w:val="20"/>
        </w:rPr>
        <w:t>5.2</w:t>
      </w:r>
      <w:r>
        <w:rPr>
          <w:rFonts w:ascii="Arial;Helvetica;sans-serif" w:hAnsi="Arial;Helvetica;sans-serif"/>
          <w:sz w:val="20"/>
          <w:u w:val="single"/>
        </w:rPr>
        <w:t>Acknowledgements.</w:t>
      </w:r>
      <w:r>
        <w:rPr>
          <w:rFonts w:ascii="Aptos" w:hAnsi="Aptos"/>
          <w:sz w:val="20"/>
        </w:rPr>
        <w:t xml:space="preserve">  </w:t>
      </w:r>
      <w:r>
        <w:rPr>
          <w:rFonts w:ascii="Arial;Helvetica;sans-serif" w:hAnsi="Arial;Helvetica;sans-serif"/>
          <w:sz w:val="20"/>
        </w:rPr>
        <w:t>Executive acknowledges that: (i) the non-competition and non-solicitation provisions incorporated into this Agreement by reference, including their scope, duration, and geographic reach, are fair and reasonable given the Executive’s position with TTEC, the nature and geographic scope of the TTEC business, and the Company’s investment of capital and resources in developing its business operations; (ii) Executive has access to proprietary trade secret information and valuable customer relationships that justify the restrictions on Executive’s future employment and business activities in TTEC’s industry; and (iii) Executive’s standard of living may be reduced during the non-competition and/or non-solicitation period, and Executive assumes and accepts any risk associated with that possibility, acknowledging that any such reduction does not constitute undue hardship.</w:t>
      </w:r>
    </w:p>
    <w:tbl>
      <w:tblPr>
        <w:tblW w:w="3250" w:type="dxa"/>
        <w:jc w:val="left"/>
        <w:tblInd w:w="0" w:type="dxa"/>
        <w:tblLayout w:type="fixed"/>
        <w:tblCellMar>
          <w:top w:w="0" w:type="dxa"/>
          <w:left w:w="0" w:type="dxa"/>
          <w:bottom w:w="0" w:type="dxa"/>
          <w:right w:w="0" w:type="dxa"/>
        </w:tblCellMar>
      </w:tblPr>
      <w:tblGrid>
        <w:gridCol w:w="185"/>
        <w:gridCol w:w="3065"/>
      </w:tblGrid>
      <w:tr>
        <w:trPr/>
        <w:tc>
          <w:tcPr>
            <w:tcW w:w="185" w:type="dxa"/>
            <w:tcBorders/>
            <w:vAlign w:val="center"/>
          </w:tcPr>
          <w:p>
            <w:pPr>
              <w:pStyle w:val="TableContents"/>
              <w:bidi w:val="0"/>
              <w:spacing w:lineRule="auto" w:line="285" w:before="0" w:after="200"/>
              <w:jc w:val="left"/>
              <w:rPr>
                <w:rFonts w:ascii="Arial;Helvetica;sans-serif" w:hAnsi="Arial;Helvetica;sans-serif"/>
                <w:b/>
                <w:caps/>
                <w:sz w:val="20"/>
              </w:rPr>
            </w:pPr>
            <w:r>
              <w:rPr>
                <w:rFonts w:ascii="Arial;Helvetica;sans-serif" w:hAnsi="Arial;Helvetica;sans-serif"/>
                <w:b/>
                <w:caps/>
                <w:sz w:val="20"/>
              </w:rPr>
              <w:t>6.</w:t>
            </w:r>
          </w:p>
        </w:tc>
        <w:tc>
          <w:tcPr>
            <w:tcW w:w="3065" w:type="dxa"/>
            <w:tcBorders/>
            <w:vAlign w:val="center"/>
          </w:tcPr>
          <w:p>
            <w:pPr>
              <w:pStyle w:val="TableContents"/>
              <w:bidi w:val="0"/>
              <w:spacing w:lineRule="auto" w:line="285" w:before="0" w:after="200"/>
              <w:jc w:val="left"/>
              <w:rPr>
                <w:rFonts w:ascii="Arial;Helvetica;sans-serif" w:hAnsi="Arial;Helvetica;sans-serif"/>
                <w:b/>
                <w:caps/>
                <w:sz w:val="20"/>
              </w:rPr>
            </w:pPr>
            <w:r>
              <w:rPr>
                <w:rFonts w:ascii="Arial;Helvetica;sans-serif" w:hAnsi="Arial;Helvetica;sans-serif"/>
                <w:b/>
                <w:caps/>
                <w:sz w:val="20"/>
              </w:rPr>
              <w:t>Miscellaneous Provisions.</w:t>
            </w:r>
          </w:p>
        </w:tc>
      </w:tr>
    </w:tbl>
    <w:p>
      <w:pPr>
        <w:pStyle w:val="TextBody"/>
        <w:bidi w:val="0"/>
        <w:spacing w:lineRule="auto" w:line="285" w:before="0" w:after="200"/>
        <w:ind w:left="0" w:right="0" w:hanging="0"/>
        <w:jc w:val="left"/>
        <w:rPr>
          <w:rFonts w:ascii="Aptos" w:hAnsi="Aptos"/>
          <w:sz w:val="20"/>
        </w:rPr>
      </w:pPr>
      <w:r>
        <w:rPr>
          <w:rFonts w:ascii="Arial;Helvetica;sans-serif" w:hAnsi="Arial;Helvetica;sans-serif"/>
          <w:b w:val="false"/>
          <w:i w:val="false"/>
          <w:caps w:val="false"/>
          <w:smallCaps w:val="false"/>
          <w:sz w:val="20"/>
        </w:rPr>
        <w:t>6.1</w:t>
      </w:r>
      <w:r>
        <w:rPr>
          <w:rFonts w:ascii="Arial;Helvetica;sans-serif" w:hAnsi="Arial;Helvetica;sans-serif"/>
          <w:sz w:val="20"/>
          <w:u w:val="single"/>
        </w:rPr>
        <w:t>Consideration</w:t>
      </w:r>
      <w:r>
        <w:rPr>
          <w:rFonts w:ascii="Arial;Helvetica;sans-serif" w:hAnsi="Arial;Helvetica;sans-serif"/>
          <w:b/>
          <w:sz w:val="20"/>
        </w:rPr>
        <w:t>.</w:t>
      </w:r>
      <w:r>
        <w:rPr>
          <w:rFonts w:ascii="Aptos" w:hAnsi="Aptos"/>
          <w:sz w:val="20"/>
        </w:rPr>
        <w:t xml:space="preserve"> </w:t>
      </w:r>
      <w:r>
        <w:rPr>
          <w:rFonts w:ascii="Arial;Helvetica;sans-serif" w:hAnsi="Arial;Helvetica;sans-serif"/>
          <w:sz w:val="20"/>
        </w:rPr>
        <w:t>The Company is providing this 2026 Retention Award in consideration of the services that the Executive is providing to the Company, and other mutual covenants provided in this Agreement, including without limitation, the Restrictive Covenants outlined in Paragraph 5 (Restrictive Covenants).</w:t>
      </w:r>
    </w:p>
    <w:p>
      <w:pPr>
        <w:pStyle w:val="TextBody"/>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3</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00"/>
        <w:ind w:left="0" w:right="0" w:hanging="0"/>
        <w:jc w:val="left"/>
        <w:rPr>
          <w:rFonts w:ascii="Aptos" w:hAnsi="Aptos"/>
          <w:sz w:val="20"/>
        </w:rPr>
      </w:pPr>
      <w:r>
        <w:rPr>
          <w:rFonts w:ascii="Arial;Helvetica;sans-serif" w:hAnsi="Arial;Helvetica;sans-serif"/>
          <w:b w:val="false"/>
          <w:i w:val="false"/>
          <w:caps w:val="false"/>
          <w:smallCaps w:val="false"/>
          <w:sz w:val="20"/>
        </w:rPr>
        <w:t>6.2</w:t>
      </w:r>
      <w:r>
        <w:rPr>
          <w:rFonts w:ascii="Arial;Helvetica;sans-serif" w:hAnsi="Arial;Helvetica;sans-serif"/>
          <w:sz w:val="20"/>
          <w:u w:val="single"/>
        </w:rPr>
        <w:t>Administration</w:t>
      </w:r>
      <w:r>
        <w:rPr>
          <w:rFonts w:ascii="Arial;Helvetica;sans-serif" w:hAnsi="Arial;Helvetica;sans-serif"/>
          <w:b/>
          <w:sz w:val="20"/>
        </w:rPr>
        <w:t>.</w:t>
      </w:r>
      <w:r>
        <w:rPr>
          <w:rFonts w:ascii="Aptos" w:hAnsi="Aptos"/>
          <w:sz w:val="20"/>
        </w:rPr>
        <w:t xml:space="preserve"> </w:t>
      </w:r>
      <w:r>
        <w:rPr>
          <w:rFonts w:ascii="Arial;Helvetica;sans-serif" w:hAnsi="Arial;Helvetica;sans-serif"/>
          <w:sz w:val="20"/>
        </w:rPr>
        <w:t>The Committee, in its reasonable discretion, shall have the authority to  determine the effect of all matters and questions with respect to the Executive’s termination of affiliation with the Company and whether continuous services are being provided as these matters relate to the 2026 Retention Award payout or vesting, including without limitation, the question of whether a termination of service has occurred, whether a leave of absence or disability constitutes a termination of service, and other similar questions.</w:t>
      </w:r>
    </w:p>
    <w:p>
      <w:pPr>
        <w:pStyle w:val="TextBody"/>
        <w:bidi w:val="0"/>
        <w:spacing w:lineRule="auto" w:line="285" w:before="0" w:after="200"/>
        <w:ind w:left="0" w:right="0" w:hanging="0"/>
        <w:jc w:val="left"/>
        <w:rPr>
          <w:rFonts w:ascii="Aptos" w:hAnsi="Aptos"/>
          <w:sz w:val="20"/>
        </w:rPr>
      </w:pPr>
      <w:r>
        <w:rPr>
          <w:rFonts w:ascii="Arial;Helvetica;sans-serif" w:hAnsi="Arial;Helvetica;sans-serif"/>
          <w:b w:val="false"/>
          <w:i w:val="false"/>
          <w:caps w:val="false"/>
          <w:smallCaps w:val="false"/>
          <w:sz w:val="20"/>
        </w:rPr>
        <w:t>6.3</w:t>
      </w:r>
      <w:r>
        <w:rPr>
          <w:rFonts w:ascii="Arial;Helvetica;sans-serif" w:hAnsi="Arial;Helvetica;sans-serif"/>
          <w:sz w:val="20"/>
          <w:u w:val="single"/>
        </w:rPr>
        <w:t>Dodd-Frank and Other Incentive Recoupment Provisions</w:t>
      </w:r>
      <w:r>
        <w:rPr>
          <w:rFonts w:ascii="Arial;Helvetica;sans-serif" w:hAnsi="Arial;Helvetica;sans-serif"/>
          <w:b/>
          <w:sz w:val="20"/>
        </w:rPr>
        <w:t>.</w:t>
      </w:r>
      <w:r>
        <w:rPr>
          <w:rFonts w:ascii="Aptos" w:hAnsi="Aptos"/>
          <w:sz w:val="20"/>
        </w:rPr>
        <w:t xml:space="preserve"> </w:t>
      </w:r>
      <w:r>
        <w:rPr>
          <w:rFonts w:ascii="Arial;Helvetica;sans-serif" w:hAnsi="Arial;Helvetica;sans-serif"/>
          <w:sz w:val="20"/>
        </w:rPr>
        <w:t>Notwithstanding any other provision in this Agreement, the 2026 Retention Award provided under this Agreement is subject to the TTEC Incentive Recoupment Policy promulgated in accordance with the requirements of the Sarbanes-Oxley Act of 2002 and the Dodd-Frank Wall Street Reform and Consumer Protection Act of 2010, which can be found on TTEC’s policy website or by contacting the TTEC Legal or People &amp; Culture departments.</w:t>
      </w:r>
    </w:p>
    <w:p>
      <w:pPr>
        <w:pStyle w:val="TextBody"/>
        <w:bidi w:val="0"/>
        <w:spacing w:lineRule="auto" w:line="285" w:before="0" w:after="200"/>
        <w:ind w:left="0" w:right="0" w:hanging="0"/>
        <w:jc w:val="left"/>
        <w:rPr>
          <w:rFonts w:ascii="Aptos" w:hAnsi="Aptos"/>
          <w:sz w:val="20"/>
        </w:rPr>
      </w:pPr>
      <w:r>
        <w:rPr>
          <w:rFonts w:ascii="Arial;Helvetica;sans-serif" w:hAnsi="Arial;Helvetica;sans-serif"/>
          <w:b w:val="false"/>
          <w:i w:val="false"/>
          <w:caps w:val="false"/>
          <w:smallCaps w:val="false"/>
          <w:sz w:val="20"/>
        </w:rPr>
        <w:t>6.4</w:t>
      </w:r>
      <w:r>
        <w:rPr>
          <w:rFonts w:ascii="Arial;Helvetica;sans-serif" w:hAnsi="Arial;Helvetica;sans-serif"/>
          <w:sz w:val="20"/>
          <w:u w:val="single"/>
        </w:rPr>
        <w:t>No Right to Continuing Service.</w:t>
      </w:r>
      <w:r>
        <w:rPr>
          <w:rFonts w:ascii="Aptos" w:hAnsi="Aptos"/>
          <w:sz w:val="20"/>
        </w:rPr>
        <w:t xml:space="preserve"> </w:t>
      </w:r>
      <w:r>
        <w:rPr>
          <w:rFonts w:ascii="Arial;Helvetica;sans-serif" w:hAnsi="Arial;Helvetica;sans-serif"/>
          <w:sz w:val="20"/>
        </w:rPr>
        <w:t>Neither the 2026 Retention Award nor this Agreement shall confer upon the Executive any right to be retained in any position, as an employee, consultant, or director of TTEC. Further, nothing in this Agreement shall be construed to limit the discretion of TTEC to terminate the Executive’s services (employment or otherwise) at any time, with or without cause.</w:t>
      </w:r>
    </w:p>
    <w:p>
      <w:pPr>
        <w:pStyle w:val="TextBody"/>
        <w:bidi w:val="0"/>
        <w:spacing w:lineRule="auto" w:line="285" w:before="0" w:after="200"/>
        <w:ind w:left="0" w:right="0" w:hanging="0"/>
        <w:jc w:val="left"/>
        <w:rPr>
          <w:rFonts w:ascii="Aptos" w:hAnsi="Aptos"/>
          <w:sz w:val="20"/>
        </w:rPr>
      </w:pPr>
      <w:r>
        <w:rPr>
          <w:rFonts w:ascii="Arial;Helvetica;sans-serif" w:hAnsi="Arial;Helvetica;sans-serif"/>
          <w:b w:val="false"/>
          <w:i w:val="false"/>
          <w:caps w:val="false"/>
          <w:smallCaps w:val="false"/>
          <w:sz w:val="20"/>
        </w:rPr>
        <w:t>6.5</w:t>
      </w:r>
      <w:r>
        <w:rPr>
          <w:rFonts w:ascii="Arial;Helvetica;sans-serif" w:hAnsi="Arial;Helvetica;sans-serif"/>
          <w:sz w:val="20"/>
          <w:u w:val="single"/>
        </w:rPr>
        <w:t>Tax Liability and Withholding</w:t>
      </w:r>
      <w:r>
        <w:rPr>
          <w:rFonts w:ascii="Arial;Helvetica;sans-serif" w:hAnsi="Arial;Helvetica;sans-serif"/>
          <w:b/>
          <w:sz w:val="20"/>
        </w:rPr>
        <w:t>.</w:t>
      </w:r>
      <w:r>
        <w:rPr>
          <w:rFonts w:ascii="Aptos" w:hAnsi="Aptos"/>
          <w:sz w:val="20"/>
        </w:rPr>
        <w:t xml:space="preserve"> </w:t>
      </w:r>
      <w:r>
        <w:rPr>
          <w:rFonts w:ascii="Arial;Helvetica;sans-serif" w:hAnsi="Arial;Helvetica;sans-serif"/>
          <w:sz w:val="20"/>
        </w:rPr>
        <w:t>The Executive shall be required to pay, and the Company or its administrator shall have the right to deduct from any compensation paid to the Executive pursuant to this Agreement, the amount of any required withholding taxes applicable upon the payment of the Cash Award or upon the vesting of the RSU Award or the issuance of Common Stock of the Company (or cash equivalent), and to take all such other action as the Company deems necessary to satisfy all obligations for the payment of such withholding taxes.</w:t>
      </w:r>
    </w:p>
    <w:p>
      <w:pPr>
        <w:pStyle w:val="TextBody"/>
        <w:bidi w:val="0"/>
        <w:spacing w:lineRule="auto" w:line="285" w:before="0" w:after="200"/>
        <w:ind w:left="0" w:right="0" w:hanging="0"/>
        <w:jc w:val="left"/>
        <w:rPr>
          <w:rFonts w:ascii="Aptos" w:hAnsi="Aptos"/>
          <w:sz w:val="20"/>
        </w:rPr>
      </w:pPr>
      <w:r>
        <w:rPr>
          <w:rFonts w:ascii="Arial;Helvetica;sans-serif" w:hAnsi="Arial;Helvetica;sans-serif"/>
          <w:b w:val="false"/>
          <w:i w:val="false"/>
          <w:caps w:val="false"/>
          <w:smallCaps w:val="false"/>
          <w:sz w:val="20"/>
        </w:rPr>
        <w:t>6.6</w:t>
      </w:r>
      <w:r>
        <w:rPr>
          <w:rFonts w:ascii="Arial;Helvetica;sans-serif" w:hAnsi="Arial;Helvetica;sans-serif"/>
          <w:sz w:val="20"/>
          <w:u w:val="single"/>
        </w:rPr>
        <w:t>Governing Law and Dispute Resolution.</w:t>
      </w:r>
    </w:p>
    <w:tbl>
      <w:tblPr>
        <w:tblW w:w="10205" w:type="dxa"/>
        <w:jc w:val="left"/>
        <w:tblInd w:w="0" w:type="dxa"/>
        <w:tblLayout w:type="fixed"/>
        <w:tblCellMar>
          <w:top w:w="0" w:type="dxa"/>
          <w:left w:w="0" w:type="dxa"/>
          <w:bottom w:w="0" w:type="dxa"/>
          <w:right w:w="0" w:type="dxa"/>
        </w:tblCellMar>
      </w:tblPr>
      <w:tblGrid>
        <w:gridCol w:w="23"/>
        <w:gridCol w:w="199"/>
        <w:gridCol w:w="9983"/>
      </w:tblGrid>
      <w:tr>
        <w:trPr/>
        <w:tc>
          <w:tcPr>
            <w:tcW w:w="2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lineRule="auto" w:line="285" w:before="0" w:after="200"/>
              <w:jc w:val="both"/>
              <w:rPr>
                <w:rFonts w:ascii="Arial;Helvetica;sans-serif" w:hAnsi="Arial;Helvetica;sans-serif"/>
                <w:sz w:val="20"/>
              </w:rPr>
            </w:pPr>
            <w:r>
              <w:rPr>
                <w:rFonts w:ascii="Arial;Helvetica;sans-serif" w:hAnsi="Arial;Helvetica;sans-serif"/>
                <w:sz w:val="20"/>
              </w:rPr>
              <w:t>(a)</w:t>
            </w:r>
          </w:p>
        </w:tc>
        <w:tc>
          <w:tcPr>
            <w:tcW w:w="9983" w:type="dxa"/>
            <w:tcBorders/>
            <w:vAlign w:val="center"/>
          </w:tcPr>
          <w:p>
            <w:pPr>
              <w:pStyle w:val="TableContents"/>
              <w:bidi w:val="0"/>
              <w:spacing w:lineRule="auto" w:line="285" w:before="0" w:after="200"/>
              <w:jc w:val="both"/>
              <w:rPr>
                <w:rFonts w:ascii="Aptos" w:hAnsi="Aptos"/>
                <w:sz w:val="24"/>
              </w:rPr>
            </w:pPr>
            <w:r>
              <w:rPr>
                <w:rFonts w:ascii="Arial;Helvetica;sans-serif" w:hAnsi="Arial;Helvetica;sans-serif"/>
                <w:sz w:val="20"/>
                <w:u w:val="single"/>
              </w:rPr>
              <w:t>Governing Law.</w:t>
            </w:r>
            <w:r>
              <w:rPr>
                <w:rFonts w:ascii="Aptos" w:hAnsi="Aptos"/>
                <w:sz w:val="24"/>
              </w:rPr>
              <w:t xml:space="preserve"> </w:t>
            </w:r>
            <w:r>
              <w:rPr>
                <w:rFonts w:ascii="Arial;Helvetica;sans-serif" w:hAnsi="Arial;Helvetica;sans-serif"/>
                <w:sz w:val="20"/>
              </w:rPr>
              <w:t>This Agreement will be construed and interpreted in accordance with the laws of the State of Texas, U.S.A., without regard to conflict of law principles. If the laws of the jurisdiction where the Executive resides require that restrictive covenants contained in this Agreement are adjudicated under the provisions of that State’s law, the requirements of this Paragraph 6.6(a) shall be deemed reformed to that effect.</w:t>
            </w:r>
          </w:p>
        </w:tc>
      </w:tr>
    </w:tbl>
    <w:tbl>
      <w:tblPr>
        <w:tblW w:w="10205" w:type="dxa"/>
        <w:jc w:val="left"/>
        <w:tblInd w:w="0" w:type="dxa"/>
        <w:tblLayout w:type="fixed"/>
        <w:tblCellMar>
          <w:top w:w="0" w:type="dxa"/>
          <w:left w:w="0" w:type="dxa"/>
          <w:bottom w:w="0" w:type="dxa"/>
          <w:right w:w="0" w:type="dxa"/>
        </w:tblCellMar>
      </w:tblPr>
      <w:tblGrid>
        <w:gridCol w:w="23"/>
        <w:gridCol w:w="207"/>
        <w:gridCol w:w="9975"/>
      </w:tblGrid>
      <w:tr>
        <w:trPr/>
        <w:tc>
          <w:tcPr>
            <w:tcW w:w="2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lineRule="auto" w:line="285" w:before="0" w:after="200"/>
              <w:jc w:val="both"/>
              <w:rPr>
                <w:rFonts w:ascii="Arial;Helvetica;sans-serif" w:hAnsi="Arial;Helvetica;sans-serif"/>
                <w:sz w:val="20"/>
              </w:rPr>
            </w:pPr>
            <w:r>
              <w:rPr>
                <w:rFonts w:ascii="Arial;Helvetica;sans-serif" w:hAnsi="Arial;Helvetica;sans-serif"/>
                <w:sz w:val="20"/>
              </w:rPr>
              <w:t>(b)</w:t>
            </w:r>
          </w:p>
        </w:tc>
        <w:tc>
          <w:tcPr>
            <w:tcW w:w="9975" w:type="dxa"/>
            <w:tcBorders/>
            <w:vAlign w:val="center"/>
          </w:tcPr>
          <w:p>
            <w:pPr>
              <w:pStyle w:val="TableContents"/>
              <w:bidi w:val="0"/>
              <w:spacing w:lineRule="auto" w:line="285" w:before="0" w:after="200"/>
              <w:jc w:val="both"/>
              <w:rPr>
                <w:rFonts w:ascii="Aptos" w:hAnsi="Aptos"/>
                <w:sz w:val="24"/>
              </w:rPr>
            </w:pPr>
            <w:r>
              <w:rPr>
                <w:rFonts w:ascii="Arial;Helvetica;sans-serif" w:hAnsi="Arial;Helvetica;sans-serif"/>
                <w:sz w:val="20"/>
                <w:u w:val="single"/>
              </w:rPr>
              <w:t>Disputes.</w:t>
            </w:r>
            <w:r>
              <w:rPr>
                <w:rFonts w:ascii="Aptos" w:hAnsi="Aptos"/>
                <w:sz w:val="24"/>
              </w:rPr>
              <w:t xml:space="preserve"> </w:t>
            </w:r>
            <w:r>
              <w:rPr>
                <w:rFonts w:ascii="Arial;Helvetica;sans-serif" w:hAnsi="Arial;Helvetica;sans-serif"/>
                <w:sz w:val="20"/>
              </w:rPr>
              <w:t>The parties agree that any action arising from or relating in any way to this Agreement shall be resolved and tried in the state or federal courts situated in Austin, Texas, U.S.A. The parties consent to the jurisdiction and venue of those courts to the greatest extent allowed by law.</w:t>
            </w:r>
          </w:p>
        </w:tc>
      </w:tr>
    </w:tbl>
    <w:tbl>
      <w:tblPr>
        <w:tblW w:w="10205" w:type="dxa"/>
        <w:jc w:val="left"/>
        <w:tblInd w:w="0" w:type="dxa"/>
        <w:tblLayout w:type="fixed"/>
        <w:tblCellMar>
          <w:top w:w="0" w:type="dxa"/>
          <w:left w:w="0" w:type="dxa"/>
          <w:bottom w:w="0" w:type="dxa"/>
          <w:right w:w="0" w:type="dxa"/>
        </w:tblCellMar>
      </w:tblPr>
      <w:tblGrid>
        <w:gridCol w:w="23"/>
        <w:gridCol w:w="217"/>
        <w:gridCol w:w="9965"/>
      </w:tblGrid>
      <w:tr>
        <w:trPr/>
        <w:tc>
          <w:tcPr>
            <w:tcW w:w="2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lineRule="auto" w:line="285" w:before="0" w:after="200"/>
              <w:jc w:val="both"/>
              <w:rPr>
                <w:rFonts w:ascii="Arial;Helvetica;sans-serif" w:hAnsi="Arial;Helvetica;sans-serif"/>
                <w:sz w:val="20"/>
              </w:rPr>
            </w:pPr>
            <w:r>
              <w:rPr>
                <w:rFonts w:ascii="Arial;Helvetica;sans-serif" w:hAnsi="Arial;Helvetica;sans-serif"/>
                <w:sz w:val="20"/>
              </w:rPr>
              <w:t>(c)</w:t>
            </w:r>
          </w:p>
        </w:tc>
        <w:tc>
          <w:tcPr>
            <w:tcW w:w="9965" w:type="dxa"/>
            <w:tcBorders/>
            <w:vAlign w:val="center"/>
          </w:tcPr>
          <w:p>
            <w:pPr>
              <w:pStyle w:val="TableContents"/>
              <w:bidi w:val="0"/>
              <w:spacing w:lineRule="auto" w:line="285" w:before="0" w:after="200"/>
              <w:jc w:val="both"/>
              <w:rPr>
                <w:rFonts w:ascii="Aptos" w:hAnsi="Aptos"/>
                <w:sz w:val="24"/>
              </w:rPr>
            </w:pPr>
            <w:r>
              <w:rPr>
                <w:rFonts w:ascii="Arial;Helvetica;sans-serif" w:hAnsi="Arial;Helvetica;sans-serif"/>
                <w:sz w:val="20"/>
                <w:u w:val="single"/>
              </w:rPr>
              <w:t>Attorneys’ Fees</w:t>
            </w:r>
            <w:r>
              <w:rPr>
                <w:rFonts w:ascii="Arial;Helvetica;sans-serif" w:hAnsi="Arial;Helvetica;sans-serif"/>
                <w:b/>
                <w:sz w:val="20"/>
              </w:rPr>
              <w:t>.</w:t>
            </w:r>
            <w:r>
              <w:rPr>
                <w:rFonts w:ascii="Aptos" w:hAnsi="Aptos"/>
                <w:sz w:val="24"/>
              </w:rPr>
              <w:t xml:space="preserve"> </w:t>
            </w:r>
            <w:r>
              <w:rPr>
                <w:rFonts w:ascii="Arial;Helvetica;sans-serif" w:hAnsi="Arial;Helvetica;sans-serif"/>
                <w:sz w:val="20"/>
              </w:rPr>
              <w:t>The party that substantially prevails in any action to enforce any provision of this Agreement shall recover all reasonable costs and attorneys’ fees incurred in connection with the action.</w:t>
            </w:r>
          </w:p>
        </w:tc>
      </w:tr>
    </w:tbl>
    <w:p>
      <w:pPr>
        <w:pStyle w:val="TextBody"/>
        <w:bidi w:val="0"/>
        <w:spacing w:lineRule="auto" w:line="285" w:before="0" w:after="200"/>
        <w:ind w:left="0" w:right="0" w:hanging="0"/>
        <w:jc w:val="left"/>
        <w:rPr>
          <w:rFonts w:ascii="Aptos" w:hAnsi="Aptos"/>
          <w:sz w:val="20"/>
        </w:rPr>
      </w:pPr>
      <w:r>
        <w:rPr>
          <w:rFonts w:ascii="Arial;Helvetica;sans-serif" w:hAnsi="Arial;Helvetica;sans-serif"/>
          <w:b w:val="false"/>
          <w:i w:val="false"/>
          <w:caps w:val="false"/>
          <w:smallCaps w:val="false"/>
          <w:sz w:val="20"/>
        </w:rPr>
        <w:t>6.7</w:t>
      </w:r>
      <w:r>
        <w:rPr>
          <w:rFonts w:ascii="Arial;Helvetica;sans-serif" w:hAnsi="Arial;Helvetica;sans-serif"/>
          <w:sz w:val="20"/>
          <w:u w:val="single"/>
        </w:rPr>
        <w:t>Successors and Assigns.</w:t>
      </w:r>
      <w:r>
        <w:rPr>
          <w:rFonts w:ascii="Aptos" w:hAnsi="Aptos"/>
          <w:sz w:val="20"/>
        </w:rPr>
        <w:t xml:space="preserve"> </w:t>
      </w:r>
      <w:r>
        <w:rPr>
          <w:rFonts w:ascii="Arial;Helvetica;sans-serif" w:hAnsi="Arial;Helvetica;sans-serif"/>
          <w:sz w:val="20"/>
        </w:rPr>
        <w:t>The Company may assign any of its rights under this Agreement. This Agreement will be binding upon and inure to the benefit of the successors and assigns of the Company. Subject to the restrictions on transfer set forth herein, this Agreement will be binding upon the Executive and the Executive’s beneficiaries, executors, administrators, and the person(s) to whom the rights under this Agreement may transfer by will or the laws of descent or distribution.</w:t>
      </w:r>
    </w:p>
    <w:p>
      <w:pPr>
        <w:pStyle w:val="TextBody"/>
        <w:bidi w:val="0"/>
        <w:spacing w:lineRule="auto" w:line="285" w:before="0" w:after="200"/>
        <w:ind w:left="0" w:right="0" w:hanging="0"/>
        <w:jc w:val="left"/>
        <w:rPr>
          <w:rFonts w:ascii="Aptos" w:hAnsi="Aptos"/>
          <w:sz w:val="20"/>
        </w:rPr>
      </w:pPr>
      <w:r>
        <w:rPr>
          <w:rFonts w:ascii="Arial;Helvetica;sans-serif" w:hAnsi="Arial;Helvetica;sans-serif"/>
          <w:b w:val="false"/>
          <w:i w:val="false"/>
          <w:caps w:val="false"/>
          <w:smallCaps w:val="false"/>
          <w:sz w:val="20"/>
        </w:rPr>
        <w:t>6.8</w:t>
      </w:r>
      <w:r>
        <w:rPr>
          <w:rFonts w:ascii="Arial;Helvetica;sans-serif" w:hAnsi="Arial;Helvetica;sans-serif"/>
          <w:sz w:val="20"/>
          <w:u w:val="single"/>
        </w:rPr>
        <w:t>No Impact on Other Benefits.</w:t>
      </w:r>
      <w:r>
        <w:rPr>
          <w:rFonts w:ascii="Aptos" w:hAnsi="Aptos"/>
          <w:sz w:val="20"/>
        </w:rPr>
        <w:t xml:space="preserve"> </w:t>
      </w:r>
      <w:r>
        <w:rPr>
          <w:rFonts w:ascii="Arial;Helvetica;sans-serif" w:hAnsi="Arial;Helvetica;sans-serif"/>
          <w:sz w:val="20"/>
        </w:rPr>
        <w:t>Except as otherwise provided in the Employment Agreement, the value of the Executive’s awards hereunder is not part of his/her normal or expected compensation for purposes of calculating any severance, retirement, welfare, insurance, or similar employee benefit.</w:t>
      </w:r>
    </w:p>
    <w:p>
      <w:pPr>
        <w:pStyle w:val="TextBody"/>
        <w:bidi w:val="0"/>
        <w:spacing w:lineRule="auto" w:line="285" w:before="0" w:after="200"/>
        <w:ind w:left="0" w:right="0" w:hanging="0"/>
        <w:jc w:val="left"/>
        <w:rPr>
          <w:rFonts w:ascii="Aptos" w:hAnsi="Aptos"/>
          <w:sz w:val="20"/>
        </w:rPr>
      </w:pPr>
      <w:r>
        <w:rPr>
          <w:rFonts w:ascii="Arial;Helvetica;sans-serif" w:hAnsi="Arial;Helvetica;sans-serif"/>
          <w:b w:val="false"/>
          <w:i w:val="false"/>
          <w:caps w:val="false"/>
          <w:smallCaps w:val="false"/>
          <w:sz w:val="20"/>
        </w:rPr>
        <w:t>6.9</w:t>
      </w:r>
      <w:r>
        <w:rPr>
          <w:rFonts w:ascii="Arial;Helvetica;sans-serif" w:hAnsi="Arial;Helvetica;sans-serif"/>
          <w:sz w:val="20"/>
          <w:u w:val="single"/>
        </w:rPr>
        <w:t>Confidentiality.</w:t>
      </w:r>
      <w:r>
        <w:rPr>
          <w:rFonts w:ascii="Aptos" w:hAnsi="Aptos"/>
          <w:sz w:val="20"/>
        </w:rPr>
        <w:t xml:space="preserve"> </w:t>
      </w:r>
      <w:r>
        <w:rPr>
          <w:rFonts w:ascii="Arial;Helvetica;sans-serif" w:hAnsi="Arial;Helvetica;sans-serif"/>
          <w:sz w:val="20"/>
        </w:rPr>
        <w:t xml:space="preserve">The Executive agrees not to disclose, directly or indirectly, to any other employee, director, or consultant of TTEC or an affiliate, and to keep confidential all information related to the 2026 Retention Award granted to Executive, including the amount of such Award and its payment and vesting schedule, unless the Executive’s role as a public company officer requires such disclosure. </w:t>
      </w:r>
    </w:p>
    <w:p>
      <w:pPr>
        <w:pStyle w:val="TextBody"/>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4</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00"/>
        <w:ind w:left="0" w:right="0" w:hanging="0"/>
        <w:jc w:val="left"/>
        <w:rPr>
          <w:rFonts w:ascii="Aptos" w:hAnsi="Aptos"/>
          <w:sz w:val="20"/>
        </w:rPr>
      </w:pPr>
      <w:r>
        <w:rPr>
          <w:rFonts w:ascii="Arial;Helvetica;sans-serif" w:hAnsi="Arial;Helvetica;sans-serif"/>
          <w:b w:val="false"/>
          <w:i w:val="false"/>
          <w:caps w:val="false"/>
          <w:smallCaps w:val="false"/>
          <w:sz w:val="20"/>
        </w:rPr>
        <w:t>6.10</w:t>
      </w:r>
      <w:r>
        <w:rPr>
          <w:rFonts w:ascii="Arial;Helvetica;sans-serif" w:hAnsi="Arial;Helvetica;sans-serif"/>
          <w:sz w:val="20"/>
          <w:u w:val="single"/>
        </w:rPr>
        <w:t>Severability and Entirety</w:t>
      </w:r>
      <w:r>
        <w:rPr>
          <w:rFonts w:ascii="Arial;Helvetica;sans-serif" w:hAnsi="Arial;Helvetica;sans-serif"/>
          <w:b/>
          <w:sz w:val="20"/>
        </w:rPr>
        <w:t>.</w:t>
      </w:r>
      <w:r>
        <w:rPr>
          <w:rFonts w:ascii="Aptos" w:hAnsi="Aptos"/>
          <w:sz w:val="20"/>
        </w:rPr>
        <w:t xml:space="preserve"> </w:t>
      </w:r>
      <w:r>
        <w:rPr>
          <w:rFonts w:ascii="Arial;Helvetica;sans-serif" w:hAnsi="Arial;Helvetica;sans-serif"/>
          <w:sz w:val="20"/>
        </w:rPr>
        <w:t>The invalidity or unenforceability of any provision of this Agreement shall not affect the validity or enforceability of any other provision of this Agreement, and each provision of this Agreement shall be severable and enforceable to the extent permitted by law. This Agreement constitutes the entire agreement between the parties concerning the subject matter hereof and supersedes all prior and contemporaneous agreements, oral or written, between the Company and Executive relating to Executive’s entitlement to retention incentive compensation in 2026 or similar awards or benefits.</w:t>
      </w:r>
    </w:p>
    <w:p>
      <w:pPr>
        <w:pStyle w:val="TextBody"/>
        <w:bidi w:val="0"/>
        <w:spacing w:lineRule="auto" w:line="285" w:before="0" w:after="200"/>
        <w:ind w:left="0" w:right="0" w:hanging="0"/>
        <w:jc w:val="left"/>
        <w:rPr>
          <w:rFonts w:ascii="Aptos" w:hAnsi="Aptos"/>
          <w:sz w:val="20"/>
        </w:rPr>
      </w:pPr>
      <w:r>
        <w:rPr>
          <w:rFonts w:ascii="Arial;Helvetica;sans-serif" w:hAnsi="Arial;Helvetica;sans-serif"/>
          <w:b w:val="false"/>
          <w:i w:val="false"/>
          <w:caps w:val="false"/>
          <w:smallCaps w:val="false"/>
          <w:sz w:val="20"/>
        </w:rPr>
        <w:t>6.11</w:t>
      </w:r>
      <w:r>
        <w:rPr>
          <w:rFonts w:ascii="Arial;Helvetica;sans-serif" w:hAnsi="Arial;Helvetica;sans-serif"/>
          <w:sz w:val="20"/>
          <w:u w:val="single"/>
        </w:rPr>
        <w:t>IRS Section 409A.</w:t>
      </w:r>
      <w:r>
        <w:rPr>
          <w:rFonts w:ascii="Aptos" w:hAnsi="Aptos"/>
          <w:sz w:val="20"/>
        </w:rPr>
        <w:t xml:space="preserve"> </w:t>
      </w:r>
      <w:r>
        <w:rPr>
          <w:rFonts w:ascii="Arial;Helvetica;sans-serif" w:hAnsi="Arial;Helvetica;sans-serif"/>
          <w:sz w:val="20"/>
        </w:rPr>
        <w:t>This Agreement shall be interpreted and administered in a manner so that any amount or benefit payable hereunder shall be paid or provided in a manner that is either exempt from, or complies with, the requirements of Section 409A of the Internal Revenue Code of 1986, as amended (the “Code”) and the Internal Revenue Service guidance and Treasury Regulations thereunder (collectively, “Section 409A”). Notwithstanding any provision of this Agreement to the contrary, to the extent required by Section 409A, no payment shall be made to the Executive earlier than the earliest date permitted under Section 409A without incurring additional taxes or penalties.</w:t>
      </w:r>
    </w:p>
    <w:p>
      <w:pPr>
        <w:pStyle w:val="TextBody"/>
        <w:bidi w:val="0"/>
        <w:spacing w:lineRule="auto" w:line="285" w:before="0" w:after="200"/>
        <w:ind w:left="0" w:right="0" w:hanging="0"/>
        <w:jc w:val="left"/>
        <w:rPr>
          <w:rFonts w:ascii="Aptos" w:hAnsi="Aptos"/>
          <w:sz w:val="20"/>
        </w:rPr>
      </w:pPr>
      <w:r>
        <w:rPr>
          <w:rFonts w:ascii="Arial;Helvetica;sans-serif" w:hAnsi="Arial;Helvetica;sans-serif"/>
          <w:b w:val="false"/>
          <w:i w:val="false"/>
          <w:caps w:val="false"/>
          <w:smallCaps w:val="false"/>
          <w:sz w:val="20"/>
        </w:rPr>
        <w:t>6.12</w:t>
      </w:r>
      <w:r>
        <w:rPr>
          <w:rFonts w:ascii="Arial;Helvetica;sans-serif" w:hAnsi="Arial;Helvetica;sans-serif"/>
          <w:sz w:val="20"/>
          <w:u w:val="single"/>
        </w:rPr>
        <w:t>Counterparts</w:t>
      </w:r>
      <w:r>
        <w:rPr>
          <w:rFonts w:ascii="Arial;Helvetica;sans-serif" w:hAnsi="Arial;Helvetica;sans-serif"/>
          <w:b/>
          <w:sz w:val="20"/>
        </w:rPr>
        <w:t>.</w:t>
      </w:r>
      <w:r>
        <w:rPr>
          <w:rFonts w:ascii="Aptos" w:hAnsi="Aptos"/>
          <w:sz w:val="20"/>
        </w:rPr>
        <w:t xml:space="preserve"> </w:t>
      </w:r>
      <w:r>
        <w:rPr>
          <w:rFonts w:ascii="Arial;Helvetica;sans-serif" w:hAnsi="Arial;Helvetica;sans-serif"/>
          <w:sz w:val="20"/>
        </w:rPr>
        <w:t>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pStyle w:val="TextBody"/>
        <w:bidi w:val="0"/>
        <w:spacing w:lineRule="auto" w:line="285" w:before="480" w:after="200"/>
        <w:ind w:left="0" w:right="0" w:hanging="0"/>
        <w:jc w:val="both"/>
        <w:rPr>
          <w:rFonts w:ascii="Arial;Helvetica;sans-serif" w:hAnsi="Arial;Helvetica;sans-serif"/>
          <w:sz w:val="20"/>
        </w:rPr>
      </w:pPr>
      <w:r>
        <w:rPr>
          <w:rFonts w:ascii="Arial;Helvetica;sans-serif" w:hAnsi="Arial;Helvetica;sans-serif"/>
          <w:sz w:val="20"/>
        </w:rPr>
        <w:t>The parties have executed this Agreement to be effective as of the date first above written.</w:t>
      </w:r>
    </w:p>
    <w:p>
      <w:pPr>
        <w:pStyle w:val="TextBody"/>
        <w:bidi w:val="0"/>
        <w:spacing w:lineRule="auto" w:line="285" w:before="480" w:after="200"/>
        <w:ind w:left="0" w:right="0" w:hanging="0"/>
        <w:jc w:val="both"/>
        <w:rPr>
          <w:rFonts w:ascii="Arial;Helvetica;sans-serif" w:hAnsi="Arial;Helvetica;sans-serif"/>
          <w:b/>
          <w:sz w:val="20"/>
        </w:rPr>
      </w:pPr>
      <w:r>
        <w:rPr>
          <w:rFonts w:ascii="Arial;Helvetica;sans-serif" w:hAnsi="Arial;Helvetica;sans-serif"/>
          <w:b/>
          <w:sz w:val="20"/>
        </w:rPr>
        <w:t>TTEC Holdings, Inc.</w:t>
      </w:r>
    </w:p>
    <w:p>
      <w:pPr>
        <w:pStyle w:val="TextBody"/>
        <w:bidi w:val="0"/>
        <w:spacing w:lineRule="auto" w:line="331" w:before="0" w:after="160"/>
        <w:ind w:left="0" w:right="0" w:hanging="0"/>
        <w:jc w:val="both"/>
        <w:rPr/>
      </w:pPr>
      <w:r>
        <w:rPr/>
        <w:t>​</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_________________________________Date: _____________________</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Laura L. Butler</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Chief People &amp; Culture Officer</w:t>
      </w:r>
    </w:p>
    <w:p>
      <w:pPr>
        <w:pStyle w:val="TextBody"/>
        <w:bidi w:val="0"/>
        <w:spacing w:lineRule="auto" w:line="285" w:before="360" w:after="0"/>
        <w:ind w:left="0" w:right="0" w:hanging="0"/>
        <w:jc w:val="left"/>
        <w:rPr>
          <w:rFonts w:ascii="Arial;Helvetica;sans-serif" w:hAnsi="Arial;Helvetica;sans-serif"/>
          <w:b/>
          <w:sz w:val="20"/>
        </w:rPr>
      </w:pPr>
      <w:r>
        <w:rPr>
          <w:rFonts w:ascii="Arial;Helvetica;sans-serif" w:hAnsi="Arial;Helvetica;sans-serif"/>
          <w:b/>
          <w:sz w:val="20"/>
        </w:rPr>
        <w:t>EXECUTIVE:</w:t>
      </w:r>
    </w:p>
    <w:p>
      <w:pPr>
        <w:pStyle w:val="TextBody"/>
        <w:bidi w:val="0"/>
        <w:spacing w:lineRule="auto" w:line="285" w:before="480" w:after="80"/>
        <w:ind w:left="0" w:right="0" w:hanging="0"/>
        <w:jc w:val="left"/>
        <w:rPr>
          <w:rFonts w:ascii="Arial;Helvetica;sans-serif" w:hAnsi="Arial;Helvetica;sans-serif"/>
          <w:sz w:val="20"/>
        </w:rPr>
      </w:pPr>
      <w:r>
        <w:rPr>
          <w:rFonts w:ascii="Arial;Helvetica;sans-serif" w:hAnsi="Arial;Helvetica;sans-serif"/>
          <w:sz w:val="20"/>
        </w:rPr>
        <w:t>_________________________________Date: _______________________</w:t>
      </w:r>
    </w:p>
    <w:p>
      <w:pPr>
        <w:pStyle w:val="TextBody"/>
        <w:bidi w:val="0"/>
        <w:spacing w:lineRule="auto" w:line="285" w:before="0" w:after="80"/>
        <w:ind w:left="0" w:right="0" w:hanging="0"/>
        <w:jc w:val="left"/>
        <w:rPr>
          <w:rFonts w:ascii="Arial;Helvetica;sans-serif" w:hAnsi="Arial;Helvetica;sans-serif"/>
          <w:sz w:val="20"/>
        </w:rPr>
      </w:pPr>
      <w:r>
        <w:rPr>
          <w:rFonts w:ascii="Arial;Helvetica;sans-serif" w:hAnsi="Arial;Helvetica;sans-serif"/>
          <w:sz w:val="20"/>
        </w:rPr>
        <w:t>[Employee’s Name] EE# [Oracle ID]</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5</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Arial;Helvetica;sans-serif" w:hAnsi="Arial;Helvetica;sans-serif"/>
          <w:b/>
          <w:sz w:val="20"/>
        </w:rPr>
        <w:t xml:space="preserve">EXHIBIT A – </w:t>
      </w:r>
      <w:r>
        <w:rPr>
          <w:rFonts w:ascii="Arial;Helvetica;sans-serif" w:hAnsi="Arial;Helvetica;sans-serif"/>
          <w:b/>
          <w:caps/>
          <w:sz w:val="20"/>
        </w:rPr>
        <w:t>Definitions</w:t>
      </w:r>
    </w:p>
    <w:p>
      <w:pPr>
        <w:pStyle w:val="TextBody"/>
        <w:bidi w:val="0"/>
        <w:spacing w:lineRule="auto" w:line="331" w:before="0" w:after="16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For purposes of this Agreement, certain terms are defined as follows:</w:t>
      </w:r>
    </w:p>
    <w:p>
      <w:pPr>
        <w:pStyle w:val="TextBody"/>
        <w:bidi w:val="0"/>
        <w:spacing w:lineRule="auto" w:line="285" w:before="0" w:after="200"/>
        <w:ind w:left="0" w:right="0" w:hanging="0"/>
        <w:jc w:val="both"/>
        <w:rPr>
          <w:rFonts w:ascii="Aptos" w:hAnsi="Aptos"/>
          <w:sz w:val="20"/>
        </w:rPr>
      </w:pPr>
      <w:r>
        <w:rPr>
          <w:rFonts w:ascii="Arial;Helvetica;sans-serif" w:hAnsi="Arial;Helvetica;sans-serif"/>
          <w:b/>
          <w:sz w:val="20"/>
        </w:rPr>
        <w:t>"Award Protection"</w:t>
      </w:r>
      <w:r>
        <w:rPr>
          <w:rFonts w:ascii="Aptos" w:hAnsi="Aptos"/>
          <w:sz w:val="20"/>
        </w:rPr>
        <w:t xml:space="preserve"> </w:t>
      </w:r>
      <w:r>
        <w:rPr>
          <w:rFonts w:ascii="Arial;Helvetica;sans-serif" w:hAnsi="Arial;Helvetica;sans-serif"/>
          <w:sz w:val="20"/>
        </w:rPr>
        <w:t>refers to the provisions of Paragraph 4 of this Agreement governing the treatment of the 2026 Retention Award upon certain qualifying terminations of employment and in connection with a Change in Control.</w:t>
      </w:r>
    </w:p>
    <w:p>
      <w:pPr>
        <w:pStyle w:val="TextBody"/>
        <w:bidi w:val="0"/>
        <w:spacing w:lineRule="auto" w:line="285" w:before="0" w:after="200"/>
        <w:ind w:left="0" w:right="0" w:hanging="0"/>
        <w:jc w:val="both"/>
        <w:rPr/>
      </w:pPr>
      <w:r>
        <w:rPr/>
        <w:t>“</w:t>
      </w:r>
      <w:r>
        <w:rPr>
          <w:rFonts w:ascii="Arial;Helvetica;sans-serif" w:hAnsi="Arial;Helvetica;sans-serif"/>
          <w:b/>
          <w:sz w:val="20"/>
        </w:rPr>
        <w:t>Cause”</w:t>
      </w:r>
      <w:r>
        <w:rPr>
          <w:rFonts w:ascii="Aptos" w:hAnsi="Aptos"/>
          <w:sz w:val="20"/>
        </w:rPr>
        <w:t xml:space="preserve"> </w:t>
      </w:r>
      <w:r>
        <w:rPr>
          <w:rFonts w:ascii="Arial;Helvetica;sans-serif" w:hAnsi="Arial;Helvetica;sans-serif"/>
          <w:sz w:val="20"/>
        </w:rPr>
        <w:t>shall have the meaning ascribed to that term in the Executive’s Employment Agreement with the Company.</w:t>
      </w:r>
    </w:p>
    <w:p>
      <w:pPr>
        <w:pStyle w:val="TextBody"/>
        <w:bidi w:val="0"/>
        <w:spacing w:lineRule="auto" w:line="285" w:before="0" w:after="200"/>
        <w:ind w:left="0" w:right="0" w:hanging="0"/>
        <w:jc w:val="both"/>
        <w:rPr>
          <w:rFonts w:ascii="Aptos" w:hAnsi="Aptos"/>
          <w:sz w:val="20"/>
        </w:rPr>
      </w:pPr>
      <w:r>
        <w:rPr>
          <w:rFonts w:ascii="Arial;Helvetica;sans-serif" w:hAnsi="Arial;Helvetica;sans-serif"/>
          <w:b/>
          <w:sz w:val="20"/>
        </w:rPr>
        <w:t>"Change in Control"</w:t>
      </w:r>
      <w:r>
        <w:rPr>
          <w:rFonts w:ascii="Aptos" w:hAnsi="Aptos"/>
          <w:sz w:val="20"/>
        </w:rPr>
        <w:t xml:space="preserve"> </w:t>
      </w:r>
      <w:r>
        <w:rPr>
          <w:rFonts w:ascii="Arial;Helvetica;sans-serif" w:hAnsi="Arial;Helvetica;sans-serif"/>
          <w:sz w:val="20"/>
        </w:rPr>
        <w:t>shall have the meaning ascribed to that term in the Executive’s Employment Agreement with the Company. For purposes of this Agreement, references to Change in Control shall be deemed to include both "Change in Control" and "Change of Control" as those terms may be defined in the Executive’s Employment Agreement.</w:t>
      </w:r>
    </w:p>
    <w:p>
      <w:pPr>
        <w:pStyle w:val="TextBody"/>
        <w:bidi w:val="0"/>
        <w:spacing w:lineRule="auto" w:line="285" w:before="0" w:after="200"/>
        <w:ind w:left="0" w:right="0" w:hanging="0"/>
        <w:jc w:val="both"/>
        <w:rPr>
          <w:rFonts w:ascii="Aptos" w:hAnsi="Aptos"/>
          <w:sz w:val="20"/>
        </w:rPr>
      </w:pPr>
      <w:r>
        <w:rPr>
          <w:rFonts w:ascii="Arial;Helvetica;sans-serif" w:hAnsi="Arial;Helvetica;sans-serif"/>
          <w:b/>
          <w:sz w:val="20"/>
        </w:rPr>
        <w:t>"Change in Control Period"</w:t>
      </w:r>
      <w:r>
        <w:rPr>
          <w:rFonts w:ascii="Aptos" w:hAnsi="Aptos"/>
          <w:sz w:val="20"/>
        </w:rPr>
        <w:t xml:space="preserve"> </w:t>
      </w:r>
      <w:r>
        <w:rPr>
          <w:rFonts w:ascii="Arial;Helvetica;sans-serif" w:hAnsi="Arial;Helvetica;sans-serif"/>
          <w:sz w:val="20"/>
        </w:rPr>
        <w:t>shall have the meaning ascribed to that term in the Executive’s Employment Agreement with the Company.</w:t>
      </w:r>
    </w:p>
    <w:p>
      <w:pPr>
        <w:pStyle w:val="TextBody"/>
        <w:bidi w:val="0"/>
        <w:spacing w:lineRule="auto" w:line="285" w:before="0" w:after="200"/>
        <w:ind w:left="0" w:right="0" w:hanging="0"/>
        <w:jc w:val="both"/>
        <w:rPr>
          <w:rFonts w:ascii="Aptos" w:hAnsi="Aptos"/>
          <w:sz w:val="20"/>
        </w:rPr>
      </w:pPr>
      <w:r>
        <w:rPr>
          <w:rFonts w:ascii="Arial;Helvetica;sans-serif" w:hAnsi="Arial;Helvetica;sans-serif"/>
          <w:b/>
          <w:sz w:val="20"/>
        </w:rPr>
        <w:t>"Committee"</w:t>
      </w:r>
      <w:r>
        <w:rPr>
          <w:rFonts w:ascii="Aptos" w:hAnsi="Aptos"/>
          <w:sz w:val="20"/>
        </w:rPr>
        <w:t xml:space="preserve"> </w:t>
      </w:r>
      <w:r>
        <w:rPr>
          <w:rFonts w:ascii="Arial;Helvetica;sans-serif" w:hAnsi="Arial;Helvetica;sans-serif"/>
          <w:sz w:val="20"/>
        </w:rPr>
        <w:t>shall refer to the Compensation Committee of the TTEC Board of Directors or another Board governing body tasked with the oversight of senior executive compensation, including equity-based awards such as the RSU Award.</w:t>
      </w:r>
    </w:p>
    <w:p>
      <w:pPr>
        <w:pStyle w:val="TextBody"/>
        <w:bidi w:val="0"/>
        <w:spacing w:lineRule="auto" w:line="285" w:before="0" w:after="200"/>
        <w:ind w:left="0" w:right="0" w:hanging="0"/>
        <w:jc w:val="both"/>
        <w:rPr>
          <w:rFonts w:ascii="Aptos" w:hAnsi="Aptos"/>
          <w:sz w:val="20"/>
        </w:rPr>
      </w:pPr>
      <w:r>
        <w:rPr>
          <w:rFonts w:ascii="Arial;Helvetica;sans-serif" w:hAnsi="Arial;Helvetica;sans-serif"/>
          <w:b/>
          <w:sz w:val="20"/>
        </w:rPr>
        <w:t>"Constructive Termination"</w:t>
      </w:r>
      <w:r>
        <w:rPr>
          <w:rFonts w:ascii="Aptos" w:hAnsi="Aptos"/>
          <w:sz w:val="20"/>
        </w:rPr>
        <w:t xml:space="preserve"> </w:t>
      </w:r>
      <w:r>
        <w:rPr>
          <w:rFonts w:ascii="Arial;Helvetica;sans-serif" w:hAnsi="Arial;Helvetica;sans-serif"/>
          <w:sz w:val="20"/>
        </w:rPr>
        <w:t>shall have the meaning ascribed to that term in the Executive’s Employment Agreement with the Company.</w:t>
      </w:r>
    </w:p>
    <w:p>
      <w:pPr>
        <w:pStyle w:val="TextBody"/>
        <w:bidi w:val="0"/>
        <w:spacing w:lineRule="auto" w:line="285" w:before="0" w:after="200"/>
        <w:ind w:left="0" w:right="0" w:hanging="0"/>
        <w:jc w:val="both"/>
        <w:rPr>
          <w:rFonts w:ascii="Aptos" w:hAnsi="Aptos"/>
          <w:sz w:val="20"/>
        </w:rPr>
      </w:pPr>
      <w:r>
        <w:rPr>
          <w:rFonts w:ascii="Arial;Helvetica;sans-serif" w:hAnsi="Arial;Helvetica;sans-serif"/>
          <w:b/>
          <w:sz w:val="20"/>
        </w:rPr>
        <w:t>"Material Transaction"</w:t>
      </w:r>
      <w:r>
        <w:rPr>
          <w:rFonts w:ascii="Aptos" w:hAnsi="Aptos"/>
          <w:sz w:val="20"/>
        </w:rPr>
        <w:t xml:space="preserve"> </w:t>
      </w:r>
      <w:r>
        <w:rPr>
          <w:rFonts w:ascii="Arial;Helvetica;sans-serif" w:hAnsi="Arial;Helvetica;sans-serif"/>
          <w:sz w:val="20"/>
        </w:rPr>
        <w:t>refers to a capital markets transaction, restructuring, business combination, recapitalization, stock split, extraordinary special stock dividend, consolidation, rights offering, business segment spin-off, a take-private transaction, or similar transaction that materially changes the characteristics of TTEC’s structure and ownership.</w:t>
      </w:r>
    </w:p>
    <w:p>
      <w:pPr>
        <w:pStyle w:val="TextBody"/>
        <w:bidi w:val="0"/>
        <w:spacing w:lineRule="auto" w:line="285" w:before="0" w:after="200"/>
        <w:ind w:left="0" w:right="0" w:hanging="0"/>
        <w:jc w:val="both"/>
        <w:rPr>
          <w:rFonts w:ascii="Aptos" w:hAnsi="Aptos"/>
          <w:sz w:val="20"/>
        </w:rPr>
      </w:pPr>
      <w:r>
        <w:rPr>
          <w:rFonts w:ascii="Arial;Helvetica;sans-serif" w:hAnsi="Arial;Helvetica;sans-serif"/>
          <w:b/>
          <w:sz w:val="20"/>
        </w:rPr>
        <w:t>"Restrictive Covenants"</w:t>
      </w:r>
      <w:r>
        <w:rPr>
          <w:rFonts w:ascii="Aptos" w:hAnsi="Aptos"/>
          <w:sz w:val="20"/>
        </w:rPr>
        <w:t xml:space="preserve"> </w:t>
      </w:r>
      <w:r>
        <w:rPr>
          <w:rFonts w:ascii="Arial;Helvetica;sans-serif" w:hAnsi="Arial;Helvetica;sans-serif"/>
          <w:sz w:val="20"/>
        </w:rPr>
        <w:t>collectively refers to the Non-Compete Undertaking, the Employees Non-Solicitation Undertaking, the Client Non-Solicitation Undertaking, and all related confidentiality and non-disclosure obligations set forth in the Executive’s Employment Agreement.</w:t>
      </w:r>
    </w:p>
    <w:p>
      <w:pPr>
        <w:pStyle w:val="TextBody"/>
        <w:bidi w:val="0"/>
        <w:spacing w:lineRule="auto" w:line="285" w:before="0" w:after="200"/>
        <w:ind w:left="0" w:right="0" w:hanging="0"/>
        <w:jc w:val="both"/>
        <w:rPr/>
      </w:pPr>
      <w:r>
        <w:rPr/>
        <w:t>“</w:t>
      </w:r>
      <w:r>
        <w:rPr>
          <w:rFonts w:ascii="Arial;Helvetica;sans-serif" w:hAnsi="Arial;Helvetica;sans-serif"/>
          <w:b/>
          <w:sz w:val="20"/>
        </w:rPr>
        <w:t>Retention Period”</w:t>
      </w:r>
      <w:r>
        <w:rPr>
          <w:rFonts w:ascii="Aptos" w:hAnsi="Aptos"/>
          <w:sz w:val="20"/>
        </w:rPr>
        <w:t xml:space="preserve"> </w:t>
      </w:r>
      <w:r>
        <w:rPr>
          <w:rFonts w:ascii="Arial;Helvetica;sans-serif" w:hAnsi="Arial;Helvetica;sans-serif"/>
          <w:sz w:val="20"/>
        </w:rPr>
        <w:t>means the eighteen (18) month period commencing on July 24, 2026 and ending on January 24, 2028.</w:t>
      </w:r>
    </w:p>
    <w:p>
      <w:pPr>
        <w:pStyle w:val="TextBody"/>
        <w:bidi w:val="0"/>
        <w:spacing w:lineRule="auto" w:line="285" w:before="0" w:after="200"/>
        <w:ind w:left="0" w:right="0" w:hanging="0"/>
        <w:jc w:val="both"/>
        <w:rPr>
          <w:rFonts w:ascii="Aptos" w:hAnsi="Aptos"/>
          <w:sz w:val="20"/>
        </w:rPr>
      </w:pPr>
      <w:r>
        <w:rPr>
          <w:rFonts w:ascii="Arial;Helvetica;sans-serif" w:hAnsi="Arial;Helvetica;sans-serif"/>
          <w:b/>
          <w:sz w:val="20"/>
        </w:rPr>
        <w:t>"RSU Restricted Period"</w:t>
      </w:r>
      <w:r>
        <w:rPr>
          <w:rFonts w:ascii="Arial;Helvetica;sans-serif" w:hAnsi="Arial;Helvetica;sans-serif"/>
          <w:sz w:val="20"/>
        </w:rPr>
        <w:t>. The period during which the RSUs remain unvested and forfeitable pursuant to this Agreement.  </w:t>
      </w:r>
    </w:p>
    <w:p>
      <w:pPr>
        <w:pStyle w:val="TextBody"/>
        <w:bidi w:val="0"/>
        <w:spacing w:lineRule="auto" w:line="285" w:before="0" w:after="200"/>
        <w:ind w:left="0" w:right="0" w:hanging="0"/>
        <w:jc w:val="both"/>
        <w:rPr>
          <w:rFonts w:ascii="Aptos" w:hAnsi="Aptos"/>
          <w:sz w:val="20"/>
        </w:rPr>
      </w:pPr>
      <w:r>
        <w:rPr>
          <w:rFonts w:ascii="Arial;Helvetica;sans-serif" w:hAnsi="Arial;Helvetica;sans-serif"/>
          <w:b/>
          <w:sz w:val="20"/>
        </w:rPr>
        <w:t>"Vesting Date"</w:t>
      </w:r>
      <w:r>
        <w:rPr>
          <w:rFonts w:ascii="Aptos" w:hAnsi="Aptos"/>
          <w:sz w:val="20"/>
        </w:rPr>
        <w:t xml:space="preserve"> </w:t>
      </w:r>
      <w:r>
        <w:rPr>
          <w:rFonts w:ascii="Arial;Helvetica;sans-serif" w:hAnsi="Arial;Helvetica;sans-serif"/>
          <w:sz w:val="20"/>
        </w:rPr>
        <w:t>means, with respect to the RSU Award, each date on which a portion of the RSU Award vests in accordance with the schedule set forth in Paragraph 3 of this Agreement.</w:t>
      </w:r>
    </w:p>
    <w:p>
      <w:pPr>
        <w:pStyle w:val="TextBody"/>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6</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31" w:before="0" w:after="120"/>
        <w:ind w:left="0" w:right="0" w:hanging="0"/>
        <w:jc w:val="right"/>
        <w:rPr>
          <w:rFonts w:ascii="Arial;Helvetica;sans-serif" w:hAnsi="Arial;Helvetica;sans-serif"/>
          <w:b/>
          <w:sz w:val="20"/>
        </w:rPr>
      </w:pPr>
      <w:bookmarkStart w:id="1784" w:name="ttec-20260630xex10d4.htm"/>
      <w:bookmarkStart w:id="1785" w:name="ksttec20260630xex10d4"/>
      <w:bookmarkEnd w:id="1784"/>
      <w:bookmarkEnd w:id="1785"/>
      <w:r>
        <w:rPr>
          <w:rFonts w:ascii="Arial;Helvetica;sans-serif" w:hAnsi="Arial;Helvetica;sans-serif"/>
          <w:b/>
          <w:sz w:val="20"/>
        </w:rPr>
        <w:t>EXHIBIT 10.4</w:t>
      </w:r>
      <w:r>
        <w:br w:type="page"/>
      </w:r>
    </w:p>
    <w:p>
      <w:pPr>
        <w:pStyle w:val="TextBody"/>
        <w:bidi w:val="0"/>
        <w:spacing w:lineRule="auto" w:line="285" w:before="0" w:after="0"/>
        <w:ind w:left="0" w:right="0" w:hanging="0"/>
        <w:jc w:val="center"/>
        <w:rPr>
          <w:rFonts w:ascii="Arial;Helvetica;sans-serif" w:hAnsi="Arial;Helvetica;sans-serif"/>
          <w:b/>
          <w:caps/>
          <w:sz w:val="22"/>
        </w:rPr>
      </w:pPr>
      <w:r>
        <w:rPr>
          <w:rFonts w:ascii="Arial;Helvetica;sans-serif" w:hAnsi="Arial;Helvetica;sans-serif"/>
          <w:b/>
          <w:caps/>
          <w:sz w:val="22"/>
        </w:rPr>
        <w:t>TTEC HOLDINGS, INC.</w:t>
      </w:r>
    </w:p>
    <w:p>
      <w:pPr>
        <w:pStyle w:val="TextBody"/>
        <w:bidi w:val="0"/>
        <w:spacing w:lineRule="auto" w:line="285" w:before="0" w:after="0"/>
        <w:ind w:left="0" w:right="0" w:hanging="0"/>
        <w:jc w:val="center"/>
        <w:rPr>
          <w:rFonts w:ascii="Arial;Helvetica;sans-serif" w:hAnsi="Arial;Helvetica;sans-serif"/>
          <w:b/>
          <w:caps/>
          <w:sz w:val="22"/>
        </w:rPr>
      </w:pPr>
      <w:r>
        <w:rPr>
          <w:rFonts w:ascii="Arial;Helvetica;sans-serif" w:hAnsi="Arial;Helvetica;sans-serif"/>
          <w:b/>
          <w:caps/>
          <w:sz w:val="22"/>
        </w:rPr>
        <w:t>2026 Retention Award Agreement</w:t>
      </w:r>
    </w:p>
    <w:p>
      <w:pPr>
        <w:pStyle w:val="TextBody"/>
        <w:bidi w:val="0"/>
        <w:spacing w:lineRule="auto" w:line="331" w:before="0" w:after="160"/>
        <w:ind w:left="0" w:right="0" w:hanging="0"/>
        <w:jc w:val="center"/>
        <w:rPr/>
      </w:pPr>
      <w:r>
        <w:rPr/>
        <w:t>​</w:t>
      </w:r>
    </w:p>
    <w:p>
      <w:pPr>
        <w:pStyle w:val="TextBody"/>
        <w:bidi w:val="0"/>
        <w:spacing w:lineRule="auto" w:line="285" w:before="0" w:after="120"/>
        <w:ind w:left="0" w:right="0" w:hanging="0"/>
        <w:jc w:val="both"/>
        <w:rPr>
          <w:rFonts w:ascii="Aptos" w:hAnsi="Aptos"/>
          <w:sz w:val="22"/>
        </w:rPr>
      </w:pPr>
      <w:r>
        <w:rPr>
          <w:rFonts w:ascii="Arial;Helvetica;sans-serif" w:hAnsi="Arial;Helvetica;sans-serif"/>
          <w:sz w:val="22"/>
        </w:rPr>
        <w:t xml:space="preserve">This 2026 Retention Award Agreement (this </w:t>
      </w:r>
      <w:r>
        <w:rPr>
          <w:rFonts w:ascii="Arial;Helvetica;sans-serif" w:hAnsi="Arial;Helvetica;sans-serif"/>
          <w:b/>
          <w:sz w:val="22"/>
        </w:rPr>
        <w:t>"Agreement"</w:t>
      </w:r>
      <w:r>
        <w:rPr>
          <w:rFonts w:ascii="Arial;Helvetica;sans-serif" w:hAnsi="Arial;Helvetica;sans-serif"/>
          <w:sz w:val="22"/>
        </w:rPr>
        <w:t xml:space="preserve">) is made to be effective as of July 24, 2026 (the </w:t>
      </w:r>
      <w:r>
        <w:rPr>
          <w:rFonts w:ascii="Arial;Helvetica;sans-serif" w:hAnsi="Arial;Helvetica;sans-serif"/>
          <w:b/>
          <w:sz w:val="22"/>
        </w:rPr>
        <w:t>"Award Date"</w:t>
      </w:r>
      <w:r>
        <w:rPr>
          <w:rFonts w:ascii="Arial;Helvetica;sans-serif" w:hAnsi="Arial;Helvetica;sans-serif"/>
          <w:sz w:val="22"/>
        </w:rPr>
        <w:t xml:space="preserve">) by and between TTEC Holdings, Inc., a Texas corporation (the </w:t>
      </w:r>
      <w:r>
        <w:rPr>
          <w:rFonts w:ascii="Arial;Helvetica;sans-serif" w:hAnsi="Arial;Helvetica;sans-serif"/>
          <w:b/>
          <w:sz w:val="22"/>
        </w:rPr>
        <w:t>"Company"</w:t>
      </w:r>
      <w:r>
        <w:rPr>
          <w:rFonts w:ascii="Aptos" w:hAnsi="Aptos"/>
          <w:sz w:val="22"/>
        </w:rPr>
        <w:t xml:space="preserve"> </w:t>
      </w:r>
      <w:r>
        <w:rPr>
          <w:rFonts w:ascii="Arial;Helvetica;sans-serif" w:hAnsi="Arial;Helvetica;sans-serif"/>
          <w:sz w:val="22"/>
        </w:rPr>
        <w:t xml:space="preserve">or </w:t>
      </w:r>
      <w:r>
        <w:rPr>
          <w:rFonts w:ascii="Arial;Helvetica;sans-serif" w:hAnsi="Arial;Helvetica;sans-serif"/>
          <w:b/>
          <w:sz w:val="22"/>
        </w:rPr>
        <w:t>"TTEC"</w:t>
      </w:r>
      <w:r>
        <w:rPr>
          <w:rFonts w:ascii="Arial;Helvetica;sans-serif" w:hAnsi="Arial;Helvetica;sans-serif"/>
          <w:sz w:val="22"/>
        </w:rPr>
        <w:t xml:space="preserve">) and </w:t>
      </w:r>
      <w:r>
        <w:rPr>
          <w:rFonts w:ascii="Arial;Helvetica;sans-serif" w:hAnsi="Arial;Helvetica;sans-serif"/>
          <w:b/>
          <w:sz w:val="22"/>
        </w:rPr>
        <w:t>John P. Abou</w:t>
      </w:r>
      <w:r>
        <w:rPr>
          <w:rFonts w:ascii="Aptos" w:hAnsi="Aptos"/>
          <w:sz w:val="22"/>
        </w:rPr>
        <w:t xml:space="preserve"> </w:t>
      </w:r>
      <w:r>
        <w:rPr>
          <w:rFonts w:ascii="Arial;Helvetica;sans-serif" w:hAnsi="Arial;Helvetica;sans-serif"/>
          <w:sz w:val="22"/>
        </w:rPr>
        <w:t xml:space="preserve">(the </w:t>
      </w:r>
      <w:r>
        <w:rPr>
          <w:rFonts w:ascii="Arial;Helvetica;sans-serif" w:hAnsi="Arial;Helvetica;sans-serif"/>
          <w:b/>
          <w:sz w:val="22"/>
        </w:rPr>
        <w:t>"Executive"</w:t>
      </w:r>
      <w:r>
        <w:rPr>
          <w:rFonts w:ascii="Arial;Helvetica;sans-serif" w:hAnsi="Arial;Helvetica;sans-serif"/>
          <w:sz w:val="22"/>
        </w:rPr>
        <w:t>).</w:t>
      </w:r>
    </w:p>
    <w:p>
      <w:pPr>
        <w:pStyle w:val="TextBody"/>
        <w:bidi w:val="0"/>
        <w:spacing w:lineRule="auto" w:line="285" w:before="0" w:after="120"/>
        <w:ind w:left="0" w:right="0" w:hanging="0"/>
        <w:jc w:val="both"/>
        <w:rPr>
          <w:rFonts w:ascii="Aptos" w:hAnsi="Aptos"/>
          <w:sz w:val="22"/>
        </w:rPr>
      </w:pPr>
      <w:r>
        <w:rPr>
          <w:rFonts w:ascii="Arial;Helvetica;sans-serif" w:hAnsi="Arial;Helvetica;sans-serif"/>
          <w:sz w:val="22"/>
        </w:rPr>
        <w:t>The Executive’s Employment Agreement with the Company (</w:t>
      </w:r>
      <w:r>
        <w:rPr>
          <w:rFonts w:ascii="Arial;Helvetica;sans-serif" w:hAnsi="Arial;Helvetica;sans-serif"/>
          <w:b/>
          <w:sz w:val="22"/>
        </w:rPr>
        <w:t>"Employment Agreement"</w:t>
      </w:r>
      <w:r>
        <w:rPr>
          <w:rFonts w:ascii="Arial;Helvetica;sans-serif" w:hAnsi="Arial;Helvetica;sans-serif"/>
          <w:sz w:val="22"/>
        </w:rPr>
        <w:t>) provides for the Executive’s eligibility to participate in TTEC incentive programs, designed to provide long-term incentives for senior executives and to align their interests with the interests of the Company’s stockholders.</w:t>
      </w:r>
    </w:p>
    <w:p>
      <w:pPr>
        <w:pStyle w:val="TextBody"/>
        <w:bidi w:val="0"/>
        <w:spacing w:lineRule="auto" w:line="285" w:before="0" w:after="120"/>
        <w:ind w:left="0" w:right="0" w:hanging="0"/>
        <w:jc w:val="both"/>
        <w:rPr>
          <w:rFonts w:ascii="Aptos" w:hAnsi="Aptos"/>
          <w:sz w:val="22"/>
        </w:rPr>
      </w:pPr>
      <w:r>
        <w:rPr>
          <w:rFonts w:ascii="Arial;Helvetica;sans-serif" w:hAnsi="Arial;Helvetica;sans-serif"/>
          <w:sz w:val="22"/>
        </w:rPr>
        <w:t xml:space="preserve">For 2026, the Committee reviewed and approved a special one-time retention award program for the executive team, payable and vesting in two installments over the Retention Period (the </w:t>
      </w:r>
      <w:r>
        <w:rPr>
          <w:rFonts w:ascii="Arial;Helvetica;sans-serif" w:hAnsi="Arial;Helvetica;sans-serif"/>
          <w:b/>
          <w:sz w:val="22"/>
        </w:rPr>
        <w:t>"2026 Retention Award"</w:t>
      </w:r>
      <w:r>
        <w:rPr>
          <w:rFonts w:ascii="Aptos" w:hAnsi="Aptos"/>
          <w:sz w:val="22"/>
        </w:rPr>
        <w:t xml:space="preserve"> </w:t>
      </w:r>
      <w:r>
        <w:rPr>
          <w:rFonts w:ascii="Arial;Helvetica;sans-serif" w:hAnsi="Arial;Helvetica;sans-serif"/>
          <w:sz w:val="22"/>
        </w:rPr>
        <w:t xml:space="preserve">or </w:t>
      </w:r>
      <w:r>
        <w:rPr>
          <w:rFonts w:ascii="Arial;Helvetica;sans-serif" w:hAnsi="Arial;Helvetica;sans-serif"/>
          <w:b/>
          <w:sz w:val="22"/>
        </w:rPr>
        <w:t>"Award"</w:t>
      </w:r>
      <w:r>
        <w:rPr>
          <w:rFonts w:ascii="Arial;Helvetica;sans-serif" w:hAnsi="Arial;Helvetica;sans-serif"/>
          <w:sz w:val="22"/>
        </w:rPr>
        <w:t>). The purpose of this Agreement is to document the terms and conditions of the Executive’s 2026 Retention Award.</w:t>
      </w:r>
    </w:p>
    <w:p>
      <w:pPr>
        <w:pStyle w:val="TextBody"/>
        <w:bidi w:val="0"/>
        <w:spacing w:lineRule="auto" w:line="285" w:before="0" w:after="120"/>
        <w:ind w:left="0" w:right="0" w:hanging="0"/>
        <w:jc w:val="both"/>
        <w:rPr>
          <w:rFonts w:ascii="Arial;Helvetica;sans-serif" w:hAnsi="Arial;Helvetica;sans-serif"/>
          <w:sz w:val="22"/>
        </w:rPr>
      </w:pPr>
      <w:r>
        <w:rPr>
          <w:rFonts w:ascii="Arial;Helvetica;sans-serif" w:hAnsi="Arial;Helvetica;sans-serif"/>
          <w:sz w:val="22"/>
        </w:rPr>
        <w:t>The parties agree to be legally bound by this Agreement, and in exchange for sufficient consideration, the adequacy of which is not in question, agree as follows:</w:t>
      </w:r>
    </w:p>
    <w:tbl>
      <w:tblPr>
        <w:tblW w:w="1705" w:type="dxa"/>
        <w:jc w:val="left"/>
        <w:tblInd w:w="0" w:type="dxa"/>
        <w:tblLayout w:type="fixed"/>
        <w:tblCellMar>
          <w:top w:w="0" w:type="dxa"/>
          <w:left w:w="0" w:type="dxa"/>
          <w:bottom w:w="0" w:type="dxa"/>
          <w:right w:w="0" w:type="dxa"/>
        </w:tblCellMar>
      </w:tblPr>
      <w:tblGrid>
        <w:gridCol w:w="200"/>
        <w:gridCol w:w="1505"/>
      </w:tblGrid>
      <w:tr>
        <w:trPr/>
        <w:tc>
          <w:tcPr>
            <w:tcW w:w="200" w:type="dxa"/>
            <w:tcBorders/>
            <w:vAlign w:val="center"/>
          </w:tcPr>
          <w:p>
            <w:pPr>
              <w:pStyle w:val="TableContents"/>
              <w:bidi w:val="0"/>
              <w:spacing w:lineRule="auto" w:line="285" w:before="0" w:after="120"/>
              <w:jc w:val="both"/>
              <w:rPr>
                <w:rFonts w:ascii="Arial;Helvetica;sans-serif" w:hAnsi="Arial;Helvetica;sans-serif"/>
                <w:b/>
                <w:sz w:val="22"/>
              </w:rPr>
            </w:pPr>
            <w:r>
              <w:rPr>
                <w:rFonts w:ascii="Arial;Helvetica;sans-serif" w:hAnsi="Arial;Helvetica;sans-serif"/>
                <w:b/>
                <w:sz w:val="22"/>
              </w:rPr>
              <w:t>1.</w:t>
            </w:r>
          </w:p>
        </w:tc>
        <w:tc>
          <w:tcPr>
            <w:tcW w:w="1505" w:type="dxa"/>
            <w:tcBorders/>
            <w:vAlign w:val="center"/>
          </w:tcPr>
          <w:p>
            <w:pPr>
              <w:pStyle w:val="TableContents"/>
              <w:bidi w:val="0"/>
              <w:spacing w:lineRule="auto" w:line="285" w:before="0" w:after="120"/>
              <w:jc w:val="both"/>
              <w:rPr>
                <w:rFonts w:ascii="Arial;Helvetica;sans-serif" w:hAnsi="Arial;Helvetica;sans-serif"/>
                <w:b/>
                <w:caps/>
                <w:sz w:val="22"/>
              </w:rPr>
            </w:pPr>
            <w:r>
              <w:rPr>
                <w:rFonts w:ascii="Arial;Helvetica;sans-serif" w:hAnsi="Arial;Helvetica;sans-serif"/>
                <w:b/>
                <w:caps/>
                <w:sz w:val="22"/>
              </w:rPr>
              <w:t>Definitions.</w:t>
            </w:r>
          </w:p>
        </w:tc>
      </w:tr>
    </w:tbl>
    <w:p>
      <w:pPr>
        <w:pStyle w:val="TextBody"/>
        <w:bidi w:val="0"/>
        <w:spacing w:lineRule="auto" w:line="285" w:before="0" w:after="120"/>
        <w:ind w:left="0" w:right="0" w:hanging="0"/>
        <w:jc w:val="both"/>
        <w:rPr>
          <w:rFonts w:ascii="Aptos" w:hAnsi="Aptos"/>
          <w:sz w:val="22"/>
        </w:rPr>
      </w:pPr>
      <w:r>
        <w:rPr>
          <w:rFonts w:ascii="Arial;Helvetica;sans-serif" w:hAnsi="Arial;Helvetica;sans-serif"/>
          <w:sz w:val="22"/>
        </w:rPr>
        <w:t xml:space="preserve">Capitalized terms used in this Agreement and not otherwise defined herein shall have the meanings set forth in </w:t>
      </w:r>
      <w:r>
        <w:rPr>
          <w:rFonts w:ascii="Arial;Helvetica;sans-serif" w:hAnsi="Arial;Helvetica;sans-serif"/>
          <w:sz w:val="22"/>
          <w:u w:val="single"/>
        </w:rPr>
        <w:t>Exhibit A</w:t>
      </w:r>
      <w:r>
        <w:rPr>
          <w:rFonts w:ascii="Aptos" w:hAnsi="Aptos"/>
          <w:sz w:val="22"/>
        </w:rPr>
        <w:t xml:space="preserve"> </w:t>
      </w:r>
      <w:r>
        <w:rPr>
          <w:rFonts w:ascii="Arial;Helvetica;sans-serif" w:hAnsi="Arial;Helvetica;sans-serif"/>
          <w:sz w:val="22"/>
        </w:rPr>
        <w:t>to this Agreement, attached hereto and incorporated herein by reference.</w:t>
      </w:r>
    </w:p>
    <w:tbl>
      <w:tblPr>
        <w:tblW w:w="1855" w:type="dxa"/>
        <w:jc w:val="left"/>
        <w:tblInd w:w="0" w:type="dxa"/>
        <w:tblLayout w:type="fixed"/>
        <w:tblCellMar>
          <w:top w:w="0" w:type="dxa"/>
          <w:left w:w="0" w:type="dxa"/>
          <w:bottom w:w="0" w:type="dxa"/>
          <w:right w:w="0" w:type="dxa"/>
        </w:tblCellMar>
      </w:tblPr>
      <w:tblGrid>
        <w:gridCol w:w="200"/>
        <w:gridCol w:w="1655"/>
      </w:tblGrid>
      <w:tr>
        <w:trPr/>
        <w:tc>
          <w:tcPr>
            <w:tcW w:w="200" w:type="dxa"/>
            <w:tcBorders/>
            <w:vAlign w:val="center"/>
          </w:tcPr>
          <w:p>
            <w:pPr>
              <w:pStyle w:val="TableContents"/>
              <w:bidi w:val="0"/>
              <w:spacing w:lineRule="auto" w:line="285" w:before="0" w:after="120"/>
              <w:jc w:val="left"/>
              <w:rPr>
                <w:rFonts w:ascii="Arial;Helvetica;sans-serif" w:hAnsi="Arial;Helvetica;sans-serif"/>
                <w:b/>
                <w:caps/>
                <w:sz w:val="22"/>
              </w:rPr>
            </w:pPr>
            <w:r>
              <w:rPr>
                <w:rFonts w:ascii="Arial;Helvetica;sans-serif" w:hAnsi="Arial;Helvetica;sans-serif"/>
                <w:b/>
                <w:caps/>
                <w:sz w:val="22"/>
              </w:rPr>
              <w:t>2.</w:t>
            </w:r>
          </w:p>
        </w:tc>
        <w:tc>
          <w:tcPr>
            <w:tcW w:w="1655" w:type="dxa"/>
            <w:tcBorders/>
            <w:vAlign w:val="center"/>
          </w:tcPr>
          <w:p>
            <w:pPr>
              <w:pStyle w:val="TableContents"/>
              <w:bidi w:val="0"/>
              <w:spacing w:lineRule="auto" w:line="285" w:before="0" w:after="120"/>
              <w:jc w:val="left"/>
              <w:rPr>
                <w:rFonts w:ascii="Arial;Helvetica;sans-serif" w:hAnsi="Arial;Helvetica;sans-serif"/>
                <w:b/>
                <w:caps/>
                <w:sz w:val="22"/>
              </w:rPr>
            </w:pPr>
            <w:r>
              <w:rPr>
                <w:rFonts w:ascii="Arial;Helvetica;sans-serif" w:hAnsi="Arial;Helvetica;sans-serif"/>
                <w:b/>
                <w:caps/>
                <w:sz w:val="22"/>
              </w:rPr>
              <w:t>Cash Award.</w:t>
            </w:r>
          </w:p>
        </w:tc>
      </w:tr>
    </w:tbl>
    <w:p>
      <w:pPr>
        <w:pStyle w:val="TextBody"/>
        <w:bidi w:val="0"/>
        <w:spacing w:lineRule="auto" w:line="285" w:before="0" w:after="120"/>
        <w:ind w:left="0" w:right="0" w:hanging="0"/>
        <w:jc w:val="both"/>
        <w:rPr>
          <w:rFonts w:ascii="Aptos" w:hAnsi="Aptos"/>
          <w:sz w:val="22"/>
        </w:rPr>
      </w:pPr>
      <w:r>
        <w:rPr>
          <w:rFonts w:ascii="Arial;Helvetica;sans-serif" w:hAnsi="Arial;Helvetica;sans-serif"/>
          <w:sz w:val="22"/>
        </w:rPr>
        <w:t xml:space="preserve">The Company is providing the Executive a cash retention award in the amount of </w:t>
      </w:r>
      <w:r>
        <w:rPr>
          <w:rFonts w:ascii="Arial;Helvetica;sans-serif" w:hAnsi="Arial;Helvetica;sans-serif"/>
          <w:b/>
          <w:sz w:val="22"/>
        </w:rPr>
        <w:t>$625,000</w:t>
      </w:r>
      <w:r>
        <w:rPr>
          <w:rFonts w:ascii="Aptos" w:hAnsi="Aptos"/>
          <w:sz w:val="22"/>
        </w:rPr>
        <w:t xml:space="preserve"> </w:t>
      </w:r>
      <w:r>
        <w:rPr>
          <w:rFonts w:ascii="Arial;Helvetica;sans-serif" w:hAnsi="Arial;Helvetica;sans-serif"/>
          <w:sz w:val="22"/>
        </w:rPr>
        <w:t xml:space="preserve">(the </w:t>
      </w:r>
      <w:r>
        <w:rPr>
          <w:rFonts w:ascii="Arial;Helvetica;sans-serif" w:hAnsi="Arial;Helvetica;sans-serif"/>
          <w:b/>
          <w:sz w:val="22"/>
        </w:rPr>
        <w:t>"Cash Award"</w:t>
      </w:r>
      <w:r>
        <w:rPr>
          <w:rFonts w:ascii="Arial;Helvetica;sans-serif" w:hAnsi="Arial;Helvetica;sans-serif"/>
          <w:sz w:val="22"/>
        </w:rPr>
        <w:t>), payable in two installments as follows:</w:t>
      </w:r>
    </w:p>
    <w:tbl>
      <w:tblPr>
        <w:tblW w:w="10205" w:type="dxa"/>
        <w:jc w:val="left"/>
        <w:tblInd w:w="0" w:type="dxa"/>
        <w:tblLayout w:type="fixed"/>
        <w:tblCellMar>
          <w:top w:w="0" w:type="dxa"/>
          <w:left w:w="0" w:type="dxa"/>
          <w:bottom w:w="0" w:type="dxa"/>
          <w:right w:w="0" w:type="dxa"/>
        </w:tblCellMar>
      </w:tblPr>
      <w:tblGrid>
        <w:gridCol w:w="23"/>
        <w:gridCol w:w="276"/>
        <w:gridCol w:w="9906"/>
      </w:tblGrid>
      <w:tr>
        <w:trPr/>
        <w:tc>
          <w:tcPr>
            <w:tcW w:w="2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lineRule="auto" w:line="285" w:before="0" w:after="120"/>
              <w:jc w:val="both"/>
              <w:rPr>
                <w:rFonts w:ascii="Arial;Helvetica;sans-serif" w:hAnsi="Arial;Helvetica;sans-serif"/>
                <w:sz w:val="22"/>
              </w:rPr>
            </w:pPr>
            <w:r>
              <w:rPr>
                <w:rFonts w:ascii="Arial;Helvetica;sans-serif" w:hAnsi="Arial;Helvetica;sans-serif"/>
                <w:sz w:val="22"/>
              </w:rPr>
              <w:t>(a)</w:t>
            </w:r>
          </w:p>
        </w:tc>
        <w:tc>
          <w:tcPr>
            <w:tcW w:w="9906" w:type="dxa"/>
            <w:tcBorders/>
            <w:vAlign w:val="center"/>
          </w:tcPr>
          <w:p>
            <w:pPr>
              <w:pStyle w:val="TableContents"/>
              <w:bidi w:val="0"/>
              <w:spacing w:lineRule="auto" w:line="285" w:before="0" w:after="120"/>
              <w:jc w:val="both"/>
              <w:rPr>
                <w:rFonts w:ascii="Arial;Helvetica;sans-serif" w:hAnsi="Arial;Helvetica;sans-serif"/>
                <w:sz w:val="22"/>
              </w:rPr>
            </w:pPr>
            <w:r>
              <w:rPr>
                <w:rFonts w:ascii="Arial;Helvetica;sans-serif" w:hAnsi="Arial;Helvetica;sans-serif"/>
                <w:sz w:val="22"/>
              </w:rPr>
              <w:t>Fifty percent (50%) of the Cash Award shall be payable to the Executive in March 2027, no later than March 12, 2027; and</w:t>
            </w:r>
          </w:p>
        </w:tc>
      </w:tr>
    </w:tbl>
    <w:tbl>
      <w:tblPr>
        <w:tblW w:w="10205" w:type="dxa"/>
        <w:jc w:val="left"/>
        <w:tblInd w:w="0" w:type="dxa"/>
        <w:tblLayout w:type="fixed"/>
        <w:tblCellMar>
          <w:top w:w="0" w:type="dxa"/>
          <w:left w:w="0" w:type="dxa"/>
          <w:bottom w:w="0" w:type="dxa"/>
          <w:right w:w="0" w:type="dxa"/>
        </w:tblCellMar>
      </w:tblPr>
      <w:tblGrid>
        <w:gridCol w:w="23"/>
        <w:gridCol w:w="272"/>
        <w:gridCol w:w="9910"/>
      </w:tblGrid>
      <w:tr>
        <w:trPr/>
        <w:tc>
          <w:tcPr>
            <w:tcW w:w="2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lineRule="auto" w:line="285" w:before="0" w:after="120"/>
              <w:jc w:val="both"/>
              <w:rPr>
                <w:rFonts w:ascii="Arial;Helvetica;sans-serif" w:hAnsi="Arial;Helvetica;sans-serif"/>
                <w:sz w:val="22"/>
              </w:rPr>
            </w:pPr>
            <w:r>
              <w:rPr>
                <w:rFonts w:ascii="Arial;Helvetica;sans-serif" w:hAnsi="Arial;Helvetica;sans-serif"/>
                <w:sz w:val="22"/>
              </w:rPr>
              <w:t>(b)</w:t>
            </w:r>
          </w:p>
        </w:tc>
        <w:tc>
          <w:tcPr>
            <w:tcW w:w="9910" w:type="dxa"/>
            <w:tcBorders/>
            <w:vAlign w:val="center"/>
          </w:tcPr>
          <w:p>
            <w:pPr>
              <w:pStyle w:val="TableContents"/>
              <w:bidi w:val="0"/>
              <w:spacing w:lineRule="auto" w:line="285" w:before="0" w:after="120"/>
              <w:jc w:val="both"/>
              <w:rPr>
                <w:rFonts w:ascii="Arial;Helvetica;sans-serif" w:hAnsi="Arial;Helvetica;sans-serif"/>
                <w:sz w:val="22"/>
              </w:rPr>
            </w:pPr>
            <w:r>
              <w:rPr>
                <w:rFonts w:ascii="Arial;Helvetica;sans-serif" w:hAnsi="Arial;Helvetica;sans-serif"/>
                <w:sz w:val="22"/>
              </w:rPr>
              <w:t>The remaining fifty percent (50%) of the Cash Award shall be payable to the Executive as part of the last pay period in April 2027.</w:t>
            </w:r>
          </w:p>
        </w:tc>
      </w:tr>
    </w:tbl>
    <w:p>
      <w:pPr>
        <w:pStyle w:val="TextBody"/>
        <w:bidi w:val="0"/>
        <w:spacing w:lineRule="auto" w:line="285" w:before="0" w:after="120"/>
        <w:ind w:left="0" w:right="0" w:hanging="0"/>
        <w:jc w:val="both"/>
        <w:rPr>
          <w:rFonts w:ascii="Arial;Helvetica;sans-serif" w:hAnsi="Arial;Helvetica;sans-serif"/>
          <w:sz w:val="22"/>
        </w:rPr>
      </w:pPr>
      <w:r>
        <w:rPr>
          <w:rFonts w:ascii="Arial;Helvetica;sans-serif" w:hAnsi="Arial;Helvetica;sans-serif"/>
          <w:sz w:val="22"/>
        </w:rPr>
        <w:t>The Executive’s entitlement to payment of each installment of the Cash Award is contingent upon the Executive’s continued employment with the Company in good standing through the applicable payment date, except as otherwise provided in Paragraph 4 (Award Protection and Change in Control) of this Agreement.</w:t>
      </w:r>
    </w:p>
    <w:tbl>
      <w:tblPr>
        <w:tblW w:w="2140" w:type="dxa"/>
        <w:jc w:val="left"/>
        <w:tblInd w:w="0" w:type="dxa"/>
        <w:tblLayout w:type="fixed"/>
        <w:tblCellMar>
          <w:top w:w="0" w:type="dxa"/>
          <w:left w:w="0" w:type="dxa"/>
          <w:bottom w:w="0" w:type="dxa"/>
          <w:right w:w="0" w:type="dxa"/>
        </w:tblCellMar>
      </w:tblPr>
      <w:tblGrid>
        <w:gridCol w:w="200"/>
        <w:gridCol w:w="1940"/>
      </w:tblGrid>
      <w:tr>
        <w:trPr/>
        <w:tc>
          <w:tcPr>
            <w:tcW w:w="200" w:type="dxa"/>
            <w:tcBorders/>
            <w:vAlign w:val="center"/>
          </w:tcPr>
          <w:p>
            <w:pPr>
              <w:pStyle w:val="TableContents"/>
              <w:bidi w:val="0"/>
              <w:spacing w:lineRule="auto" w:line="285" w:before="0" w:after="120"/>
              <w:jc w:val="left"/>
              <w:rPr>
                <w:rFonts w:ascii="Arial;Helvetica;sans-serif" w:hAnsi="Arial;Helvetica;sans-serif"/>
                <w:b/>
                <w:caps/>
                <w:sz w:val="22"/>
              </w:rPr>
            </w:pPr>
            <w:r>
              <w:rPr>
                <w:rFonts w:ascii="Arial;Helvetica;sans-serif" w:hAnsi="Arial;Helvetica;sans-serif"/>
                <w:b/>
                <w:caps/>
                <w:sz w:val="22"/>
              </w:rPr>
              <w:t>3.</w:t>
            </w:r>
          </w:p>
        </w:tc>
        <w:tc>
          <w:tcPr>
            <w:tcW w:w="1940" w:type="dxa"/>
            <w:tcBorders/>
            <w:vAlign w:val="center"/>
          </w:tcPr>
          <w:p>
            <w:pPr>
              <w:pStyle w:val="TableContents"/>
              <w:bidi w:val="0"/>
              <w:spacing w:lineRule="auto" w:line="285" w:before="0" w:after="120"/>
              <w:jc w:val="left"/>
              <w:rPr>
                <w:rFonts w:ascii="Arial;Helvetica;sans-serif" w:hAnsi="Arial;Helvetica;sans-serif"/>
                <w:b/>
                <w:caps/>
                <w:sz w:val="22"/>
              </w:rPr>
            </w:pPr>
            <w:r>
              <w:rPr>
                <w:rFonts w:ascii="Arial;Helvetica;sans-serif" w:hAnsi="Arial;Helvetica;sans-serif"/>
                <w:b/>
                <w:caps/>
                <w:sz w:val="22"/>
              </w:rPr>
              <w:t>RSU Award. N/A</w:t>
            </w:r>
          </w:p>
        </w:tc>
      </w:tr>
    </w:tbl>
    <w:tbl>
      <w:tblPr>
        <w:tblW w:w="5770" w:type="dxa"/>
        <w:jc w:val="left"/>
        <w:tblInd w:w="0" w:type="dxa"/>
        <w:tblLayout w:type="fixed"/>
        <w:tblCellMar>
          <w:top w:w="0" w:type="dxa"/>
          <w:left w:w="0" w:type="dxa"/>
          <w:bottom w:w="0" w:type="dxa"/>
          <w:right w:w="0" w:type="dxa"/>
        </w:tblCellMar>
      </w:tblPr>
      <w:tblGrid>
        <w:gridCol w:w="200"/>
        <w:gridCol w:w="5570"/>
      </w:tblGrid>
      <w:tr>
        <w:trPr/>
        <w:tc>
          <w:tcPr>
            <w:tcW w:w="200" w:type="dxa"/>
            <w:tcBorders/>
            <w:vAlign w:val="center"/>
          </w:tcPr>
          <w:p>
            <w:pPr>
              <w:pStyle w:val="TableContents"/>
              <w:bidi w:val="0"/>
              <w:spacing w:lineRule="auto" w:line="285" w:before="0" w:after="120"/>
              <w:jc w:val="left"/>
              <w:rPr>
                <w:rFonts w:ascii="Arial;Helvetica;sans-serif" w:hAnsi="Arial;Helvetica;sans-serif"/>
                <w:b/>
                <w:caps/>
                <w:sz w:val="22"/>
              </w:rPr>
            </w:pPr>
            <w:r>
              <w:rPr>
                <w:rFonts w:ascii="Arial;Helvetica;sans-serif" w:hAnsi="Arial;Helvetica;sans-serif"/>
                <w:b/>
                <w:caps/>
                <w:sz w:val="22"/>
              </w:rPr>
              <w:t>4.</w:t>
            </w:r>
          </w:p>
        </w:tc>
        <w:tc>
          <w:tcPr>
            <w:tcW w:w="5570" w:type="dxa"/>
            <w:tcBorders/>
            <w:vAlign w:val="center"/>
          </w:tcPr>
          <w:p>
            <w:pPr>
              <w:pStyle w:val="TableContents"/>
              <w:bidi w:val="0"/>
              <w:spacing w:lineRule="auto" w:line="285" w:before="0" w:after="120"/>
              <w:jc w:val="left"/>
              <w:rPr>
                <w:rFonts w:ascii="Arial;Helvetica;sans-serif" w:hAnsi="Arial;Helvetica;sans-serif"/>
                <w:b/>
                <w:caps/>
                <w:sz w:val="22"/>
              </w:rPr>
            </w:pPr>
            <w:r>
              <w:rPr>
                <w:rFonts w:ascii="Arial;Helvetica;sans-serif" w:hAnsi="Arial;Helvetica;sans-serif"/>
                <w:b/>
                <w:caps/>
                <w:sz w:val="22"/>
              </w:rPr>
              <w:t>Award Protection and Change in Control.</w:t>
            </w:r>
          </w:p>
        </w:tc>
      </w:tr>
    </w:tbl>
    <w:p>
      <w:pPr>
        <w:pStyle w:val="TextBody"/>
        <w:bidi w:val="0"/>
        <w:spacing w:lineRule="auto" w:line="285" w:before="0" w:after="0"/>
        <w:ind w:left="0" w:right="0" w:hanging="0"/>
        <w:jc w:val="left"/>
        <w:rPr>
          <w:rFonts w:ascii="Aptos" w:hAnsi="Aptos"/>
          <w:sz w:val="22"/>
        </w:rPr>
      </w:pPr>
      <w:r>
        <w:rPr>
          <w:rFonts w:ascii="Arial;Helvetica;sans-serif" w:hAnsi="Arial;Helvetica;sans-serif"/>
          <w:b w:val="false"/>
          <w:i w:val="false"/>
          <w:caps w:val="false"/>
          <w:smallCaps w:val="false"/>
          <w:sz w:val="22"/>
        </w:rPr>
        <w:t>4.1</w:t>
      </w:r>
      <w:r>
        <w:rPr>
          <w:rFonts w:ascii="Arial;Helvetica;sans-serif" w:hAnsi="Arial;Helvetica;sans-serif"/>
          <w:sz w:val="22"/>
          <w:u w:val="single"/>
        </w:rPr>
        <w:t>Termination Without Cause.</w:t>
      </w:r>
      <w:r>
        <w:rPr>
          <w:rFonts w:ascii="Aptos" w:hAnsi="Aptos"/>
          <w:sz w:val="22"/>
        </w:rPr>
        <w:t xml:space="preserve"> </w:t>
      </w:r>
      <w:r>
        <w:rPr>
          <w:rFonts w:ascii="Arial;Helvetica;sans-serif" w:hAnsi="Arial;Helvetica;sans-serif"/>
          <w:sz w:val="22"/>
        </w:rPr>
        <w:t>Except as provided in Paragraph 4.6 (Termination During Change in Control Period), if the Executive’s employment is terminated by the Company for any reason other than for Cause (as defined in Exhibit A to this Amendment) before the 2026 Retention Award is fully paid or vested, the Executive shall receive the pro rata portion of the Award as of the date of termination, with proration calculated as provided in Paragraph 4.</w:t>
      </w:r>
    </w:p>
    <w:p>
      <w:pPr>
        <w:pStyle w:val="TextBody"/>
        <w:bidi w:val="0"/>
        <w:spacing w:lineRule="auto" w:line="331" w:before="0" w:after="160"/>
        <w:ind w:left="0" w:right="0" w:hanging="0"/>
        <w:jc w:val="both"/>
        <w:rPr/>
      </w:pPr>
      <w:r>
        <w:rPr/>
        <w:t>​</w:t>
      </w:r>
    </w:p>
    <w:p>
      <w:pPr>
        <w:pStyle w:val="TextBody"/>
        <w:bidi w:val="0"/>
        <w:spacing w:lineRule="auto" w:line="285" w:before="0" w:after="120"/>
        <w:ind w:left="0" w:right="0" w:hanging="0"/>
        <w:jc w:val="left"/>
        <w:rPr>
          <w:rFonts w:ascii="Aptos" w:hAnsi="Aptos"/>
          <w:sz w:val="22"/>
        </w:rPr>
      </w:pPr>
      <w:r>
        <w:rPr>
          <w:rFonts w:ascii="Arial;Helvetica;sans-serif" w:hAnsi="Arial;Helvetica;sans-serif"/>
          <w:b w:val="false"/>
          <w:i w:val="false"/>
          <w:caps w:val="false"/>
          <w:smallCaps w:val="false"/>
          <w:sz w:val="22"/>
        </w:rPr>
        <w:t>4.2</w:t>
      </w:r>
      <w:r>
        <w:rPr>
          <w:rFonts w:ascii="Arial;Helvetica;sans-serif" w:hAnsi="Arial;Helvetica;sans-serif"/>
          <w:sz w:val="22"/>
          <w:u w:val="single"/>
        </w:rPr>
        <w:t>Proration Formula.</w:t>
      </w:r>
      <w:r>
        <w:rPr>
          <w:rFonts w:ascii="Aptos" w:hAnsi="Aptos"/>
          <w:sz w:val="22"/>
        </w:rPr>
        <w:t xml:space="preserve"> </w:t>
      </w:r>
      <w:r>
        <w:rPr>
          <w:rFonts w:ascii="Arial;Helvetica;sans-serif" w:hAnsi="Arial;Helvetica;sans-serif"/>
          <w:sz w:val="22"/>
        </w:rPr>
        <w:t xml:space="preserve">For purposes of this Paragraph 4, proration shall be calculated on a straight-line basis, based on the actual number of days worked by the Executive during the Retention Period (as defined in Exhibit A to this Agreement), divided by the total number of days in the Retention Period (the </w:t>
      </w:r>
      <w:r>
        <w:rPr>
          <w:rFonts w:ascii="Aptos" w:hAnsi="Aptos"/>
          <w:sz w:val="22"/>
        </w:rPr>
        <w:t>“</w:t>
      </w:r>
      <w:r>
        <w:rPr>
          <w:rFonts w:ascii="Arial;Helvetica;sans-serif" w:hAnsi="Arial;Helvetica;sans-serif"/>
          <w:b/>
          <w:sz w:val="22"/>
        </w:rPr>
        <w:t>Pro Rata Fraction”</w:t>
      </w:r>
      <w:r>
        <w:rPr>
          <w:rFonts w:ascii="Arial;Helvetica;sans-serif" w:hAnsi="Arial;Helvetica;sans-serif"/>
          <w:sz w:val="22"/>
        </w:rPr>
        <w:t>).</w:t>
      </w:r>
    </w:p>
    <w:p>
      <w:pPr>
        <w:pStyle w:val="HorizontalLine"/>
        <w:pBdr>
          <w:bottom w:val="double" w:sz="2" w:space="0" w:color="808080"/>
        </w:pBdr>
        <w:bidi w:val="0"/>
        <w:spacing w:before="0" w:after="283"/>
        <w:jc w:val="left"/>
        <w:rPr/>
      </w:pPr>
      <w:r>
        <w:rPr/>
      </w:r>
    </w:p>
    <w:p>
      <w:pPr>
        <w:pStyle w:val="TextBody"/>
        <w:bidi w:val="0"/>
        <w:spacing w:lineRule="auto" w:line="285" w:before="0" w:after="120"/>
        <w:ind w:left="0" w:right="0" w:hanging="0"/>
        <w:jc w:val="left"/>
        <w:rPr>
          <w:rFonts w:ascii="Aptos" w:hAnsi="Aptos"/>
          <w:sz w:val="22"/>
        </w:rPr>
      </w:pPr>
      <w:r>
        <w:rPr>
          <w:rFonts w:ascii="Arial;Helvetica;sans-serif" w:hAnsi="Arial;Helvetica;sans-serif"/>
          <w:b w:val="false"/>
          <w:i w:val="false"/>
          <w:caps w:val="false"/>
          <w:smallCaps w:val="false"/>
          <w:sz w:val="22"/>
        </w:rPr>
        <w:t>4.3</w:t>
      </w:r>
      <w:r>
        <w:rPr>
          <w:rFonts w:ascii="Arial;Helvetica;sans-serif" w:hAnsi="Arial;Helvetica;sans-serif"/>
          <w:sz w:val="22"/>
          <w:u w:val="single"/>
        </w:rPr>
        <w:t>Cash Award Proration.</w:t>
      </w:r>
      <w:r>
        <w:rPr>
          <w:rFonts w:ascii="Aptos" w:hAnsi="Aptos"/>
          <w:sz w:val="22"/>
        </w:rPr>
        <w:t xml:space="preserve"> </w:t>
      </w:r>
      <w:r>
        <w:rPr>
          <w:rFonts w:ascii="Arial;Helvetica;sans-serif" w:hAnsi="Arial;Helvetica;sans-serif"/>
          <w:sz w:val="22"/>
        </w:rPr>
        <w:t>The unpaid portion of the Cash Award will be multiplied by the Pro Rata Fraction. The prorated Cash Award amount shall be paid on the next scheduled payout date following the Executive’s date of termination.</w:t>
      </w:r>
    </w:p>
    <w:p>
      <w:pPr>
        <w:pStyle w:val="TextBody"/>
        <w:bidi w:val="0"/>
        <w:spacing w:lineRule="auto" w:line="285" w:before="0" w:after="120"/>
        <w:ind w:left="0" w:right="0" w:hanging="0"/>
        <w:jc w:val="left"/>
        <w:rPr>
          <w:rFonts w:ascii="Aptos" w:hAnsi="Aptos"/>
          <w:sz w:val="22"/>
        </w:rPr>
      </w:pPr>
      <w:r>
        <w:rPr>
          <w:rFonts w:ascii="Arial;Helvetica;sans-serif" w:hAnsi="Arial;Helvetica;sans-serif"/>
          <w:b w:val="false"/>
          <w:i w:val="false"/>
          <w:caps w:val="false"/>
          <w:smallCaps w:val="false"/>
          <w:sz w:val="22"/>
        </w:rPr>
        <w:t>4.4</w:t>
      </w:r>
      <w:r>
        <w:rPr>
          <w:rFonts w:ascii="Arial;Helvetica;sans-serif" w:hAnsi="Arial;Helvetica;sans-serif"/>
          <w:sz w:val="22"/>
          <w:u w:val="single"/>
        </w:rPr>
        <w:t>RSU Award Acceleration</w:t>
      </w:r>
      <w:r>
        <w:rPr>
          <w:rFonts w:ascii="Arial;Helvetica;sans-serif" w:hAnsi="Arial;Helvetica;sans-serif"/>
          <w:b/>
          <w:sz w:val="22"/>
        </w:rPr>
        <w:t>.</w:t>
      </w:r>
      <w:r>
        <w:rPr>
          <w:rFonts w:ascii="Aptos" w:hAnsi="Aptos"/>
          <w:sz w:val="22"/>
        </w:rPr>
        <w:t xml:space="preserve"> </w:t>
      </w:r>
      <w:r>
        <w:rPr>
          <w:rFonts w:ascii="Arial;Helvetica;sans-serif" w:hAnsi="Arial;Helvetica;sans-serif"/>
          <w:sz w:val="22"/>
        </w:rPr>
        <w:t>NA</w:t>
      </w:r>
    </w:p>
    <w:p>
      <w:pPr>
        <w:pStyle w:val="TextBody"/>
        <w:bidi w:val="0"/>
        <w:spacing w:lineRule="auto" w:line="285" w:before="0" w:after="120"/>
        <w:ind w:left="0" w:right="0" w:hanging="0"/>
        <w:jc w:val="left"/>
        <w:rPr>
          <w:rFonts w:ascii="Aptos" w:hAnsi="Aptos"/>
          <w:sz w:val="22"/>
        </w:rPr>
      </w:pPr>
      <w:r>
        <w:rPr>
          <w:rFonts w:ascii="Arial;Helvetica;sans-serif" w:hAnsi="Arial;Helvetica;sans-serif"/>
          <w:b w:val="false"/>
          <w:i w:val="false"/>
          <w:caps w:val="false"/>
          <w:smallCaps w:val="false"/>
          <w:sz w:val="22"/>
        </w:rPr>
        <w:t>4.5</w:t>
      </w:r>
      <w:r>
        <w:rPr>
          <w:rFonts w:ascii="Arial;Helvetica;sans-serif" w:hAnsi="Arial;Helvetica;sans-serif"/>
          <w:sz w:val="22"/>
          <w:u w:val="single"/>
        </w:rPr>
        <w:t>Change in Control Vesting.</w:t>
      </w:r>
      <w:r>
        <w:rPr>
          <w:rFonts w:ascii="Aptos" w:hAnsi="Aptos"/>
          <w:sz w:val="22"/>
        </w:rPr>
        <w:t xml:space="preserve"> </w:t>
      </w:r>
      <w:r>
        <w:rPr>
          <w:rFonts w:ascii="Arial;Helvetica;sans-serif" w:hAnsi="Arial;Helvetica;sans-serif"/>
          <w:sz w:val="22"/>
        </w:rPr>
        <w:t>If, prior to the date on which the 2026 Retention Award is fully paid, the Company completes a Material Transaction the effect of which is a Change in Control event, the Cash Award shall remain unchanged as an obligation of the successor legal entity to be paid in accordance with the schedule set forth in Paragraph 2, subject to this Paragraph 4.</w:t>
      </w:r>
    </w:p>
    <w:p>
      <w:pPr>
        <w:pStyle w:val="TextBody"/>
        <w:bidi w:val="0"/>
        <w:spacing w:lineRule="auto" w:line="285" w:before="0" w:after="120"/>
        <w:ind w:left="0" w:right="0" w:hanging="0"/>
        <w:jc w:val="left"/>
        <w:rPr>
          <w:rFonts w:ascii="Aptos" w:hAnsi="Aptos"/>
          <w:sz w:val="22"/>
        </w:rPr>
      </w:pPr>
      <w:r>
        <w:rPr>
          <w:rFonts w:ascii="Arial;Helvetica;sans-serif" w:hAnsi="Arial;Helvetica;sans-serif"/>
          <w:b w:val="false"/>
          <w:i w:val="false"/>
          <w:caps w:val="false"/>
          <w:smallCaps w:val="false"/>
          <w:sz w:val="22"/>
        </w:rPr>
        <w:t>4.6</w:t>
      </w:r>
      <w:r>
        <w:rPr>
          <w:rFonts w:ascii="Arial;Helvetica;sans-serif" w:hAnsi="Arial;Helvetica;sans-serif"/>
          <w:sz w:val="22"/>
          <w:u w:val="single"/>
        </w:rPr>
        <w:t>Termination During Change in Control Period.</w:t>
      </w:r>
      <w:r>
        <w:rPr>
          <w:rFonts w:ascii="Aptos" w:hAnsi="Aptos"/>
          <w:sz w:val="22"/>
        </w:rPr>
        <w:t xml:space="preserve"> </w:t>
      </w:r>
      <w:r>
        <w:rPr>
          <w:rFonts w:ascii="Arial;Helvetica;sans-serif" w:hAnsi="Arial;Helvetica;sans-serif"/>
          <w:sz w:val="22"/>
        </w:rPr>
        <w:t>If the Executive is in good standing and is separated from the Company without Cause or pursuant to a Constructive Termination during the Change in Control Period, then the Company, as part of the Executive’s separation settlement, will provide the Executive no later than seventy-four (74) days following termination of employment with payment of the full remaining unpaid balance of the Cash Award.</w:t>
      </w:r>
    </w:p>
    <w:p>
      <w:pPr>
        <w:pStyle w:val="TextBody"/>
        <w:bidi w:val="0"/>
        <w:spacing w:lineRule="auto" w:line="285" w:before="0" w:after="120"/>
        <w:ind w:left="0" w:right="0" w:hanging="0"/>
        <w:jc w:val="left"/>
        <w:rPr>
          <w:rFonts w:ascii="Aptos" w:hAnsi="Aptos"/>
          <w:sz w:val="22"/>
        </w:rPr>
      </w:pPr>
      <w:r>
        <w:rPr>
          <w:rFonts w:ascii="Arial;Helvetica;sans-serif" w:hAnsi="Arial;Helvetica;sans-serif"/>
          <w:b w:val="false"/>
          <w:i w:val="false"/>
          <w:caps w:val="false"/>
          <w:smallCaps w:val="false"/>
          <w:sz w:val="22"/>
        </w:rPr>
        <w:t>4.7</w:t>
      </w:r>
      <w:r>
        <w:rPr>
          <w:rFonts w:ascii="Arial;Helvetica;sans-serif" w:hAnsi="Arial;Helvetica;sans-serif"/>
          <w:sz w:val="22"/>
          <w:u w:val="single"/>
        </w:rPr>
        <w:t>Forfeiture on Voluntary Termination or Termination for Cause.</w:t>
      </w:r>
      <w:r>
        <w:rPr>
          <w:rFonts w:ascii="Aptos" w:hAnsi="Aptos"/>
          <w:sz w:val="22"/>
        </w:rPr>
        <w:t xml:space="preserve"> </w:t>
      </w:r>
      <w:r>
        <w:rPr>
          <w:rFonts w:ascii="Arial;Helvetica;sans-serif" w:hAnsi="Arial;Helvetica;sans-serif"/>
          <w:sz w:val="22"/>
        </w:rPr>
        <w:t>For the avoidance of doubt, any voluntary separation by the Executive or any termination for Cause shall not be subject to the protections set forth in this Paragraph 4, and in any such instance, the Executive’s rights to any unpaid Cash Award installments shall be forfeited.</w:t>
      </w:r>
    </w:p>
    <w:tbl>
      <w:tblPr>
        <w:tblW w:w="3250" w:type="dxa"/>
        <w:jc w:val="left"/>
        <w:tblInd w:w="0" w:type="dxa"/>
        <w:tblLayout w:type="fixed"/>
        <w:tblCellMar>
          <w:top w:w="0" w:type="dxa"/>
          <w:left w:w="0" w:type="dxa"/>
          <w:bottom w:w="0" w:type="dxa"/>
          <w:right w:w="0" w:type="dxa"/>
        </w:tblCellMar>
      </w:tblPr>
      <w:tblGrid>
        <w:gridCol w:w="200"/>
        <w:gridCol w:w="3050"/>
      </w:tblGrid>
      <w:tr>
        <w:trPr/>
        <w:tc>
          <w:tcPr>
            <w:tcW w:w="200" w:type="dxa"/>
            <w:tcBorders/>
            <w:vAlign w:val="center"/>
          </w:tcPr>
          <w:p>
            <w:pPr>
              <w:pStyle w:val="TableContents"/>
              <w:bidi w:val="0"/>
              <w:spacing w:lineRule="auto" w:line="285" w:before="0" w:after="120"/>
              <w:jc w:val="left"/>
              <w:rPr>
                <w:rFonts w:ascii="Arial;Helvetica;sans-serif" w:hAnsi="Arial;Helvetica;sans-serif"/>
                <w:b/>
                <w:caps/>
                <w:sz w:val="22"/>
              </w:rPr>
            </w:pPr>
            <w:r>
              <w:rPr>
                <w:rFonts w:ascii="Arial;Helvetica;sans-serif" w:hAnsi="Arial;Helvetica;sans-serif"/>
                <w:b/>
                <w:caps/>
                <w:sz w:val="22"/>
              </w:rPr>
              <w:t>5.</w:t>
            </w:r>
          </w:p>
        </w:tc>
        <w:tc>
          <w:tcPr>
            <w:tcW w:w="3050" w:type="dxa"/>
            <w:tcBorders/>
            <w:vAlign w:val="center"/>
          </w:tcPr>
          <w:p>
            <w:pPr>
              <w:pStyle w:val="TableContents"/>
              <w:bidi w:val="0"/>
              <w:spacing w:lineRule="auto" w:line="285" w:before="0" w:after="120"/>
              <w:jc w:val="left"/>
              <w:rPr>
                <w:rFonts w:ascii="Arial;Helvetica;sans-serif" w:hAnsi="Arial;Helvetica;sans-serif"/>
                <w:b/>
                <w:caps/>
                <w:sz w:val="22"/>
              </w:rPr>
            </w:pPr>
            <w:r>
              <w:rPr>
                <w:rFonts w:ascii="Arial;Helvetica;sans-serif" w:hAnsi="Arial;Helvetica;sans-serif"/>
                <w:b/>
                <w:caps/>
                <w:sz w:val="22"/>
              </w:rPr>
              <w:t>Restrictive Covenants.</w:t>
            </w:r>
          </w:p>
        </w:tc>
      </w:tr>
    </w:tbl>
    <w:p>
      <w:pPr>
        <w:pStyle w:val="TextBody"/>
        <w:bidi w:val="0"/>
        <w:spacing w:lineRule="auto" w:line="285" w:before="0" w:after="120"/>
        <w:ind w:left="0" w:right="0" w:hanging="0"/>
        <w:jc w:val="left"/>
        <w:rPr>
          <w:rFonts w:ascii="Aptos" w:hAnsi="Aptos"/>
          <w:sz w:val="22"/>
        </w:rPr>
      </w:pPr>
      <w:r>
        <w:rPr>
          <w:rFonts w:ascii="Arial;Helvetica;sans-serif" w:hAnsi="Arial;Helvetica;sans-serif"/>
          <w:b w:val="false"/>
          <w:i w:val="false"/>
          <w:caps w:val="false"/>
          <w:smallCaps w:val="false"/>
          <w:sz w:val="22"/>
        </w:rPr>
        <w:t>5.1</w:t>
      </w:r>
      <w:r>
        <w:rPr>
          <w:rFonts w:ascii="Arial;Helvetica;sans-serif" w:hAnsi="Arial;Helvetica;sans-serif"/>
          <w:sz w:val="22"/>
        </w:rPr>
        <w:t>This Agreement incorporates by reference all Restrictive Covenants set forth in the Executive’s Employment Agreement, including without limitation the Non-Compete Undertaking, the Employees Non-Solicitation Undertaking, the Client Non-Solicitation Undertaking, and all related confidentiality and non-disclosure obligations, including any duration periods provided therein. The Executive hereby acknowledges and reaffirms all such Restrictive Covenants and agrees to comply with the Restrictive Covenants to the fullest extent permitted by applicable law.</w:t>
      </w:r>
    </w:p>
    <w:p>
      <w:pPr>
        <w:pStyle w:val="TextBody"/>
        <w:bidi w:val="0"/>
        <w:spacing w:lineRule="auto" w:line="285" w:before="0" w:after="120"/>
        <w:ind w:left="0" w:right="0" w:hanging="0"/>
        <w:jc w:val="left"/>
        <w:rPr>
          <w:rFonts w:ascii="Aptos" w:hAnsi="Aptos"/>
          <w:sz w:val="22"/>
        </w:rPr>
      </w:pPr>
      <w:r>
        <w:rPr>
          <w:rFonts w:ascii="Arial;Helvetica;sans-serif" w:hAnsi="Arial;Helvetica;sans-serif"/>
          <w:b w:val="false"/>
          <w:i w:val="false"/>
          <w:caps w:val="false"/>
          <w:smallCaps w:val="false"/>
          <w:sz w:val="22"/>
        </w:rPr>
        <w:t>5.2</w:t>
      </w:r>
      <w:r>
        <w:rPr>
          <w:rFonts w:ascii="Arial;Helvetica;sans-serif" w:hAnsi="Arial;Helvetica;sans-serif"/>
          <w:sz w:val="22"/>
          <w:u w:val="single"/>
        </w:rPr>
        <w:t>Acknowledgements.</w:t>
      </w:r>
      <w:r>
        <w:rPr>
          <w:rFonts w:ascii="Aptos" w:hAnsi="Aptos"/>
          <w:sz w:val="22"/>
        </w:rPr>
        <w:t xml:space="preserve">  </w:t>
      </w:r>
      <w:r>
        <w:rPr>
          <w:rFonts w:ascii="Arial;Helvetica;sans-serif" w:hAnsi="Arial;Helvetica;sans-serif"/>
          <w:sz w:val="22"/>
        </w:rPr>
        <w:t>Executive acknowledges that: (i) the non-competition and non-solicitation provisions incorporated into this Agreement by reference, including their scope, duration, and geographic reach, are fair and reasonable given the Executive’s position with TTEC, the nature and geographic scope of the TTEC business, and the Company’s investment of capital and resources in developing its business operations; (ii) Executive has access to proprietary trade secret information and valuable customer relationships that justify the restrictions on Executive’s future employment and business activities in TTEC’s industry; and (iii) Executive’s standard of living may be reduced during the non-competition and/or non-solicitation period, and Executive assumes and accepts any risk associated with that possibility, acknowledging that any such reduction does not constitute undue hardship.</w:t>
      </w:r>
    </w:p>
    <w:tbl>
      <w:tblPr>
        <w:tblW w:w="3700" w:type="dxa"/>
        <w:jc w:val="left"/>
        <w:tblInd w:w="0" w:type="dxa"/>
        <w:tblLayout w:type="fixed"/>
        <w:tblCellMar>
          <w:top w:w="0" w:type="dxa"/>
          <w:left w:w="0" w:type="dxa"/>
          <w:bottom w:w="0" w:type="dxa"/>
          <w:right w:w="0" w:type="dxa"/>
        </w:tblCellMar>
      </w:tblPr>
      <w:tblGrid>
        <w:gridCol w:w="200"/>
        <w:gridCol w:w="3500"/>
      </w:tblGrid>
      <w:tr>
        <w:trPr/>
        <w:tc>
          <w:tcPr>
            <w:tcW w:w="200" w:type="dxa"/>
            <w:tcBorders/>
            <w:vAlign w:val="center"/>
          </w:tcPr>
          <w:p>
            <w:pPr>
              <w:pStyle w:val="TableContents"/>
              <w:bidi w:val="0"/>
              <w:spacing w:lineRule="auto" w:line="285" w:before="0" w:after="120"/>
              <w:jc w:val="left"/>
              <w:rPr>
                <w:rFonts w:ascii="Arial;Helvetica;sans-serif" w:hAnsi="Arial;Helvetica;sans-serif"/>
                <w:b/>
                <w:caps/>
                <w:sz w:val="22"/>
              </w:rPr>
            </w:pPr>
            <w:r>
              <w:rPr>
                <w:rFonts w:ascii="Arial;Helvetica;sans-serif" w:hAnsi="Arial;Helvetica;sans-serif"/>
                <w:b/>
                <w:caps/>
                <w:sz w:val="22"/>
              </w:rPr>
              <w:t>6.</w:t>
            </w:r>
          </w:p>
        </w:tc>
        <w:tc>
          <w:tcPr>
            <w:tcW w:w="3500" w:type="dxa"/>
            <w:tcBorders/>
            <w:vAlign w:val="center"/>
          </w:tcPr>
          <w:p>
            <w:pPr>
              <w:pStyle w:val="TableContents"/>
              <w:bidi w:val="0"/>
              <w:spacing w:lineRule="auto" w:line="285" w:before="0" w:after="120"/>
              <w:jc w:val="left"/>
              <w:rPr>
                <w:rFonts w:ascii="Arial;Helvetica;sans-serif" w:hAnsi="Arial;Helvetica;sans-serif"/>
                <w:b/>
                <w:caps/>
                <w:sz w:val="22"/>
              </w:rPr>
            </w:pPr>
            <w:r>
              <w:rPr>
                <w:rFonts w:ascii="Arial;Helvetica;sans-serif" w:hAnsi="Arial;Helvetica;sans-serif"/>
                <w:b/>
                <w:caps/>
                <w:sz w:val="22"/>
              </w:rPr>
              <w:t>Miscellaneous Provisions.</w:t>
            </w:r>
          </w:p>
        </w:tc>
      </w:tr>
    </w:tbl>
    <w:p>
      <w:pPr>
        <w:pStyle w:val="TextBody"/>
        <w:bidi w:val="0"/>
        <w:spacing w:lineRule="auto" w:line="285" w:before="0" w:after="0"/>
        <w:ind w:left="0" w:right="0" w:hanging="0"/>
        <w:jc w:val="left"/>
        <w:rPr>
          <w:rFonts w:ascii="Aptos" w:hAnsi="Aptos"/>
          <w:sz w:val="22"/>
        </w:rPr>
      </w:pPr>
      <w:r>
        <w:rPr>
          <w:rFonts w:ascii="Arial;Helvetica;sans-serif" w:hAnsi="Arial;Helvetica;sans-serif"/>
          <w:b w:val="false"/>
          <w:i w:val="false"/>
          <w:caps w:val="false"/>
          <w:smallCaps w:val="false"/>
          <w:sz w:val="22"/>
        </w:rPr>
        <w:t>6.1</w:t>
      </w:r>
      <w:r>
        <w:rPr>
          <w:rFonts w:ascii="Arial;Helvetica;sans-serif" w:hAnsi="Arial;Helvetica;sans-serif"/>
          <w:sz w:val="22"/>
          <w:u w:val="single"/>
        </w:rPr>
        <w:t>Consideration</w:t>
      </w:r>
      <w:r>
        <w:rPr>
          <w:rFonts w:ascii="Arial;Helvetica;sans-serif" w:hAnsi="Arial;Helvetica;sans-serif"/>
          <w:b/>
          <w:sz w:val="22"/>
        </w:rPr>
        <w:t>.</w:t>
      </w:r>
      <w:r>
        <w:rPr>
          <w:rFonts w:ascii="Aptos" w:hAnsi="Aptos"/>
          <w:sz w:val="22"/>
        </w:rPr>
        <w:t xml:space="preserve"> </w:t>
      </w:r>
      <w:r>
        <w:rPr>
          <w:rFonts w:ascii="Arial;Helvetica;sans-serif" w:hAnsi="Arial;Helvetica;sans-serif"/>
          <w:sz w:val="22"/>
        </w:rPr>
        <w:t>The Company is providing this 2026 Retention Award in consideration of the services that the Executive is providing to the Company, and other mutual covenants provided in this Agreement, including without limitation, the Restrictive Covenants outlined in Paragraph 5 (Restrictive Covenants).</w:t>
      </w:r>
    </w:p>
    <w:p>
      <w:pPr>
        <w:pStyle w:val="TextBody"/>
        <w:bidi w:val="0"/>
        <w:spacing w:lineRule="auto" w:line="331" w:before="0" w:after="160"/>
        <w:ind w:left="0" w:right="0" w:hanging="0"/>
        <w:jc w:val="both"/>
        <w:rPr/>
      </w:pPr>
      <w:r>
        <w:rPr/>
        <w:t>​</w:t>
      </w:r>
    </w:p>
    <w:p>
      <w:pPr>
        <w:pStyle w:val="TextBody"/>
        <w:bidi w:val="0"/>
        <w:spacing w:lineRule="auto" w:line="285" w:before="0" w:after="200"/>
        <w:ind w:left="0" w:right="0" w:hanging="0"/>
        <w:jc w:val="left"/>
        <w:rPr>
          <w:rFonts w:ascii="Aptos" w:hAnsi="Aptos"/>
          <w:sz w:val="22"/>
        </w:rPr>
      </w:pPr>
      <w:r>
        <w:rPr>
          <w:rFonts w:ascii="Arial;Helvetica;sans-serif" w:hAnsi="Arial;Helvetica;sans-serif"/>
          <w:b w:val="false"/>
          <w:i w:val="false"/>
          <w:caps w:val="false"/>
          <w:smallCaps w:val="false"/>
          <w:sz w:val="22"/>
        </w:rPr>
        <w:t>6.2</w:t>
      </w:r>
      <w:r>
        <w:rPr>
          <w:rFonts w:ascii="Arial;Helvetica;sans-serif" w:hAnsi="Arial;Helvetica;sans-serif"/>
          <w:sz w:val="22"/>
          <w:u w:val="single"/>
        </w:rPr>
        <w:t>Administration</w:t>
      </w:r>
      <w:r>
        <w:rPr>
          <w:rFonts w:ascii="Arial;Helvetica;sans-serif" w:hAnsi="Arial;Helvetica;sans-serif"/>
          <w:b/>
          <w:sz w:val="22"/>
        </w:rPr>
        <w:t>.</w:t>
      </w:r>
      <w:r>
        <w:rPr>
          <w:rFonts w:ascii="Aptos" w:hAnsi="Aptos"/>
          <w:sz w:val="22"/>
        </w:rPr>
        <w:t xml:space="preserve"> </w:t>
      </w:r>
      <w:r>
        <w:rPr>
          <w:rFonts w:ascii="Arial;Helvetica;sans-serif" w:hAnsi="Arial;Helvetica;sans-serif"/>
          <w:sz w:val="22"/>
        </w:rPr>
        <w:t>The Committee, in its reasonable discretion, shall have the authority to  determine the effect of all matters and questions with respect to the Executive’s termination of affiliation with the Company and whether continuous services are being provided as these matters relate to the 2026 Retention Award payout or vesting, including without limitation, the question of whether a termination of service has occurred, whether a leave of absence or disability constitutes a termination of service, and other similar questions.</w:t>
      </w:r>
    </w:p>
    <w:p>
      <w:pPr>
        <w:pStyle w:val="HorizontalLine"/>
        <w:pBdr>
          <w:bottom w:val="double" w:sz="2" w:space="0" w:color="808080"/>
        </w:pBdr>
        <w:bidi w:val="0"/>
        <w:spacing w:before="0" w:after="283"/>
        <w:jc w:val="left"/>
        <w:rPr/>
      </w:pPr>
      <w:r>
        <w:rPr/>
      </w:r>
    </w:p>
    <w:p>
      <w:pPr>
        <w:pStyle w:val="TextBody"/>
        <w:bidi w:val="0"/>
        <w:spacing w:lineRule="auto" w:line="285" w:before="0" w:after="200"/>
        <w:ind w:left="0" w:right="0" w:hanging="0"/>
        <w:jc w:val="left"/>
        <w:rPr>
          <w:rFonts w:ascii="Aptos" w:hAnsi="Aptos"/>
          <w:sz w:val="22"/>
        </w:rPr>
      </w:pPr>
      <w:r>
        <w:rPr>
          <w:rFonts w:ascii="Arial;Helvetica;sans-serif" w:hAnsi="Arial;Helvetica;sans-serif"/>
          <w:b w:val="false"/>
          <w:i w:val="false"/>
          <w:caps w:val="false"/>
          <w:smallCaps w:val="false"/>
          <w:sz w:val="22"/>
        </w:rPr>
        <w:t>6.3</w:t>
      </w:r>
      <w:r>
        <w:rPr>
          <w:rFonts w:ascii="Arial;Helvetica;sans-serif" w:hAnsi="Arial;Helvetica;sans-serif"/>
          <w:sz w:val="22"/>
          <w:u w:val="single"/>
        </w:rPr>
        <w:t>Dodd-Frank and Other Incentive Recoupment Provisions</w:t>
      </w:r>
      <w:r>
        <w:rPr>
          <w:rFonts w:ascii="Arial;Helvetica;sans-serif" w:hAnsi="Arial;Helvetica;sans-serif"/>
          <w:b/>
          <w:sz w:val="22"/>
        </w:rPr>
        <w:t>.</w:t>
      </w:r>
      <w:r>
        <w:rPr>
          <w:rFonts w:ascii="Aptos" w:hAnsi="Aptos"/>
          <w:sz w:val="22"/>
        </w:rPr>
        <w:t xml:space="preserve"> </w:t>
      </w:r>
      <w:r>
        <w:rPr>
          <w:rFonts w:ascii="Arial;Helvetica;sans-serif" w:hAnsi="Arial;Helvetica;sans-serif"/>
          <w:sz w:val="22"/>
        </w:rPr>
        <w:t>Notwithstanding any other provision in this Agreement, the 2026 Retention Award provided under this Agreement is subject to the TTEC Incentive Recoupment Policy promulgated in accordance with the requirements of the Sarbanes-Oxley Act of 2002 and the Dodd-Frank Wall Street Reform and Consumer Protection Act of 2010, which can be found on TTEC’s policy website or by contacting the TTEC Legal or People &amp; Culture departments.</w:t>
      </w:r>
    </w:p>
    <w:p>
      <w:pPr>
        <w:pStyle w:val="TextBody"/>
        <w:bidi w:val="0"/>
        <w:spacing w:lineRule="auto" w:line="285" w:before="0" w:after="200"/>
        <w:ind w:left="0" w:right="0" w:hanging="0"/>
        <w:jc w:val="left"/>
        <w:rPr>
          <w:rFonts w:ascii="Aptos" w:hAnsi="Aptos"/>
          <w:sz w:val="22"/>
        </w:rPr>
      </w:pPr>
      <w:r>
        <w:rPr>
          <w:rFonts w:ascii="Arial;Helvetica;sans-serif" w:hAnsi="Arial;Helvetica;sans-serif"/>
          <w:b w:val="false"/>
          <w:i w:val="false"/>
          <w:caps w:val="false"/>
          <w:smallCaps w:val="false"/>
          <w:sz w:val="22"/>
        </w:rPr>
        <w:t>6.4</w:t>
      </w:r>
      <w:r>
        <w:rPr>
          <w:rFonts w:ascii="Arial;Helvetica;sans-serif" w:hAnsi="Arial;Helvetica;sans-serif"/>
          <w:sz w:val="22"/>
          <w:u w:val="single"/>
        </w:rPr>
        <w:t>No Right to Continuing Service.</w:t>
      </w:r>
      <w:r>
        <w:rPr>
          <w:rFonts w:ascii="Aptos" w:hAnsi="Aptos"/>
          <w:sz w:val="22"/>
        </w:rPr>
        <w:t xml:space="preserve"> </w:t>
      </w:r>
      <w:r>
        <w:rPr>
          <w:rFonts w:ascii="Arial;Helvetica;sans-serif" w:hAnsi="Arial;Helvetica;sans-serif"/>
          <w:sz w:val="22"/>
        </w:rPr>
        <w:t>Neither the 2026 Retention Award nor this Agreement shall confer upon the Executive any right to be retained in any position, as an employee, consultant, or director of TTEC. Further, nothing in this Agreement shall be construed to limit the discretion of TTEC to terminate the Executive’s services (employment or otherwise) at any time, with or without cause.</w:t>
      </w:r>
    </w:p>
    <w:p>
      <w:pPr>
        <w:pStyle w:val="TextBody"/>
        <w:bidi w:val="0"/>
        <w:spacing w:lineRule="auto" w:line="285" w:before="0" w:after="200"/>
        <w:ind w:left="0" w:right="0" w:hanging="0"/>
        <w:jc w:val="left"/>
        <w:rPr>
          <w:rFonts w:ascii="Aptos" w:hAnsi="Aptos"/>
          <w:sz w:val="22"/>
        </w:rPr>
      </w:pPr>
      <w:r>
        <w:rPr>
          <w:rFonts w:ascii="Arial;Helvetica;sans-serif" w:hAnsi="Arial;Helvetica;sans-serif"/>
          <w:b w:val="false"/>
          <w:i w:val="false"/>
          <w:caps w:val="false"/>
          <w:smallCaps w:val="false"/>
          <w:sz w:val="22"/>
        </w:rPr>
        <w:t>6.5</w:t>
      </w:r>
      <w:r>
        <w:rPr>
          <w:rFonts w:ascii="Arial;Helvetica;sans-serif" w:hAnsi="Arial;Helvetica;sans-serif"/>
          <w:sz w:val="22"/>
          <w:u w:val="single"/>
        </w:rPr>
        <w:t>Tax Liability and Withholding</w:t>
      </w:r>
      <w:r>
        <w:rPr>
          <w:rFonts w:ascii="Arial;Helvetica;sans-serif" w:hAnsi="Arial;Helvetica;sans-serif"/>
          <w:b/>
          <w:sz w:val="22"/>
        </w:rPr>
        <w:t>.</w:t>
      </w:r>
      <w:r>
        <w:rPr>
          <w:rFonts w:ascii="Aptos" w:hAnsi="Aptos"/>
          <w:sz w:val="22"/>
        </w:rPr>
        <w:t xml:space="preserve"> </w:t>
      </w:r>
      <w:r>
        <w:rPr>
          <w:rFonts w:ascii="Arial;Helvetica;sans-serif" w:hAnsi="Arial;Helvetica;sans-serif"/>
          <w:sz w:val="22"/>
        </w:rPr>
        <w:t>The Executive shall be required to pay, and the Company or its administrator shall have the right to deduct from any compensation paid to the Executive pursuant to this Agreement, the amount of any required withholding taxes applicable to the Award and to take all such other action as the Company deems necessary to satisfy all obligations for the payment of such withholding taxes.</w:t>
      </w:r>
    </w:p>
    <w:p>
      <w:pPr>
        <w:pStyle w:val="TextBody"/>
        <w:bidi w:val="0"/>
        <w:spacing w:lineRule="auto" w:line="285" w:before="0" w:after="200"/>
        <w:ind w:left="0" w:right="0" w:hanging="0"/>
        <w:jc w:val="left"/>
        <w:rPr>
          <w:rFonts w:ascii="Aptos" w:hAnsi="Aptos"/>
          <w:sz w:val="22"/>
        </w:rPr>
      </w:pPr>
      <w:r>
        <w:rPr>
          <w:rFonts w:ascii="Arial;Helvetica;sans-serif" w:hAnsi="Arial;Helvetica;sans-serif"/>
          <w:b w:val="false"/>
          <w:i w:val="false"/>
          <w:caps w:val="false"/>
          <w:smallCaps w:val="false"/>
          <w:sz w:val="22"/>
        </w:rPr>
        <w:t>6.6</w:t>
      </w:r>
      <w:r>
        <w:rPr>
          <w:rFonts w:ascii="Arial;Helvetica;sans-serif" w:hAnsi="Arial;Helvetica;sans-serif"/>
          <w:sz w:val="22"/>
          <w:u w:val="single"/>
        </w:rPr>
        <w:t>Governing Law and Dispute Resolution.</w:t>
      </w:r>
    </w:p>
    <w:tbl>
      <w:tblPr>
        <w:tblW w:w="10205" w:type="dxa"/>
        <w:jc w:val="left"/>
        <w:tblInd w:w="0" w:type="dxa"/>
        <w:tblLayout w:type="fixed"/>
        <w:tblCellMar>
          <w:top w:w="0" w:type="dxa"/>
          <w:left w:w="0" w:type="dxa"/>
          <w:bottom w:w="0" w:type="dxa"/>
          <w:right w:w="0" w:type="dxa"/>
        </w:tblCellMar>
      </w:tblPr>
      <w:tblGrid>
        <w:gridCol w:w="23"/>
        <w:gridCol w:w="231"/>
        <w:gridCol w:w="9951"/>
      </w:tblGrid>
      <w:tr>
        <w:trPr/>
        <w:tc>
          <w:tcPr>
            <w:tcW w:w="2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lineRule="auto" w:line="285" w:before="0" w:after="200"/>
              <w:jc w:val="both"/>
              <w:rPr>
                <w:rFonts w:ascii="Arial;Helvetica;sans-serif" w:hAnsi="Arial;Helvetica;sans-serif"/>
                <w:sz w:val="22"/>
              </w:rPr>
            </w:pPr>
            <w:r>
              <w:rPr>
                <w:rFonts w:ascii="Arial;Helvetica;sans-serif" w:hAnsi="Arial;Helvetica;sans-serif"/>
                <w:sz w:val="22"/>
              </w:rPr>
              <w:t>(a)</w:t>
            </w:r>
          </w:p>
        </w:tc>
        <w:tc>
          <w:tcPr>
            <w:tcW w:w="9951" w:type="dxa"/>
            <w:tcBorders/>
            <w:vAlign w:val="center"/>
          </w:tcPr>
          <w:p>
            <w:pPr>
              <w:pStyle w:val="TableContents"/>
              <w:bidi w:val="0"/>
              <w:spacing w:lineRule="auto" w:line="285" w:before="0" w:after="200"/>
              <w:jc w:val="both"/>
              <w:rPr>
                <w:rFonts w:ascii="Aptos" w:hAnsi="Aptos"/>
                <w:sz w:val="24"/>
              </w:rPr>
            </w:pPr>
            <w:r>
              <w:rPr>
                <w:rFonts w:ascii="Arial;Helvetica;sans-serif" w:hAnsi="Arial;Helvetica;sans-serif"/>
                <w:sz w:val="22"/>
                <w:u w:val="single"/>
              </w:rPr>
              <w:t>Governing Law.</w:t>
            </w:r>
            <w:r>
              <w:rPr>
                <w:rFonts w:ascii="Aptos" w:hAnsi="Aptos"/>
                <w:sz w:val="24"/>
              </w:rPr>
              <w:t xml:space="preserve"> </w:t>
            </w:r>
            <w:r>
              <w:rPr>
                <w:rFonts w:ascii="Arial;Helvetica;sans-serif" w:hAnsi="Arial;Helvetica;sans-serif"/>
                <w:sz w:val="22"/>
              </w:rPr>
              <w:t>This Agreement will be construed and interpreted in accordance with the laws of the State of Texas, U.S.A., without regard to conflict of law principles. If the laws of the jurisdiction where the Executive resides require that restrictive covenants contained in this Agreement are adjudicated under the provisions of that State’s law, the requirements of this Paragraph 6.6(a) shall be deemed reformed to that effect.</w:t>
            </w:r>
          </w:p>
        </w:tc>
      </w:tr>
    </w:tbl>
    <w:tbl>
      <w:tblPr>
        <w:tblW w:w="10205" w:type="dxa"/>
        <w:jc w:val="left"/>
        <w:tblInd w:w="0" w:type="dxa"/>
        <w:tblLayout w:type="fixed"/>
        <w:tblCellMar>
          <w:top w:w="0" w:type="dxa"/>
          <w:left w:w="0" w:type="dxa"/>
          <w:bottom w:w="0" w:type="dxa"/>
          <w:right w:w="0" w:type="dxa"/>
        </w:tblCellMar>
      </w:tblPr>
      <w:tblGrid>
        <w:gridCol w:w="23"/>
        <w:gridCol w:w="239"/>
        <w:gridCol w:w="9943"/>
      </w:tblGrid>
      <w:tr>
        <w:trPr/>
        <w:tc>
          <w:tcPr>
            <w:tcW w:w="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lineRule="auto" w:line="285" w:before="0" w:after="200"/>
              <w:jc w:val="both"/>
              <w:rPr>
                <w:rFonts w:ascii="Arial;Helvetica;sans-serif" w:hAnsi="Arial;Helvetica;sans-serif"/>
                <w:sz w:val="22"/>
              </w:rPr>
            </w:pPr>
            <w:r>
              <w:rPr>
                <w:rFonts w:ascii="Arial;Helvetica;sans-serif" w:hAnsi="Arial;Helvetica;sans-serif"/>
                <w:sz w:val="22"/>
              </w:rPr>
              <w:t>(b)</w:t>
            </w:r>
          </w:p>
        </w:tc>
        <w:tc>
          <w:tcPr>
            <w:tcW w:w="9943" w:type="dxa"/>
            <w:tcBorders/>
            <w:vAlign w:val="center"/>
          </w:tcPr>
          <w:p>
            <w:pPr>
              <w:pStyle w:val="TableContents"/>
              <w:bidi w:val="0"/>
              <w:spacing w:lineRule="auto" w:line="285" w:before="0" w:after="200"/>
              <w:jc w:val="both"/>
              <w:rPr>
                <w:rFonts w:ascii="Aptos" w:hAnsi="Aptos"/>
                <w:sz w:val="24"/>
              </w:rPr>
            </w:pPr>
            <w:r>
              <w:rPr>
                <w:rFonts w:ascii="Arial;Helvetica;sans-serif" w:hAnsi="Arial;Helvetica;sans-serif"/>
                <w:sz w:val="22"/>
                <w:u w:val="single"/>
              </w:rPr>
              <w:t>Disputes.</w:t>
            </w:r>
            <w:r>
              <w:rPr>
                <w:rFonts w:ascii="Aptos" w:hAnsi="Aptos"/>
                <w:sz w:val="24"/>
              </w:rPr>
              <w:t xml:space="preserve"> </w:t>
            </w:r>
            <w:r>
              <w:rPr>
                <w:rFonts w:ascii="Arial;Helvetica;sans-serif" w:hAnsi="Arial;Helvetica;sans-serif"/>
                <w:sz w:val="22"/>
              </w:rPr>
              <w:t>The parties agree that any action arising from or relating in any way to this Agreement shall be resolved and tried in the state or federal courts situated in Austin, Texas, U.S.A. The parties consent to the jurisdiction and venue of those courts to the greatest extent allowed by law.</w:t>
            </w:r>
          </w:p>
        </w:tc>
      </w:tr>
    </w:tbl>
    <w:tbl>
      <w:tblPr>
        <w:tblW w:w="10205" w:type="dxa"/>
        <w:jc w:val="left"/>
        <w:tblInd w:w="0" w:type="dxa"/>
        <w:tblLayout w:type="fixed"/>
        <w:tblCellMar>
          <w:top w:w="0" w:type="dxa"/>
          <w:left w:w="0" w:type="dxa"/>
          <w:bottom w:w="0" w:type="dxa"/>
          <w:right w:w="0" w:type="dxa"/>
        </w:tblCellMar>
      </w:tblPr>
      <w:tblGrid>
        <w:gridCol w:w="23"/>
        <w:gridCol w:w="250"/>
        <w:gridCol w:w="9932"/>
      </w:tblGrid>
      <w:tr>
        <w:trPr/>
        <w:tc>
          <w:tcPr>
            <w:tcW w:w="2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lineRule="auto" w:line="285" w:before="0" w:after="200"/>
              <w:jc w:val="both"/>
              <w:rPr>
                <w:rFonts w:ascii="Arial;Helvetica;sans-serif" w:hAnsi="Arial;Helvetica;sans-serif"/>
                <w:sz w:val="22"/>
              </w:rPr>
            </w:pPr>
            <w:r>
              <w:rPr>
                <w:rFonts w:ascii="Arial;Helvetica;sans-serif" w:hAnsi="Arial;Helvetica;sans-serif"/>
                <w:sz w:val="22"/>
              </w:rPr>
              <w:t>(c)</w:t>
            </w:r>
          </w:p>
        </w:tc>
        <w:tc>
          <w:tcPr>
            <w:tcW w:w="9932" w:type="dxa"/>
            <w:tcBorders/>
            <w:vAlign w:val="center"/>
          </w:tcPr>
          <w:p>
            <w:pPr>
              <w:pStyle w:val="TableContents"/>
              <w:bidi w:val="0"/>
              <w:spacing w:lineRule="auto" w:line="285" w:before="0" w:after="200"/>
              <w:jc w:val="both"/>
              <w:rPr>
                <w:rFonts w:ascii="Aptos" w:hAnsi="Aptos"/>
                <w:sz w:val="24"/>
              </w:rPr>
            </w:pPr>
            <w:r>
              <w:rPr>
                <w:rFonts w:ascii="Arial;Helvetica;sans-serif" w:hAnsi="Arial;Helvetica;sans-serif"/>
                <w:sz w:val="22"/>
                <w:u w:val="single"/>
              </w:rPr>
              <w:t>Attorneys’ Fees</w:t>
            </w:r>
            <w:r>
              <w:rPr>
                <w:rFonts w:ascii="Arial;Helvetica;sans-serif" w:hAnsi="Arial;Helvetica;sans-serif"/>
                <w:b/>
                <w:sz w:val="22"/>
              </w:rPr>
              <w:t>.</w:t>
            </w:r>
            <w:r>
              <w:rPr>
                <w:rFonts w:ascii="Aptos" w:hAnsi="Aptos"/>
                <w:sz w:val="24"/>
              </w:rPr>
              <w:t xml:space="preserve"> </w:t>
            </w:r>
            <w:r>
              <w:rPr>
                <w:rFonts w:ascii="Arial;Helvetica;sans-serif" w:hAnsi="Arial;Helvetica;sans-serif"/>
                <w:sz w:val="22"/>
              </w:rPr>
              <w:t>The party that substantially prevails in any action to enforce any provision of this Agreement shall recover all reasonable costs and attorneys’ fees incurred in connection with the action.</w:t>
            </w:r>
          </w:p>
        </w:tc>
      </w:tr>
    </w:tbl>
    <w:p>
      <w:pPr>
        <w:pStyle w:val="TextBody"/>
        <w:bidi w:val="0"/>
        <w:spacing w:lineRule="auto" w:line="285" w:before="0" w:after="200"/>
        <w:ind w:left="0" w:right="0" w:hanging="0"/>
        <w:jc w:val="left"/>
        <w:rPr>
          <w:rFonts w:ascii="Aptos" w:hAnsi="Aptos"/>
          <w:sz w:val="22"/>
        </w:rPr>
      </w:pPr>
      <w:r>
        <w:rPr>
          <w:rFonts w:ascii="Arial;Helvetica;sans-serif" w:hAnsi="Arial;Helvetica;sans-serif"/>
          <w:b w:val="false"/>
          <w:i w:val="false"/>
          <w:caps w:val="false"/>
          <w:smallCaps w:val="false"/>
          <w:sz w:val="22"/>
        </w:rPr>
        <w:t>6.7</w:t>
      </w:r>
      <w:r>
        <w:rPr>
          <w:rFonts w:ascii="Arial;Helvetica;sans-serif" w:hAnsi="Arial;Helvetica;sans-serif"/>
          <w:sz w:val="22"/>
          <w:u w:val="single"/>
        </w:rPr>
        <w:t>Successors and Assigns.</w:t>
      </w:r>
      <w:r>
        <w:rPr>
          <w:rFonts w:ascii="Aptos" w:hAnsi="Aptos"/>
          <w:sz w:val="22"/>
        </w:rPr>
        <w:t xml:space="preserve"> </w:t>
      </w:r>
      <w:r>
        <w:rPr>
          <w:rFonts w:ascii="Arial;Helvetica;sans-serif" w:hAnsi="Arial;Helvetica;sans-serif"/>
          <w:sz w:val="22"/>
        </w:rPr>
        <w:t>The Company may assign any of its rights under this Agreement. This Agreement will be binding upon and inure to the benefit of the successors and assigns of the Company. Subject to the restrictions on transfer set forth herein, this Agreement will be binding upon the Executive and the Executive’s beneficiaries, executors, administrators, and the person(s) to whom the rights under this Agreement may transfer by will or the laws of descent or distribution.</w:t>
      </w:r>
    </w:p>
    <w:p>
      <w:pPr>
        <w:pStyle w:val="TextBody"/>
        <w:bidi w:val="0"/>
        <w:spacing w:lineRule="auto" w:line="285" w:before="0" w:after="200"/>
        <w:ind w:left="0" w:right="0" w:hanging="0"/>
        <w:jc w:val="left"/>
        <w:rPr>
          <w:rFonts w:ascii="Aptos" w:hAnsi="Aptos"/>
          <w:sz w:val="22"/>
        </w:rPr>
      </w:pPr>
      <w:r>
        <w:rPr>
          <w:rFonts w:ascii="Arial;Helvetica;sans-serif" w:hAnsi="Arial;Helvetica;sans-serif"/>
          <w:b w:val="false"/>
          <w:i w:val="false"/>
          <w:caps w:val="false"/>
          <w:smallCaps w:val="false"/>
          <w:sz w:val="22"/>
        </w:rPr>
        <w:t>6.8</w:t>
      </w:r>
      <w:r>
        <w:rPr>
          <w:rFonts w:ascii="Arial;Helvetica;sans-serif" w:hAnsi="Arial;Helvetica;sans-serif"/>
          <w:sz w:val="22"/>
          <w:u w:val="single"/>
        </w:rPr>
        <w:t>No Impact on Other Benefits.</w:t>
      </w:r>
      <w:r>
        <w:rPr>
          <w:rFonts w:ascii="Aptos" w:hAnsi="Aptos"/>
          <w:sz w:val="22"/>
        </w:rPr>
        <w:t xml:space="preserve"> </w:t>
      </w:r>
      <w:r>
        <w:rPr>
          <w:rFonts w:ascii="Arial;Helvetica;sans-serif" w:hAnsi="Arial;Helvetica;sans-serif"/>
          <w:sz w:val="22"/>
        </w:rPr>
        <w:t>Except as otherwise provided in the Employment Agreement, the value of the Executive’s awards hereunder is not part of his/her normal or expected compensation for purposes of calculating any severance, retirement, welfare, insurance, or similar employee benefit.</w:t>
      </w:r>
    </w:p>
    <w:p>
      <w:pPr>
        <w:pStyle w:val="TextBody"/>
        <w:bidi w:val="0"/>
        <w:spacing w:lineRule="auto" w:line="285" w:before="0" w:after="200"/>
        <w:ind w:left="0" w:right="0" w:hanging="0"/>
        <w:jc w:val="left"/>
        <w:rPr>
          <w:rFonts w:ascii="Aptos" w:hAnsi="Aptos"/>
          <w:sz w:val="22"/>
        </w:rPr>
      </w:pPr>
      <w:r>
        <w:rPr>
          <w:rFonts w:ascii="Arial;Helvetica;sans-serif" w:hAnsi="Arial;Helvetica;sans-serif"/>
          <w:b w:val="false"/>
          <w:i w:val="false"/>
          <w:caps w:val="false"/>
          <w:smallCaps w:val="false"/>
          <w:sz w:val="22"/>
        </w:rPr>
        <w:t>6.9</w:t>
      </w:r>
      <w:r>
        <w:rPr>
          <w:rFonts w:ascii="Arial;Helvetica;sans-serif" w:hAnsi="Arial;Helvetica;sans-serif"/>
          <w:sz w:val="22"/>
          <w:u w:val="single"/>
        </w:rPr>
        <w:t>Confidentiality.</w:t>
      </w:r>
      <w:r>
        <w:rPr>
          <w:rFonts w:ascii="Aptos" w:hAnsi="Aptos"/>
          <w:sz w:val="22"/>
        </w:rPr>
        <w:t xml:space="preserve"> </w:t>
      </w:r>
      <w:r>
        <w:rPr>
          <w:rFonts w:ascii="Arial;Helvetica;sans-serif" w:hAnsi="Arial;Helvetica;sans-serif"/>
          <w:sz w:val="22"/>
        </w:rPr>
        <w:t xml:space="preserve">The Executive agrees not to disclose, directly or indirectly, to any other employee, director, or consultant of TTEC or an affiliate, and to keep confidential all information related to the 2026 Retention Award granted to Executive, including the amount of such Award and its payment and vesting schedule, unless the Executive’s role as a public company officer requires such disclosure. </w:t>
      </w:r>
    </w:p>
    <w:p>
      <w:pPr>
        <w:pStyle w:val="HorizontalLine"/>
        <w:pBdr>
          <w:bottom w:val="double" w:sz="2" w:space="0" w:color="808080"/>
        </w:pBdr>
        <w:bidi w:val="0"/>
        <w:spacing w:before="0" w:after="283"/>
        <w:jc w:val="left"/>
        <w:rPr/>
      </w:pPr>
      <w:r>
        <w:rPr/>
      </w:r>
    </w:p>
    <w:p>
      <w:pPr>
        <w:pStyle w:val="TextBody"/>
        <w:bidi w:val="0"/>
        <w:spacing w:lineRule="auto" w:line="285" w:before="0" w:after="200"/>
        <w:ind w:left="0" w:right="0" w:hanging="0"/>
        <w:jc w:val="left"/>
        <w:rPr>
          <w:rFonts w:ascii="Aptos" w:hAnsi="Aptos"/>
          <w:sz w:val="22"/>
        </w:rPr>
      </w:pPr>
      <w:r>
        <w:rPr>
          <w:rFonts w:ascii="Arial;Helvetica;sans-serif" w:hAnsi="Arial;Helvetica;sans-serif"/>
          <w:b w:val="false"/>
          <w:i w:val="false"/>
          <w:caps w:val="false"/>
          <w:smallCaps w:val="false"/>
          <w:sz w:val="22"/>
        </w:rPr>
        <w:t>6.10</w:t>
      </w:r>
      <w:r>
        <w:rPr>
          <w:rFonts w:ascii="Arial;Helvetica;sans-serif" w:hAnsi="Arial;Helvetica;sans-serif"/>
          <w:sz w:val="22"/>
          <w:u w:val="single"/>
        </w:rPr>
        <w:t>Severability and Entirety</w:t>
      </w:r>
      <w:r>
        <w:rPr>
          <w:rFonts w:ascii="Arial;Helvetica;sans-serif" w:hAnsi="Arial;Helvetica;sans-serif"/>
          <w:b/>
          <w:sz w:val="22"/>
        </w:rPr>
        <w:t>.</w:t>
      </w:r>
      <w:r>
        <w:rPr>
          <w:rFonts w:ascii="Aptos" w:hAnsi="Aptos"/>
          <w:sz w:val="22"/>
        </w:rPr>
        <w:t xml:space="preserve"> </w:t>
      </w:r>
      <w:r>
        <w:rPr>
          <w:rFonts w:ascii="Arial;Helvetica;sans-serif" w:hAnsi="Arial;Helvetica;sans-serif"/>
          <w:sz w:val="22"/>
        </w:rPr>
        <w:t>The invalidity or unenforceability of any provision of this Agreement shall not affect the validity or enforceability of any other provision of this Agreement, and each provision of this Agreement shall be severable and enforceable to the extent permitted by law. This Agreement constitutes the entire agreement between the parties concerning the subject matter hereof and supersedes all prior and contemporaneous agreements, oral or written, between the Company and Executive relating to Executive’s entitlement to retention incentive compensation in 2026 or similar awards or benefits.</w:t>
      </w:r>
    </w:p>
    <w:p>
      <w:pPr>
        <w:pStyle w:val="TextBody"/>
        <w:bidi w:val="0"/>
        <w:spacing w:lineRule="auto" w:line="285" w:before="0" w:after="200"/>
        <w:ind w:left="0" w:right="0" w:hanging="0"/>
        <w:jc w:val="left"/>
        <w:rPr>
          <w:rFonts w:ascii="Aptos" w:hAnsi="Aptos"/>
          <w:sz w:val="22"/>
        </w:rPr>
      </w:pPr>
      <w:r>
        <w:rPr>
          <w:rFonts w:ascii="Arial;Helvetica;sans-serif" w:hAnsi="Arial;Helvetica;sans-serif"/>
          <w:b w:val="false"/>
          <w:i w:val="false"/>
          <w:caps w:val="false"/>
          <w:smallCaps w:val="false"/>
          <w:sz w:val="22"/>
        </w:rPr>
        <w:t>6.11</w:t>
      </w:r>
      <w:r>
        <w:rPr>
          <w:rFonts w:ascii="Arial;Helvetica;sans-serif" w:hAnsi="Arial;Helvetica;sans-serif"/>
          <w:sz w:val="22"/>
          <w:u w:val="single"/>
        </w:rPr>
        <w:t>IRS Section 409A.</w:t>
      </w:r>
      <w:r>
        <w:rPr>
          <w:rFonts w:ascii="Aptos" w:hAnsi="Aptos"/>
          <w:sz w:val="22"/>
        </w:rPr>
        <w:t xml:space="preserve"> </w:t>
      </w:r>
      <w:r>
        <w:rPr>
          <w:rFonts w:ascii="Arial;Helvetica;sans-serif" w:hAnsi="Arial;Helvetica;sans-serif"/>
          <w:sz w:val="22"/>
        </w:rPr>
        <w:t>This Agreement shall be interpreted and administered in a manner so that any amount or benefit payable hereunder shall be paid or provided in a manner that is either exempt from, or complies with, the requirements of Section 409A of the Internal Revenue Code of 1986, as amended (the “Code”) and the Internal Revenue Service guidance and Treasury Regulations thereunder (collectively, “Section 409A”). Notwithstanding any provision of this Agreement to the contrary, to the extent required by Section 409A, no payment shall be made to the Executive earlier than the earliest date permitted under Section 409A without incurring additional taxes or penalties.</w:t>
      </w:r>
    </w:p>
    <w:p>
      <w:pPr>
        <w:pStyle w:val="TextBody"/>
        <w:bidi w:val="0"/>
        <w:spacing w:lineRule="auto" w:line="285" w:before="0" w:after="0"/>
        <w:ind w:left="0" w:right="0" w:hanging="0"/>
        <w:jc w:val="left"/>
        <w:rPr>
          <w:rFonts w:ascii="Aptos" w:hAnsi="Aptos"/>
          <w:sz w:val="22"/>
        </w:rPr>
      </w:pPr>
      <w:r>
        <w:rPr>
          <w:rFonts w:ascii="Arial;Helvetica;sans-serif" w:hAnsi="Arial;Helvetica;sans-serif"/>
          <w:b w:val="false"/>
          <w:i w:val="false"/>
          <w:caps w:val="false"/>
          <w:smallCaps w:val="false"/>
          <w:sz w:val="22"/>
        </w:rPr>
        <w:t>6.12</w:t>
      </w:r>
      <w:r>
        <w:rPr>
          <w:rFonts w:ascii="Arial;Helvetica;sans-serif" w:hAnsi="Arial;Helvetica;sans-serif"/>
          <w:sz w:val="22"/>
          <w:u w:val="single"/>
        </w:rPr>
        <w:t>Counterparts</w:t>
      </w:r>
      <w:r>
        <w:rPr>
          <w:rFonts w:ascii="Arial;Helvetica;sans-serif" w:hAnsi="Arial;Helvetica;sans-serif"/>
          <w:b/>
          <w:sz w:val="22"/>
        </w:rPr>
        <w:t>.</w:t>
      </w:r>
      <w:r>
        <w:rPr>
          <w:rFonts w:ascii="Aptos" w:hAnsi="Aptos"/>
          <w:sz w:val="22"/>
        </w:rPr>
        <w:t xml:space="preserve"> </w:t>
      </w:r>
      <w:r>
        <w:rPr>
          <w:rFonts w:ascii="Arial;Helvetica;sans-serif" w:hAnsi="Arial;Helvetica;sans-serif"/>
          <w:sz w:val="22"/>
        </w:rPr>
        <w:t>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pStyle w:val="TextBody"/>
        <w:bidi w:val="0"/>
        <w:spacing w:lineRule="auto" w:line="331" w:before="0" w:after="16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2"/>
        </w:rPr>
      </w:pPr>
      <w:r>
        <w:rPr>
          <w:rFonts w:ascii="Arial;Helvetica;sans-serif" w:hAnsi="Arial;Helvetica;sans-serif"/>
          <w:sz w:val="22"/>
        </w:rPr>
        <w:t>The parties have executed this Agreement to be effective as of the date first above written.</w:t>
      </w:r>
    </w:p>
    <w:p>
      <w:pPr>
        <w:pStyle w:val="TextBody"/>
        <w:bidi w:val="0"/>
        <w:spacing w:lineRule="auto" w:line="285" w:before="480" w:after="200"/>
        <w:ind w:left="0" w:right="0" w:hanging="0"/>
        <w:jc w:val="both"/>
        <w:rPr>
          <w:rFonts w:ascii="Arial;Helvetica;sans-serif" w:hAnsi="Arial;Helvetica;sans-serif"/>
          <w:b/>
          <w:sz w:val="22"/>
        </w:rPr>
      </w:pPr>
      <w:r>
        <w:rPr>
          <w:rFonts w:ascii="Arial;Helvetica;sans-serif" w:hAnsi="Arial;Helvetica;sans-serif"/>
          <w:b/>
          <w:sz w:val="22"/>
        </w:rPr>
        <w:t>TTEC Holdings, Inc.</w:t>
      </w:r>
    </w:p>
    <w:p>
      <w:pPr>
        <w:pStyle w:val="TextBody"/>
        <w:bidi w:val="0"/>
        <w:spacing w:lineRule="auto" w:line="285" w:before="480" w:after="80"/>
        <w:ind w:left="0" w:right="0" w:hanging="0"/>
        <w:jc w:val="left"/>
        <w:rPr>
          <w:rFonts w:ascii="Aptos" w:hAnsi="Aptos"/>
          <w:sz w:val="22"/>
        </w:rPr>
      </w:pPr>
      <w:r>
        <w:rPr>
          <w:rFonts w:ascii="Arial;Helvetica;sans-serif" w:hAnsi="Arial;Helvetica;sans-serif"/>
          <w:sz w:val="22"/>
          <w:u w:val="single"/>
        </w:rPr>
        <w:t>__[Digital Signature]_________________</w:t>
      </w:r>
      <w:r>
        <w:rPr>
          <w:rFonts w:ascii="Arial;Helvetica;sans-serif" w:hAnsi="Arial;Helvetica;sans-serif"/>
          <w:sz w:val="22"/>
        </w:rPr>
        <w:t xml:space="preserve">Date: </w:t>
      </w:r>
      <w:r>
        <w:rPr>
          <w:rFonts w:ascii="Arial;Helvetica;sans-serif" w:hAnsi="Arial;Helvetica;sans-serif"/>
          <w:sz w:val="22"/>
          <w:u w:val="single"/>
        </w:rPr>
        <w:t>August 5, 2026</w:t>
      </w:r>
      <w:r>
        <w:rPr>
          <w:rFonts w:ascii="Arial;Helvetica;sans-serif" w:hAnsi="Arial;Helvetica;sans-serif"/>
          <w:sz w:val="22"/>
        </w:rPr>
        <w:t>___________</w:t>
      </w:r>
    </w:p>
    <w:p>
      <w:pPr>
        <w:pStyle w:val="TextBody"/>
        <w:bidi w:val="0"/>
        <w:spacing w:lineRule="auto" w:line="285" w:before="0" w:after="0"/>
        <w:ind w:left="0" w:right="0" w:hanging="0"/>
        <w:jc w:val="left"/>
        <w:rPr>
          <w:rFonts w:ascii="Arial;Helvetica;sans-serif" w:hAnsi="Arial;Helvetica;sans-serif"/>
          <w:sz w:val="22"/>
        </w:rPr>
      </w:pPr>
      <w:r>
        <w:rPr>
          <w:rFonts w:ascii="Arial;Helvetica;sans-serif" w:hAnsi="Arial;Helvetica;sans-serif"/>
          <w:sz w:val="22"/>
        </w:rPr>
        <w:t>Laura L. Butler</w:t>
      </w:r>
    </w:p>
    <w:p>
      <w:pPr>
        <w:pStyle w:val="TextBody"/>
        <w:bidi w:val="0"/>
        <w:spacing w:lineRule="auto" w:line="285" w:before="0" w:after="0"/>
        <w:ind w:left="0" w:right="0" w:hanging="0"/>
        <w:jc w:val="left"/>
        <w:rPr>
          <w:rFonts w:ascii="Arial;Helvetica;sans-serif" w:hAnsi="Arial;Helvetica;sans-serif"/>
          <w:sz w:val="22"/>
        </w:rPr>
      </w:pPr>
      <w:r>
        <w:rPr>
          <w:rFonts w:ascii="Arial;Helvetica;sans-serif" w:hAnsi="Arial;Helvetica;sans-serif"/>
          <w:sz w:val="22"/>
        </w:rPr>
        <w:t>Chief People &amp; Culture Officer</w:t>
      </w:r>
    </w:p>
    <w:p>
      <w:pPr>
        <w:pStyle w:val="TextBody"/>
        <w:bidi w:val="0"/>
        <w:spacing w:lineRule="auto" w:line="285" w:before="480" w:after="80"/>
        <w:ind w:left="0" w:right="0" w:hanging="0"/>
        <w:jc w:val="left"/>
        <w:rPr>
          <w:rFonts w:ascii="Aptos" w:hAnsi="Aptos"/>
          <w:sz w:val="22"/>
        </w:rPr>
      </w:pPr>
      <w:r>
        <w:rPr>
          <w:rFonts w:ascii="Arial;Helvetica;sans-serif" w:hAnsi="Arial;Helvetica;sans-serif"/>
          <w:sz w:val="22"/>
          <w:u w:val="single"/>
        </w:rPr>
        <w:t>__[Digital Signature]_________________</w:t>
      </w:r>
      <w:r>
        <w:rPr>
          <w:rFonts w:ascii="Arial;Helvetica;sans-serif" w:hAnsi="Arial;Helvetica;sans-serif"/>
          <w:sz w:val="22"/>
        </w:rPr>
        <w:t xml:space="preserve">Date: </w:t>
      </w:r>
      <w:r>
        <w:rPr>
          <w:rFonts w:ascii="Arial;Helvetica;sans-serif" w:hAnsi="Arial;Helvetica;sans-serif"/>
          <w:sz w:val="22"/>
          <w:u w:val="single"/>
        </w:rPr>
        <w:t>August 7, 2026</w:t>
      </w:r>
      <w:r>
        <w:rPr>
          <w:rFonts w:ascii="Arial;Helvetica;sans-serif" w:hAnsi="Arial;Helvetica;sans-serif"/>
          <w:sz w:val="22"/>
        </w:rPr>
        <w:t>___________</w:t>
      </w:r>
    </w:p>
    <w:p>
      <w:pPr>
        <w:pStyle w:val="TextBody"/>
        <w:bidi w:val="0"/>
        <w:spacing w:lineRule="auto" w:line="285" w:before="0" w:after="0"/>
        <w:ind w:left="0" w:right="0" w:hanging="0"/>
        <w:jc w:val="left"/>
        <w:rPr>
          <w:rFonts w:ascii="Arial;Helvetica;sans-serif" w:hAnsi="Arial;Helvetica;sans-serif"/>
          <w:sz w:val="22"/>
        </w:rPr>
      </w:pPr>
      <w:r>
        <w:rPr>
          <w:rFonts w:ascii="Arial;Helvetica;sans-serif" w:hAnsi="Arial;Helvetica;sans-serif"/>
          <w:sz w:val="22"/>
        </w:rPr>
        <w:t>John P. Abou</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Aptos" w:hAnsi="Aptos"/>
          <w:sz w:val="22"/>
        </w:rPr>
      </w:pPr>
      <w:r>
        <w:rPr>
          <w:rFonts w:ascii="Times New Roman;Times;serif" w:hAnsi="Times New Roman;Times;serif"/>
          <w:b/>
          <w:sz w:val="24"/>
        </w:rPr>
        <w:t xml:space="preserve">EXHIBIT A – </w:t>
      </w:r>
      <w:r>
        <w:rPr>
          <w:rFonts w:ascii="Times New Roman;Times;serif" w:hAnsi="Times New Roman;Times;serif"/>
          <w:b/>
          <w:caps/>
          <w:sz w:val="22"/>
        </w:rPr>
        <w:t>Definitions</w:t>
      </w:r>
    </w:p>
    <w:p>
      <w:pPr>
        <w:pStyle w:val="TextBody"/>
        <w:bidi w:val="0"/>
        <w:spacing w:lineRule="auto" w:line="331" w:before="0" w:after="16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sz w:val="22"/>
        </w:rPr>
      </w:pPr>
      <w:r>
        <w:rPr>
          <w:rFonts w:ascii="Arial;Helvetica;sans-serif" w:hAnsi="Arial;Helvetica;sans-serif"/>
          <w:sz w:val="22"/>
        </w:rPr>
        <w:t>For purposes of this Agreement, certain terms are defined as follows:</w:t>
      </w:r>
    </w:p>
    <w:p>
      <w:pPr>
        <w:pStyle w:val="TextBody"/>
        <w:bidi w:val="0"/>
        <w:spacing w:lineRule="auto" w:line="285" w:before="0" w:after="200"/>
        <w:ind w:left="0" w:right="0" w:hanging="0"/>
        <w:jc w:val="both"/>
        <w:rPr>
          <w:rFonts w:ascii="Aptos" w:hAnsi="Aptos"/>
          <w:sz w:val="22"/>
        </w:rPr>
      </w:pPr>
      <w:r>
        <w:rPr>
          <w:rFonts w:ascii="Arial;Helvetica;sans-serif" w:hAnsi="Arial;Helvetica;sans-serif"/>
          <w:b/>
          <w:sz w:val="22"/>
        </w:rPr>
        <w:t>"Award Protection"</w:t>
      </w:r>
      <w:r>
        <w:rPr>
          <w:rFonts w:ascii="Aptos" w:hAnsi="Aptos"/>
          <w:sz w:val="22"/>
        </w:rPr>
        <w:t xml:space="preserve"> </w:t>
      </w:r>
      <w:r>
        <w:rPr>
          <w:rFonts w:ascii="Arial;Helvetica;sans-serif" w:hAnsi="Arial;Helvetica;sans-serif"/>
          <w:sz w:val="22"/>
        </w:rPr>
        <w:t>refers to the provisions of Paragraph 4 of this Agreement governing the treatment of the 2026 Retention Award upon certain qualifying terminations of employment and in connection with a Change in Control.</w:t>
      </w:r>
    </w:p>
    <w:p>
      <w:pPr>
        <w:pStyle w:val="TextBody"/>
        <w:bidi w:val="0"/>
        <w:spacing w:lineRule="auto" w:line="285" w:before="0" w:after="200"/>
        <w:ind w:left="0" w:right="0" w:hanging="0"/>
        <w:jc w:val="both"/>
        <w:rPr/>
      </w:pPr>
      <w:r>
        <w:rPr/>
        <w:t>“</w:t>
      </w:r>
      <w:r>
        <w:rPr>
          <w:rFonts w:ascii="Arial;Helvetica;sans-serif" w:hAnsi="Arial;Helvetica;sans-serif"/>
          <w:b/>
          <w:sz w:val="22"/>
        </w:rPr>
        <w:t>Cause”</w:t>
      </w:r>
      <w:r>
        <w:rPr>
          <w:rFonts w:ascii="Aptos" w:hAnsi="Aptos"/>
          <w:sz w:val="22"/>
        </w:rPr>
        <w:t xml:space="preserve"> </w:t>
      </w:r>
      <w:r>
        <w:rPr>
          <w:rFonts w:ascii="Arial;Helvetica;sans-serif" w:hAnsi="Arial;Helvetica;sans-serif"/>
          <w:sz w:val="22"/>
        </w:rPr>
        <w:t xml:space="preserve">for purposes of this Agreement shall have the following definition </w:t>
      </w:r>
    </w:p>
    <w:tbl>
      <w:tblPr>
        <w:tblW w:w="10205" w:type="dxa"/>
        <w:jc w:val="left"/>
        <w:tblInd w:w="0" w:type="dxa"/>
        <w:tblLayout w:type="fixed"/>
        <w:tblCellMar>
          <w:top w:w="0" w:type="dxa"/>
          <w:left w:w="0" w:type="dxa"/>
          <w:bottom w:w="0" w:type="dxa"/>
          <w:right w:w="0" w:type="dxa"/>
        </w:tblCellMar>
      </w:tblPr>
      <w:tblGrid>
        <w:gridCol w:w="23"/>
        <w:gridCol w:w="199"/>
        <w:gridCol w:w="9983"/>
      </w:tblGrid>
      <w:tr>
        <w:trPr/>
        <w:tc>
          <w:tcPr>
            <w:tcW w:w="2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1.</w:t>
            </w:r>
          </w:p>
        </w:tc>
        <w:tc>
          <w:tcPr>
            <w:tcW w:w="9983"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Fraud, theft, embezzlement (or attempted fraud, theft, embezzlement), dishonest acts or illegal conduct;</w:t>
            </w:r>
          </w:p>
        </w:tc>
      </w:tr>
    </w:tbl>
    <w:tbl>
      <w:tblPr>
        <w:tblW w:w="10205" w:type="dxa"/>
        <w:jc w:val="left"/>
        <w:tblInd w:w="0" w:type="dxa"/>
        <w:tblLayout w:type="fixed"/>
        <w:tblCellMar>
          <w:top w:w="0" w:type="dxa"/>
          <w:left w:w="0" w:type="dxa"/>
          <w:bottom w:w="0" w:type="dxa"/>
          <w:right w:w="0" w:type="dxa"/>
        </w:tblCellMar>
      </w:tblPr>
      <w:tblGrid>
        <w:gridCol w:w="23"/>
        <w:gridCol w:w="161"/>
        <w:gridCol w:w="10021"/>
      </w:tblGrid>
      <w:tr>
        <w:trPr/>
        <w:tc>
          <w:tcPr>
            <w:tcW w:w="2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2.</w:t>
            </w:r>
          </w:p>
        </w:tc>
        <w:tc>
          <w:tcPr>
            <w:tcW w:w="10021"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Other similar acts of willful misconduct on the part of Executive resulting in damage to the Company, including without limitation a material breach by the Executive of the requirements of the Ethics Code that results in negative publicity for the Company or TTEC Engage;</w:t>
            </w:r>
          </w:p>
        </w:tc>
      </w:tr>
    </w:tbl>
    <w:tbl>
      <w:tblPr>
        <w:tblW w:w="5478" w:type="dxa"/>
        <w:jc w:val="left"/>
        <w:tblInd w:w="0" w:type="dxa"/>
        <w:tblLayout w:type="fixed"/>
        <w:tblCellMar>
          <w:top w:w="0" w:type="dxa"/>
          <w:left w:w="0" w:type="dxa"/>
          <w:bottom w:w="0" w:type="dxa"/>
          <w:right w:w="0" w:type="dxa"/>
        </w:tblCellMar>
      </w:tblPr>
      <w:tblGrid>
        <w:gridCol w:w="23"/>
        <w:gridCol w:w="200"/>
        <w:gridCol w:w="525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3.</w:t>
            </w:r>
          </w:p>
        </w:tc>
        <w:tc>
          <w:tcPr>
            <w:tcW w:w="52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A material breach by the Executive of this Agreement;</w:t>
            </w:r>
          </w:p>
        </w:tc>
      </w:tr>
    </w:tbl>
    <w:tbl>
      <w:tblPr>
        <w:tblW w:w="10205" w:type="dxa"/>
        <w:jc w:val="left"/>
        <w:tblInd w:w="0" w:type="dxa"/>
        <w:tblLayout w:type="fixed"/>
        <w:tblCellMar>
          <w:top w:w="0" w:type="dxa"/>
          <w:left w:w="0" w:type="dxa"/>
          <w:bottom w:w="0" w:type="dxa"/>
          <w:right w:w="0" w:type="dxa"/>
        </w:tblCellMar>
      </w:tblPr>
      <w:tblGrid>
        <w:gridCol w:w="23"/>
        <w:gridCol w:w="152"/>
        <w:gridCol w:w="10030"/>
      </w:tblGrid>
      <w:tr>
        <w:trPr/>
        <w:tc>
          <w:tcPr>
            <w:tcW w:w="2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4.</w:t>
            </w:r>
          </w:p>
        </w:tc>
        <w:tc>
          <w:tcPr>
            <w:tcW w:w="10030"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2"/>
              </w:rPr>
              <w:t xml:space="preserve">Use of any controlled substance or alcohol while performing Executive’s duties, </w:t>
            </w:r>
            <w:r>
              <w:rPr>
                <w:rFonts w:ascii="Arial;Helvetica;sans-serif" w:hAnsi="Arial;Helvetica;sans-serif"/>
                <w:b w:val="false"/>
                <w:i w:val="false"/>
                <w:caps w:val="false"/>
                <w:smallCaps w:val="false"/>
                <w:sz w:val="22"/>
                <w:u w:val="single"/>
              </w:rPr>
              <w:t>except</w:t>
            </w:r>
            <w:r>
              <w:rPr>
                <w:caps w:val="false"/>
                <w:smallCaps w:val="false"/>
              </w:rPr>
              <w:t xml:space="preserve"> </w:t>
            </w:r>
            <w:r>
              <w:rPr>
                <w:rFonts w:ascii="Arial;Helvetica;sans-serif" w:hAnsi="Arial;Helvetica;sans-serif"/>
                <w:b w:val="false"/>
                <w:i w:val="false"/>
                <w:caps w:val="false"/>
                <w:smallCaps w:val="false"/>
                <w:sz w:val="22"/>
              </w:rPr>
              <w:t>as part of a TTEC-sponsored event in connection with a business-related social engagement such as a trade conference or customer entertainment, but only in moderation and in a professional manner that reflects positively on TTEC; with visible inebriation at a business-related social engagement constituting a cause for immediate termination;</w:t>
            </w:r>
          </w:p>
        </w:tc>
      </w:tr>
    </w:tbl>
    <w:tbl>
      <w:tblPr>
        <w:tblW w:w="10205" w:type="dxa"/>
        <w:jc w:val="left"/>
        <w:tblInd w:w="0" w:type="dxa"/>
        <w:tblLayout w:type="fixed"/>
        <w:tblCellMar>
          <w:top w:w="0" w:type="dxa"/>
          <w:left w:w="0" w:type="dxa"/>
          <w:bottom w:w="0" w:type="dxa"/>
          <w:right w:w="0" w:type="dxa"/>
        </w:tblCellMar>
      </w:tblPr>
      <w:tblGrid>
        <w:gridCol w:w="23"/>
        <w:gridCol w:w="163"/>
        <w:gridCol w:w="10019"/>
      </w:tblGrid>
      <w:tr>
        <w:trPr/>
        <w:tc>
          <w:tcPr>
            <w:tcW w:w="2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5.</w:t>
            </w:r>
          </w:p>
        </w:tc>
        <w:tc>
          <w:tcPr>
            <w:tcW w:w="10019"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A breach of fiduciary duty that results in an adverse impact to TTEC or in personal profit to the Executive (as determined by the Company based on its conflict-of-interest policies outlined in the Ethics Code) or aiding a TTEC competitor; or</w:t>
            </w:r>
          </w:p>
        </w:tc>
      </w:tr>
    </w:tbl>
    <w:tbl>
      <w:tblPr>
        <w:tblW w:w="10205" w:type="dxa"/>
        <w:jc w:val="left"/>
        <w:tblInd w:w="0" w:type="dxa"/>
        <w:tblLayout w:type="fixed"/>
        <w:tblCellMar>
          <w:top w:w="0" w:type="dxa"/>
          <w:left w:w="0" w:type="dxa"/>
          <w:bottom w:w="0" w:type="dxa"/>
          <w:right w:w="0" w:type="dxa"/>
        </w:tblCellMar>
      </w:tblPr>
      <w:tblGrid>
        <w:gridCol w:w="23"/>
        <w:gridCol w:w="193"/>
        <w:gridCol w:w="9989"/>
      </w:tblGrid>
      <w:tr>
        <w:trPr/>
        <w:tc>
          <w:tcPr>
            <w:tcW w:w="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6.</w:t>
            </w:r>
          </w:p>
        </w:tc>
        <w:tc>
          <w:tcPr>
            <w:tcW w:w="9989"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Use of trade secrets or confidential information of TTEC, other than in pursuit of TTEC or TTEC Engage business;</w:t>
            </w:r>
          </w:p>
        </w:tc>
      </w:tr>
    </w:tbl>
    <w:p>
      <w:pPr>
        <w:pStyle w:val="TextBody"/>
        <w:bidi w:val="0"/>
        <w:spacing w:lineRule="auto" w:line="285" w:before="0" w:after="200"/>
        <w:ind w:left="0" w:right="0" w:hanging="0"/>
        <w:jc w:val="both"/>
        <w:rPr>
          <w:rFonts w:ascii="Arial;Helvetica;sans-serif" w:hAnsi="Arial;Helvetica;sans-serif"/>
          <w:sz w:val="22"/>
        </w:rPr>
      </w:pPr>
      <w:r>
        <w:rPr>
          <w:rFonts w:ascii="Arial;Helvetica;sans-serif" w:hAnsi="Arial;Helvetica;sans-serif"/>
          <w:sz w:val="22"/>
        </w:rPr>
        <w:t>The determination of whether a “Cause” occurred for purposes of this Agreement, is not a matter of Company’s discretion but is to be adjudicated by the Compensation Committee of the Board after due consideration of all relevant facts, as presented by the Company and the Executive.  </w:t>
      </w:r>
    </w:p>
    <w:p>
      <w:pPr>
        <w:pStyle w:val="TextBody"/>
        <w:bidi w:val="0"/>
        <w:spacing w:lineRule="auto" w:line="285" w:before="0" w:after="200"/>
        <w:ind w:left="0" w:right="0" w:hanging="0"/>
        <w:jc w:val="both"/>
        <w:rPr>
          <w:rFonts w:ascii="Aptos" w:hAnsi="Aptos"/>
          <w:sz w:val="22"/>
        </w:rPr>
      </w:pPr>
      <w:r>
        <w:rPr>
          <w:rFonts w:ascii="Arial;Helvetica;sans-serif" w:hAnsi="Arial;Helvetica;sans-serif"/>
          <w:b/>
          <w:sz w:val="22"/>
        </w:rPr>
        <w:t>"Change in Control"</w:t>
      </w:r>
      <w:r>
        <w:rPr>
          <w:rFonts w:ascii="Aptos" w:hAnsi="Aptos"/>
          <w:sz w:val="22"/>
        </w:rPr>
        <w:t xml:space="preserve"> </w:t>
      </w:r>
      <w:r>
        <w:rPr>
          <w:rFonts w:ascii="Arial;Helvetica;sans-serif" w:hAnsi="Arial;Helvetica;sans-serif"/>
          <w:sz w:val="22"/>
        </w:rPr>
        <w:t>shall have the meaning ascribed to that term in the Executive’s Employment Agreement with the Company. For purposes of this Agreement, references to Change in Control shall be deemed to include both "Change in Control" and "Change of Control" as those terms may be defined in the Executive’s Employment Agreement.</w:t>
      </w:r>
    </w:p>
    <w:p>
      <w:pPr>
        <w:pStyle w:val="TextBody"/>
        <w:bidi w:val="0"/>
        <w:spacing w:lineRule="auto" w:line="285" w:before="0" w:after="200"/>
        <w:ind w:left="0" w:right="0" w:hanging="0"/>
        <w:jc w:val="both"/>
        <w:rPr>
          <w:rFonts w:ascii="Aptos" w:hAnsi="Aptos"/>
          <w:sz w:val="22"/>
        </w:rPr>
      </w:pPr>
      <w:r>
        <w:rPr>
          <w:rFonts w:ascii="Arial;Helvetica;sans-serif" w:hAnsi="Arial;Helvetica;sans-serif"/>
          <w:b/>
          <w:sz w:val="22"/>
        </w:rPr>
        <w:t>"Change in Control Period"</w:t>
      </w:r>
      <w:r>
        <w:rPr>
          <w:rFonts w:ascii="Aptos" w:hAnsi="Aptos"/>
          <w:sz w:val="22"/>
        </w:rPr>
        <w:t xml:space="preserve"> </w:t>
      </w:r>
      <w:r>
        <w:rPr>
          <w:rFonts w:ascii="Arial;Helvetica;sans-serif" w:hAnsi="Arial;Helvetica;sans-serif"/>
          <w:sz w:val="22"/>
        </w:rPr>
        <w:t>shall have the meaning ascribed to that term in the Executive’s Employment Agreement with the Company.</w:t>
      </w:r>
    </w:p>
    <w:p>
      <w:pPr>
        <w:pStyle w:val="TextBody"/>
        <w:bidi w:val="0"/>
        <w:spacing w:lineRule="auto" w:line="285" w:before="0" w:after="200"/>
        <w:ind w:left="0" w:right="0" w:hanging="0"/>
        <w:jc w:val="both"/>
        <w:rPr>
          <w:rFonts w:ascii="Aptos" w:hAnsi="Aptos"/>
          <w:sz w:val="22"/>
        </w:rPr>
      </w:pPr>
      <w:r>
        <w:rPr>
          <w:rFonts w:ascii="Arial;Helvetica;sans-serif" w:hAnsi="Arial;Helvetica;sans-serif"/>
          <w:b/>
          <w:sz w:val="22"/>
        </w:rPr>
        <w:t>"Committee"</w:t>
      </w:r>
      <w:r>
        <w:rPr>
          <w:rFonts w:ascii="Aptos" w:hAnsi="Aptos"/>
          <w:sz w:val="22"/>
        </w:rPr>
        <w:t xml:space="preserve"> </w:t>
      </w:r>
      <w:r>
        <w:rPr>
          <w:rFonts w:ascii="Arial;Helvetica;sans-serif" w:hAnsi="Arial;Helvetica;sans-serif"/>
          <w:sz w:val="22"/>
        </w:rPr>
        <w:t>shall refer to the Compensation Committee of the TTEC Board of Directors or another Board governing body tasked with the oversight of senior executive compensation.</w:t>
      </w:r>
    </w:p>
    <w:p>
      <w:pPr>
        <w:pStyle w:val="TextBody"/>
        <w:bidi w:val="0"/>
        <w:spacing w:lineRule="auto" w:line="285" w:before="0" w:after="200"/>
        <w:ind w:left="0" w:right="0" w:hanging="0"/>
        <w:jc w:val="both"/>
        <w:rPr>
          <w:rFonts w:ascii="Aptos" w:hAnsi="Aptos"/>
          <w:sz w:val="22"/>
        </w:rPr>
      </w:pPr>
      <w:r>
        <w:rPr>
          <w:rFonts w:ascii="Arial;Helvetica;sans-serif" w:hAnsi="Arial;Helvetica;sans-serif"/>
          <w:b/>
          <w:sz w:val="22"/>
        </w:rPr>
        <w:t>"Constructive Termination"</w:t>
      </w:r>
      <w:r>
        <w:rPr>
          <w:rFonts w:ascii="Aptos" w:hAnsi="Aptos"/>
          <w:sz w:val="22"/>
        </w:rPr>
        <w:t xml:space="preserve"> </w:t>
      </w:r>
      <w:r>
        <w:rPr>
          <w:rFonts w:ascii="Arial;Helvetica;sans-serif" w:hAnsi="Arial;Helvetica;sans-serif"/>
          <w:sz w:val="22"/>
        </w:rPr>
        <w:t>shall have the meaning ascribed to that term in the Executive’s Employment Agreement with the Company.</w:t>
      </w:r>
    </w:p>
    <w:p>
      <w:pPr>
        <w:pStyle w:val="HorizontalLine"/>
        <w:pBdr>
          <w:bottom w:val="double" w:sz="2" w:space="0" w:color="808080"/>
        </w:pBdr>
        <w:bidi w:val="0"/>
        <w:spacing w:before="0" w:after="283"/>
        <w:jc w:val="left"/>
        <w:rPr/>
      </w:pPr>
      <w:r>
        <w:rPr/>
      </w:r>
    </w:p>
    <w:p>
      <w:pPr>
        <w:pStyle w:val="TextBody"/>
        <w:bidi w:val="0"/>
        <w:spacing w:lineRule="auto" w:line="285" w:before="0" w:after="200"/>
        <w:ind w:left="0" w:right="0" w:hanging="0"/>
        <w:jc w:val="both"/>
        <w:rPr>
          <w:rFonts w:ascii="Aptos" w:hAnsi="Aptos"/>
          <w:sz w:val="22"/>
        </w:rPr>
      </w:pPr>
      <w:r>
        <w:rPr>
          <w:rFonts w:ascii="Arial;Helvetica;sans-serif" w:hAnsi="Arial;Helvetica;sans-serif"/>
          <w:b/>
          <w:sz w:val="22"/>
        </w:rPr>
        <w:t>"Material Transaction"</w:t>
      </w:r>
      <w:r>
        <w:rPr>
          <w:rFonts w:ascii="Aptos" w:hAnsi="Aptos"/>
          <w:sz w:val="22"/>
        </w:rPr>
        <w:t xml:space="preserve"> </w:t>
      </w:r>
      <w:r>
        <w:rPr>
          <w:rFonts w:ascii="Arial;Helvetica;sans-serif" w:hAnsi="Arial;Helvetica;sans-serif"/>
          <w:sz w:val="22"/>
        </w:rPr>
        <w:t>refers to a capital markets transaction, restructuring, business combination, recapitalization, stock split, extraordinary special stock dividend, consolidation, rights offering, business segment spin-off, a take-private transaction, or similar transaction that materially changes the characteristics of TTEC’s structure and ownership.</w:t>
      </w:r>
    </w:p>
    <w:p>
      <w:pPr>
        <w:pStyle w:val="TextBody"/>
        <w:bidi w:val="0"/>
        <w:spacing w:lineRule="auto" w:line="285" w:before="0" w:after="200"/>
        <w:ind w:left="0" w:right="0" w:hanging="0"/>
        <w:jc w:val="both"/>
        <w:rPr>
          <w:rFonts w:ascii="Aptos" w:hAnsi="Aptos"/>
          <w:sz w:val="22"/>
        </w:rPr>
      </w:pPr>
      <w:r>
        <w:rPr>
          <w:rFonts w:ascii="Arial;Helvetica;sans-serif" w:hAnsi="Arial;Helvetica;sans-serif"/>
          <w:b/>
          <w:sz w:val="22"/>
        </w:rPr>
        <w:t>"Restrictive Covenants"</w:t>
      </w:r>
      <w:r>
        <w:rPr>
          <w:rFonts w:ascii="Aptos" w:hAnsi="Aptos"/>
          <w:sz w:val="22"/>
        </w:rPr>
        <w:t xml:space="preserve"> </w:t>
      </w:r>
      <w:r>
        <w:rPr>
          <w:rFonts w:ascii="Arial;Helvetica;sans-serif" w:hAnsi="Arial;Helvetica;sans-serif"/>
          <w:sz w:val="22"/>
        </w:rPr>
        <w:t>collectively refers to the Non-Compete Undertaking, the Employees Non-Solicitation Undertaking, the Client Non-Solicitation Undertaking, and all related confidentiality and non-disclosure obligations set forth in the Executive’s Employment Agreement.</w:t>
      </w:r>
    </w:p>
    <w:p>
      <w:pPr>
        <w:pStyle w:val="TextBody"/>
        <w:bidi w:val="0"/>
        <w:spacing w:lineRule="auto" w:line="285" w:before="0" w:after="200"/>
        <w:ind w:left="0" w:right="0" w:hanging="0"/>
        <w:jc w:val="both"/>
        <w:rPr/>
      </w:pPr>
      <w:r>
        <w:rPr/>
        <w:t>“</w:t>
      </w:r>
      <w:r>
        <w:rPr>
          <w:rFonts w:ascii="Arial;Helvetica;sans-serif" w:hAnsi="Arial;Helvetica;sans-serif"/>
          <w:b/>
          <w:sz w:val="22"/>
        </w:rPr>
        <w:t>Retention Period”</w:t>
      </w:r>
      <w:r>
        <w:rPr>
          <w:rFonts w:ascii="Aptos" w:hAnsi="Aptos"/>
          <w:sz w:val="22"/>
        </w:rPr>
        <w:t xml:space="preserve"> </w:t>
      </w:r>
      <w:r>
        <w:rPr>
          <w:rFonts w:ascii="Arial;Helvetica;sans-serif" w:hAnsi="Arial;Helvetica;sans-serif"/>
          <w:sz w:val="22"/>
        </w:rPr>
        <w:t>means the period commencing on July 24, 2026, and ending on July 24, 2027.</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bookmarkStart w:id="1786" w:name="ttec-20260630xex10d99.htm"/>
      <w:bookmarkStart w:id="1787" w:name="ksttec20260630xex10d99"/>
      <w:bookmarkEnd w:id="1786"/>
      <w:bookmarkEnd w:id="1787"/>
      <w:r>
        <w:rPr/>
        <w:t>​</w:t>
      </w:r>
      <w:r>
        <w:br w:type="page"/>
      </w:r>
    </w:p>
    <w:p>
      <w:pPr>
        <w:pStyle w:val="TextBody"/>
        <w:bidi w:val="0"/>
        <w:spacing w:lineRule="auto" w:line="331" w:before="0" w:after="120"/>
        <w:ind w:left="0" w:right="0" w:hanging="0"/>
        <w:jc w:val="right"/>
        <w:rPr>
          <w:rFonts w:ascii="Aptos" w:hAnsi="Aptos"/>
          <w:b/>
          <w:sz w:val="24"/>
        </w:rPr>
      </w:pPr>
      <w:r>
        <w:rPr>
          <w:rFonts w:ascii="Aptos" w:hAnsi="Aptos"/>
          <w:b/>
          <w:sz w:val="24"/>
        </w:rPr>
        <w:t>EXHIBIT 10.99</w:t>
      </w:r>
    </w:p>
    <w:p>
      <w:pPr>
        <w:pStyle w:val="TextBody"/>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Published Revolver CUSIP Number: 87952JAF0</w:t>
      </w:r>
    </w:p>
    <w:p>
      <w:pPr>
        <w:pStyle w:val="TextBody"/>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Published Transaction CUSIP Number: 87952JAE3</w:t>
      </w: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pBdr>
                <w:bottom w:val="single" w:sz="24" w:space="1" w:color="000000"/>
              </w:pBdr>
              <w:bidi w:val="0"/>
              <w:spacing w:lineRule="auto" w:line="331" w:before="0" w:after="160"/>
              <w:ind w:left="0" w:right="0" w:hanging="0"/>
              <w:jc w:val="both"/>
              <w:rPr>
                <w:bdr w:val="single" w:sz="8" w:space="1" w:color="000000"/>
              </w:rPr>
            </w:pPr>
            <w:r>
              <w:rPr>
                <w:bdr w:val="single" w:sz="8" w:space="1" w:color="000000"/>
              </w:rPr>
              <w:t>​</w:t>
            </w:r>
          </w:p>
        </w:tc>
      </w:tr>
      <w:tr>
        <w:trPr/>
        <w:tc>
          <w:tcPr>
            <w:tcW w:w="169" w:type="dxa"/>
            <w:tcBorders/>
            <w:vAlign w:val="center"/>
          </w:tcPr>
          <w:p>
            <w:pPr>
              <w:pStyle w:val="TableContents"/>
              <w:bidi w:val="0"/>
              <w:spacing w:lineRule="auto" w:line="331" w:before="0" w:after="160"/>
              <w:ind w:left="0" w:right="0" w:hanging="0"/>
              <w:jc w:val="both"/>
              <w:rPr/>
            </w:pPr>
            <w:r>
              <w:rPr/>
              <w:t>​</w:t>
            </w:r>
          </w:p>
        </w:tc>
      </w:tr>
    </w:tbl>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AMENDED AND RESTATED CREDIT AGREEMENT</w:t>
        <w:br/>
        <w:t xml:space="preserve">(as amended by the First Amendment dated as of February 11, 2016, </w:t>
        <w:br/>
        <w:t>the Second Amendment dated as of February 27, 2017,</w:t>
        <w:br/>
        <w:t>the Third Amendment and Incremental Increase Agreement dated as of October 30, 2017,</w:t>
      </w:r>
    </w:p>
    <w:p>
      <w:pPr>
        <w:pStyle w:val="TextBody"/>
        <w:bidi w:val="0"/>
        <w:spacing w:lineRule="auto" w:line="285" w:before="0" w:after="60"/>
        <w:ind w:left="0" w:right="0" w:hanging="0"/>
        <w:jc w:val="center"/>
        <w:rPr>
          <w:rFonts w:ascii="Times New Roman;Times;serif" w:hAnsi="Times New Roman;Times;serif"/>
          <w:sz w:val="22"/>
        </w:rPr>
      </w:pPr>
      <w:r>
        <w:rPr>
          <w:rFonts w:ascii="Times New Roman;Times;serif" w:hAnsi="Times New Roman;Times;serif"/>
          <w:sz w:val="22"/>
        </w:rPr>
        <w:t xml:space="preserve">the Fourth Amendment dated as of February 14, 2019, </w:t>
        <w:br/>
        <w:t>the Fifth Amendment dated as of March 25, 2021, the Sixth Amendment dated as of November 23, 2021, the Seventh Amendment dated as of April 3, 2023, the Eighth Amendment dated as of February 26, 2024, the Ninth Amendment dated as of August 8, 2024, the Tenth Amendment dated as of November 5, 2025 and the Eleventh Amendment dated as of August 7, 2026)</w:t>
      </w:r>
    </w:p>
    <w:p>
      <w:pPr>
        <w:pStyle w:val="TextBody"/>
        <w:bidi w:val="0"/>
        <w:spacing w:lineRule="auto" w:line="285" w:before="0" w:after="60"/>
        <w:ind w:left="0" w:right="0" w:hanging="0"/>
        <w:jc w:val="center"/>
        <w:rPr>
          <w:rFonts w:ascii="Times New Roman;Times;serif" w:hAnsi="Times New Roman;Times;serif"/>
          <w:sz w:val="22"/>
        </w:rPr>
      </w:pPr>
      <w:r>
        <w:rPr>
          <w:rFonts w:ascii="Times New Roman;Times;serif" w:hAnsi="Times New Roman;Times;serif"/>
          <w:sz w:val="22"/>
        </w:rPr>
        <w:t>among</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TTEC HOLDINGS, INC. (formerly known as TeleTech Holdings, Inc.),</w:t>
      </w:r>
    </w:p>
    <w:p>
      <w:pPr>
        <w:pStyle w:val="TextBody"/>
        <w:bidi w:val="0"/>
        <w:spacing w:lineRule="auto" w:line="285" w:before="0" w:after="120"/>
        <w:ind w:left="0" w:right="0" w:hanging="0"/>
        <w:jc w:val="center"/>
        <w:rPr>
          <w:rFonts w:ascii="Times New Roman;Times;serif" w:hAnsi="Times New Roman;Times;serif"/>
          <w:sz w:val="22"/>
        </w:rPr>
      </w:pPr>
      <w:r>
        <w:rPr>
          <w:rFonts w:ascii="Times New Roman;Times;serif" w:hAnsi="Times New Roman;Times;serif"/>
          <w:sz w:val="22"/>
        </w:rPr>
        <w:t>as US Borrower</w:t>
      </w:r>
    </w:p>
    <w:p>
      <w:pPr>
        <w:pStyle w:val="TextBody"/>
        <w:bidi w:val="0"/>
        <w:spacing w:lineRule="auto" w:line="285" w:before="0" w:after="60"/>
        <w:ind w:left="0" w:right="0" w:hanging="0"/>
        <w:jc w:val="center"/>
        <w:rPr>
          <w:rFonts w:ascii="Times New Roman;Times;serif" w:hAnsi="Times New Roman;Times;serif"/>
          <w:sz w:val="22"/>
        </w:rPr>
      </w:pPr>
      <w:r>
        <w:rPr>
          <w:rFonts w:ascii="Times New Roman;Times;serif" w:hAnsi="Times New Roman;Times;serif"/>
          <w:sz w:val="22"/>
        </w:rPr>
        <w:t>and</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THE FOREIGN BORROWERS NAMED HEREIN,</w:t>
      </w:r>
    </w:p>
    <w:p>
      <w:pPr>
        <w:pStyle w:val="TextBody"/>
        <w:bidi w:val="0"/>
        <w:spacing w:lineRule="auto" w:line="285" w:before="0" w:after="120"/>
        <w:ind w:left="0" w:right="0" w:hanging="0"/>
        <w:jc w:val="center"/>
        <w:rPr>
          <w:rFonts w:ascii="Times New Roman;Times;serif" w:hAnsi="Times New Roman;Times;serif"/>
          <w:sz w:val="22"/>
        </w:rPr>
      </w:pPr>
      <w:r>
        <w:rPr>
          <w:rFonts w:ascii="Times New Roman;Times;serif" w:hAnsi="Times New Roman;Times;serif"/>
          <w:sz w:val="22"/>
        </w:rPr>
        <w:t>collectively, as Borrowers</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THE LENDERS NAMED HEREIN,</w:t>
      </w:r>
    </w:p>
    <w:p>
      <w:pPr>
        <w:pStyle w:val="TextBody"/>
        <w:bidi w:val="0"/>
        <w:spacing w:lineRule="auto" w:line="285" w:before="0" w:after="120"/>
        <w:ind w:left="0" w:right="0" w:hanging="0"/>
        <w:jc w:val="center"/>
        <w:rPr>
          <w:rFonts w:ascii="Times New Roman;Times;serif" w:hAnsi="Times New Roman;Times;serif"/>
          <w:sz w:val="22"/>
        </w:rPr>
      </w:pPr>
      <w:r>
        <w:rPr>
          <w:rFonts w:ascii="Times New Roman;Times;serif" w:hAnsi="Times New Roman;Times;serif"/>
          <w:sz w:val="22"/>
        </w:rPr>
        <w:t>as Lenders</w:t>
      </w:r>
    </w:p>
    <w:p>
      <w:pPr>
        <w:pStyle w:val="TextBody"/>
        <w:bidi w:val="0"/>
        <w:spacing w:lineRule="auto" w:line="285" w:before="0" w:after="120"/>
        <w:ind w:left="0" w:right="0" w:hanging="0"/>
        <w:jc w:val="center"/>
        <w:rPr>
          <w:rFonts w:ascii="Times New Roman;Times;serif" w:hAnsi="Times New Roman;Times;serif"/>
          <w:sz w:val="22"/>
        </w:rPr>
      </w:pPr>
      <w:r>
        <w:rPr>
          <w:rFonts w:ascii="Times New Roman;Times;serif" w:hAnsi="Times New Roman;Times;serif"/>
          <w:sz w:val="22"/>
        </w:rPr>
        <w:t>and</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WELLS FARGO BANK, NATIONAL ASSOCIATION,</w:t>
      </w:r>
    </w:p>
    <w:p>
      <w:pPr>
        <w:pStyle w:val="TextBody"/>
        <w:bidi w:val="0"/>
        <w:spacing w:lineRule="auto" w:line="285" w:before="0" w:after="240"/>
        <w:ind w:left="0" w:right="0" w:hanging="0"/>
        <w:jc w:val="center"/>
        <w:rPr>
          <w:rFonts w:ascii="Times New Roman;Times;serif" w:hAnsi="Times New Roman;Times;serif"/>
          <w:sz w:val="22"/>
        </w:rPr>
      </w:pPr>
      <w:r>
        <w:rPr>
          <w:rFonts w:ascii="Times New Roman;Times;serif" w:hAnsi="Times New Roman;Times;serif"/>
          <w:sz w:val="22"/>
        </w:rPr>
        <w:t>as Administrative Agent, Swing Line Lender and Fronting Lender</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WELLS FARGO SECURITIES, LLC,</w:t>
      </w:r>
    </w:p>
    <w:p>
      <w:pPr>
        <w:pStyle w:val="TextBody"/>
        <w:bidi w:val="0"/>
        <w:spacing w:lineRule="auto" w:line="285" w:before="0" w:after="0"/>
        <w:ind w:left="0" w:right="0" w:hanging="0"/>
        <w:jc w:val="center"/>
        <w:rPr>
          <w:rFonts w:ascii="Times New Roman;Times;serif" w:hAnsi="Times New Roman;Times;serif"/>
          <w:caps/>
          <w:sz w:val="22"/>
        </w:rPr>
      </w:pPr>
      <w:r>
        <w:rPr>
          <w:rFonts w:ascii="Times New Roman;Times;serif" w:hAnsi="Times New Roman;Times;serif"/>
          <w:caps/>
          <w:sz w:val="22"/>
        </w:rPr>
        <w:t>BofA Securities, Inc.,</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PNC BANK, NATIONAL ASSOCIATION,</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U.S. BANK, NATIONAL ASSOCIATION,</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and</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BMO BANK N.A., successor by merger to BANK OF THE WEST,</w:t>
      </w:r>
    </w:p>
    <w:p>
      <w:pPr>
        <w:pStyle w:val="TextBody"/>
        <w:bidi w:val="0"/>
        <w:spacing w:lineRule="auto" w:line="285" w:before="0" w:after="240"/>
        <w:ind w:left="0" w:right="0" w:hanging="0"/>
        <w:jc w:val="center"/>
        <w:rPr>
          <w:rFonts w:ascii="Times New Roman;Times;serif" w:hAnsi="Times New Roman;Times;serif"/>
          <w:sz w:val="22"/>
        </w:rPr>
      </w:pPr>
      <w:r>
        <w:rPr>
          <w:rFonts w:ascii="Times New Roman;Times;serif" w:hAnsi="Times New Roman;Times;serif"/>
          <w:sz w:val="22"/>
        </w:rPr>
        <w:t>as Joint Lead Arrangers and Joint Bookrunners</w:t>
      </w:r>
    </w:p>
    <w:p>
      <w:pPr>
        <w:pStyle w:val="TextBody"/>
        <w:bidi w:val="0"/>
        <w:spacing w:lineRule="auto" w:line="285" w:before="0" w:after="0"/>
        <w:ind w:left="0" w:right="0" w:hanging="0"/>
        <w:jc w:val="center"/>
        <w:rPr>
          <w:rFonts w:ascii="Times New Roman;Times;serif" w:hAnsi="Times New Roman;Times;serif"/>
          <w:caps/>
          <w:sz w:val="22"/>
        </w:rPr>
      </w:pPr>
      <w:r>
        <w:rPr>
          <w:rFonts w:ascii="Times New Roman;Times;serif" w:hAnsi="Times New Roman;Times;serif"/>
          <w:caps/>
          <w:sz w:val="22"/>
        </w:rPr>
        <w:t>Bank of america, n.a.,</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PNC BANK, NATIONAL ASSOCIATION,</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U.S. BANK, NATIONAL ASSOCIATION,</w:t>
        <w:br/>
        <w:t>and</w:t>
        <w:br/>
        <w:t>BMO BANK N.A., successor by merger to BANK OF THE WEST</w:t>
      </w:r>
    </w:p>
    <w:p>
      <w:pPr>
        <w:pStyle w:val="TextBody"/>
        <w:bidi w:val="0"/>
        <w:spacing w:lineRule="auto" w:line="285" w:before="0" w:after="240"/>
        <w:ind w:left="0" w:right="0" w:hanging="0"/>
        <w:jc w:val="center"/>
        <w:rPr>
          <w:rFonts w:ascii="Times New Roman;Times;serif" w:hAnsi="Times New Roman;Times;serif"/>
          <w:sz w:val="22"/>
        </w:rPr>
      </w:pPr>
      <w:r>
        <w:rPr>
          <w:rFonts w:ascii="Times New Roman;Times;serif" w:hAnsi="Times New Roman;Times;serif"/>
          <w:sz w:val="22"/>
        </w:rPr>
        <w:t>each as Syndication Agent</w:t>
      </w:r>
    </w:p>
    <w:p>
      <w:pPr>
        <w:pStyle w:val="TextBody"/>
        <w:bidi w:val="0"/>
        <w:spacing w:lineRule="auto" w:line="285" w:before="0" w:after="120"/>
        <w:ind w:left="0" w:right="0" w:hanging="0"/>
        <w:jc w:val="center"/>
        <w:rPr>
          <w:rFonts w:ascii="Aptos" w:hAnsi="Aptos"/>
          <w:sz w:val="22"/>
        </w:rPr>
      </w:pPr>
      <w:r>
        <w:rPr>
          <w:rFonts w:ascii="Times New Roman;Times;serif" w:hAnsi="Times New Roman;Times;serif"/>
          <w:caps/>
          <w:sz w:val="22"/>
        </w:rPr>
        <w:t>KeyBank NATIONAL ASSOCIATION,</w:t>
      </w:r>
      <w:r>
        <w:rPr>
          <w:rFonts w:ascii="Times New Roman;Times;serif" w:hAnsi="Times New Roman;Times;serif"/>
          <w:sz w:val="22"/>
        </w:rPr>
        <w:br/>
        <w:t>as Documentation Agent</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dated as of</w:t>
        <w:br/>
        <w:t>June 3, 2013</w:t>
      </w: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lineRule="auto" w:line="331" w:before="0" w:after="160"/>
              <w:ind w:left="0" w:right="0" w:hanging="0"/>
              <w:jc w:val="left"/>
              <w:rPr/>
            </w:pPr>
            <w:r>
              <w:rPr/>
              <w:t>​</w:t>
            </w:r>
          </w:p>
        </w:tc>
      </w:tr>
      <w:tr>
        <w:trPr/>
        <w:tc>
          <w:tcPr>
            <w:tcW w:w="169" w:type="dxa"/>
            <w:tcBorders/>
            <w:vAlign w:val="center"/>
          </w:tcPr>
          <w:p>
            <w:pPr>
              <w:pStyle w:val="TableContents"/>
              <w:pBdr>
                <w:bottom w:val="single" w:sz="24" w:space="1" w:color="000000"/>
              </w:pBdr>
              <w:bidi w:val="0"/>
              <w:spacing w:lineRule="auto" w:line="331" w:before="0" w:after="160"/>
              <w:ind w:left="0" w:right="0" w:hanging="0"/>
              <w:jc w:val="both"/>
              <w:rPr>
                <w:bdr w:val="single" w:sz="8" w:space="1" w:color="000000"/>
              </w:rPr>
            </w:pPr>
            <w:r>
              <w:rPr>
                <w:bdr w:val="single" w:sz="8" w:space="1" w:color="000000"/>
              </w:rPr>
              <w:t>​</w:t>
            </w:r>
          </w:p>
        </w:tc>
      </w:tr>
    </w:tbl>
    <w:p>
      <w:pPr>
        <w:pStyle w:val="TextBody"/>
        <w:bidi w:val="0"/>
        <w:spacing w:lineRule="auto" w:line="331" w:before="0" w:after="160"/>
        <w:ind w:left="0" w:right="0" w:hanging="0"/>
        <w:jc w:val="both"/>
        <w:rPr/>
      </w:pPr>
      <w:r>
        <w:rPr/>
        <w:t>​</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center"/>
        <w:rPr>
          <w:rFonts w:ascii="Times New Roman;Times;serif" w:hAnsi="Times New Roman;Times;serif"/>
          <w:b/>
          <w:sz w:val="22"/>
        </w:rPr>
      </w:pPr>
      <w:bookmarkStart w:id="1788" w:name="_tocHeader_33be19ffc230428d8a89b3d424634"/>
      <w:bookmarkEnd w:id="1788"/>
      <w:r>
        <w:rPr>
          <w:rFonts w:ascii="Times New Roman;Times;serif" w:hAnsi="Times New Roman;Times;serif"/>
          <w:b/>
          <w:sz w:val="22"/>
        </w:rPr>
        <w:t>TABLE OF CONTENTS</w:t>
      </w:r>
    </w:p>
    <w:p>
      <w:pPr>
        <w:pStyle w:val="TextBody"/>
        <w:bidi w:val="0"/>
        <w:spacing w:lineRule="auto" w:line="285" w:before="0" w:after="120"/>
        <w:ind w:left="0" w:right="0" w:hanging="0"/>
        <w:jc w:val="left"/>
        <w:rPr>
          <w:rFonts w:ascii="Times New Roman;Times;serif" w:hAnsi="Times New Roman;Times;serif"/>
          <w:b/>
          <w:sz w:val="22"/>
        </w:rPr>
      </w:pPr>
      <w:r>
        <w:rPr>
          <w:rFonts w:ascii="Times New Roman;Times;serif" w:hAnsi="Times New Roman;Times;serif"/>
          <w:b/>
          <w:sz w:val="22"/>
        </w:rPr>
        <w:t>Page</w:t>
      </w:r>
    </w:p>
    <w:p>
      <w:pPr>
        <w:pStyle w:val="TextBody"/>
        <w:bidi w:val="0"/>
        <w:spacing w:lineRule="auto" w:line="285" w:before="0" w:after="100"/>
        <w:ind w:left="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ARTICLE I. DEFINITIONS</w:t>
      </w:r>
      <w:r>
        <w:rPr>
          <w:rFonts w:ascii="Times New Roman;Times;serif" w:hAnsi="Times New Roman;Times;serif"/>
          <w:b w:val="false"/>
          <w:i w:val="false"/>
          <w:caps w:val="false"/>
          <w:smallCaps w:val="false"/>
          <w:sz w:val="22"/>
          <w:shd w:fill="FFFFFF" w:val="clear"/>
        </w:rPr>
        <w:t>1</w:t>
      </w:r>
      <w:r>
        <mc:AlternateContent>
          <mc:Choice Requires="wps">
            <w:drawing>
              <wp:anchor behindDoc="0" distT="0" distB="0" distL="0" distR="0" simplePos="0" locked="0" layoutInCell="1" allowOverlap="1" relativeHeight="514">
                <wp:simplePos x="0" y="0"/>
                <wp:positionH relativeFrom="page">
                  <wp:posOffset>0</wp:posOffset>
                </wp:positionH>
                <wp:positionV relativeFrom="line">
                  <wp:posOffset>635</wp:posOffset>
                </wp:positionV>
                <wp:extent cx="6480175" cy="175895"/>
                <wp:effectExtent l="0" t="0" r="0" b="0"/>
                <wp:wrapNone/>
                <wp:docPr id="515" name="Frame51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1.1Definitions</w:t>
      </w:r>
      <w:r>
        <w:rPr>
          <w:rFonts w:ascii="Times New Roman;Times;serif" w:hAnsi="Times New Roman;Times;serif"/>
          <w:b w:val="false"/>
          <w:i w:val="false"/>
          <w:caps w:val="false"/>
          <w:smallCaps w:val="false"/>
          <w:sz w:val="22"/>
          <w:shd w:fill="FFFFFF" w:val="clear"/>
        </w:rPr>
        <w:t>1</w:t>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6480175" cy="175895"/>
                <wp:effectExtent l="0" t="0" r="0" b="0"/>
                <wp:wrapNone/>
                <wp:docPr id="516" name="Frame51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91.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1.2Accounting Terms</w:t>
      </w:r>
      <w:r>
        <w:rPr>
          <w:rFonts w:ascii="Times New Roman;Times;serif" w:hAnsi="Times New Roman;Times;serif"/>
          <w:b w:val="false"/>
          <w:i w:val="false"/>
          <w:caps w:val="false"/>
          <w:smallCaps w:val="false"/>
          <w:sz w:val="22"/>
          <w:shd w:fill="FFFFFF" w:val="clear"/>
        </w:rPr>
        <w:t>43</w:t>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6480175" cy="175895"/>
                <wp:effectExtent l="0" t="0" r="0" b="0"/>
                <wp:wrapNone/>
                <wp:docPr id="517" name="Frame51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7.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1.3Terms Generally</w:t>
      </w:r>
      <w:r>
        <w:rPr>
          <w:rFonts w:ascii="Times New Roman;Times;serif" w:hAnsi="Times New Roman;Times;serif"/>
          <w:b w:val="false"/>
          <w:i w:val="false"/>
          <w:caps w:val="false"/>
          <w:smallCaps w:val="false"/>
          <w:sz w:val="22"/>
          <w:shd w:fill="FFFFFF" w:val="clear"/>
        </w:rPr>
        <w:t>44</w:t>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6480175" cy="175895"/>
                <wp:effectExtent l="0" t="0" r="0" b="0"/>
                <wp:wrapNone/>
                <wp:docPr id="518" name="Frame51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8.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1.4Confirmation of Recitals</w:t>
      </w:r>
      <w:r>
        <w:rPr>
          <w:rFonts w:ascii="Times New Roman;Times;serif" w:hAnsi="Times New Roman;Times;serif"/>
          <w:b w:val="false"/>
          <w:i w:val="false"/>
          <w:caps w:val="false"/>
          <w:smallCaps w:val="false"/>
          <w:sz w:val="22"/>
          <w:shd w:fill="FFFFFF" w:val="clear"/>
        </w:rPr>
        <w:t>44</w:t>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6480175" cy="175895"/>
                <wp:effectExtent l="0" t="0" r="0" b="0"/>
                <wp:wrapNone/>
                <wp:docPr id="519" name="Frame51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1.5Divisions</w:t>
      </w:r>
      <w:r>
        <w:rPr>
          <w:rFonts w:ascii="Times New Roman;Times;serif" w:hAnsi="Times New Roman;Times;serif"/>
          <w:b w:val="false"/>
          <w:i w:val="false"/>
          <w:caps w:val="false"/>
          <w:smallCaps w:val="false"/>
          <w:sz w:val="22"/>
          <w:shd w:fill="FFFFFF" w:val="clear"/>
        </w:rPr>
        <w:t>44</w:t>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6480175" cy="175895"/>
                <wp:effectExtent l="0" t="0" r="0" b="0"/>
                <wp:wrapNone/>
                <wp:docPr id="520" name="Frame51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83.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1.6Rates</w:t>
      </w:r>
      <w:r>
        <w:rPr>
          <w:rFonts w:ascii="Times New Roman;Times;serif" w:hAnsi="Times New Roman;Times;serif"/>
          <w:b w:val="false"/>
          <w:i w:val="false"/>
          <w:caps w:val="false"/>
          <w:smallCaps w:val="false"/>
          <w:sz w:val="22"/>
          <w:shd w:fill="FFFFFF" w:val="clear"/>
        </w:rPr>
        <w:t>44</w:t>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6480175" cy="175895"/>
                <wp:effectExtent l="0" t="0" r="0" b="0"/>
                <wp:wrapNone/>
                <wp:docPr id="521" name="Frame51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64.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1.7Exchange Rates; Currency Equivalents</w:t>
      </w:r>
      <w:r>
        <w:rPr>
          <w:rFonts w:ascii="Times New Roman;Times;serif" w:hAnsi="Times New Roman;Times;serif"/>
          <w:b w:val="false"/>
          <w:i w:val="false"/>
          <w:caps w:val="false"/>
          <w:smallCaps w:val="false"/>
          <w:sz w:val="22"/>
          <w:shd w:fill="FFFFFF" w:val="clear"/>
        </w:rPr>
        <w:t>45</w:t>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6480175" cy="175895"/>
                <wp:effectExtent l="0" t="0" r="0" b="0"/>
                <wp:wrapNone/>
                <wp:docPr id="522" name="Frame51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25.3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1.8Change of Currency</w:t>
      </w:r>
      <w:r>
        <w:rPr>
          <w:rFonts w:ascii="Times New Roman;Times;serif" w:hAnsi="Times New Roman;Times;serif"/>
          <w:b w:val="false"/>
          <w:i w:val="false"/>
          <w:caps w:val="false"/>
          <w:smallCaps w:val="false"/>
          <w:sz w:val="22"/>
          <w:shd w:fill="FFFFFF" w:val="clear"/>
        </w:rPr>
        <w:t>45</w:t>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6480175" cy="175895"/>
                <wp:effectExtent l="0" t="0" r="0" b="0"/>
                <wp:wrapNone/>
                <wp:docPr id="523" name="Frame51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85" w:before="0" w:after="100"/>
        <w:ind w:left="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ARTICLE II. AMOUNT AND TERMS OF CREDIT</w:t>
      </w:r>
      <w:r>
        <w:rPr>
          <w:rFonts w:ascii="Times New Roman;Times;serif" w:hAnsi="Times New Roman;Times;serif"/>
          <w:b w:val="false"/>
          <w:i w:val="false"/>
          <w:caps w:val="false"/>
          <w:smallCaps w:val="false"/>
          <w:sz w:val="22"/>
          <w:shd w:fill="FFFFFF" w:val="clear"/>
        </w:rPr>
        <w:t>46</w:t>
      </w:r>
      <w:r>
        <mc:AlternateContent>
          <mc:Choice Requires="wps">
            <w:drawing>
              <wp:anchor behindDoc="0" distT="0" distB="0" distL="0" distR="0" simplePos="0" locked="0" layoutInCell="1" allowOverlap="1" relativeHeight="523">
                <wp:simplePos x="0" y="0"/>
                <wp:positionH relativeFrom="page">
                  <wp:posOffset>0</wp:posOffset>
                </wp:positionH>
                <wp:positionV relativeFrom="line">
                  <wp:posOffset>635</wp:posOffset>
                </wp:positionV>
                <wp:extent cx="6480175" cy="175895"/>
                <wp:effectExtent l="0" t="0" r="0" b="0"/>
                <wp:wrapNone/>
                <wp:docPr id="524" name="Frame52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2.1Amount and Nature of Revolving Credit</w:t>
      </w:r>
      <w:r>
        <w:rPr>
          <w:rFonts w:ascii="Times New Roman;Times;serif" w:hAnsi="Times New Roman;Times;serif"/>
          <w:b w:val="false"/>
          <w:i w:val="false"/>
          <w:caps w:val="false"/>
          <w:smallCaps w:val="false"/>
          <w:sz w:val="22"/>
          <w:shd w:fill="FFFFFF" w:val="clear"/>
        </w:rPr>
        <w:t>45</w:t>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6480175" cy="175895"/>
                <wp:effectExtent l="0" t="0" r="0" b="0"/>
                <wp:wrapNone/>
                <wp:docPr id="525" name="Frame52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32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2.2Revolving Credit Commitment</w:t>
      </w:r>
      <w:r>
        <w:rPr>
          <w:rFonts w:ascii="Times New Roman;Times;serif" w:hAnsi="Times New Roman;Times;serif"/>
          <w:b w:val="false"/>
          <w:i w:val="false"/>
          <w:caps w:val="false"/>
          <w:smallCaps w:val="false"/>
          <w:sz w:val="22"/>
          <w:shd w:fill="FFFFFF" w:val="clear"/>
        </w:rPr>
        <w:t>46</w:t>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6480175" cy="175895"/>
                <wp:effectExtent l="0" t="0" r="0" b="0"/>
                <wp:wrapNone/>
                <wp:docPr id="526" name="Frame52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2.3Interest</w:t>
      </w:r>
      <w:r>
        <w:rPr>
          <w:rFonts w:ascii="Times New Roman;Times;serif" w:hAnsi="Times New Roman;Times;serif"/>
          <w:b w:val="false"/>
          <w:i w:val="false"/>
          <w:caps w:val="false"/>
          <w:smallCaps w:val="false"/>
          <w:sz w:val="22"/>
          <w:shd w:fill="FFFFFF" w:val="clear"/>
        </w:rPr>
        <w:t>51</w:t>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6480175" cy="175895"/>
                <wp:effectExtent l="0" t="0" r="0" b="0"/>
                <wp:wrapNone/>
                <wp:docPr id="527" name="Frame52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73.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2.4Evidence of Indebtedness</w:t>
      </w:r>
      <w:r>
        <w:rPr>
          <w:rFonts w:ascii="Times New Roman;Times;serif" w:hAnsi="Times New Roman;Times;serif"/>
          <w:b w:val="false"/>
          <w:i w:val="false"/>
          <w:caps w:val="false"/>
          <w:smallCaps w:val="false"/>
          <w:sz w:val="22"/>
          <w:shd w:fill="FFFFFF" w:val="clear"/>
        </w:rPr>
        <w:t>52</w:t>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6480175" cy="175895"/>
                <wp:effectExtent l="0" t="0" r="0" b="0"/>
                <wp:wrapNone/>
                <wp:docPr id="528" name="Frame52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2.5Notice of Credit Event; Funding of Loans</w:t>
      </w:r>
      <w:r>
        <w:rPr>
          <w:rFonts w:ascii="Times New Roman;Times;serif" w:hAnsi="Times New Roman;Times;serif"/>
          <w:b w:val="false"/>
          <w:i w:val="false"/>
          <w:caps w:val="false"/>
          <w:smallCaps w:val="false"/>
          <w:sz w:val="22"/>
          <w:shd w:fill="FFFFFF" w:val="clear"/>
        </w:rPr>
        <w:t>53</w:t>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6480175" cy="175895"/>
                <wp:effectExtent l="0" t="0" r="0" b="0"/>
                <wp:wrapNone/>
                <wp:docPr id="529" name="Frame52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38.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2.6Payment on Loans and Other Obligations</w:t>
      </w:r>
      <w:r>
        <w:rPr>
          <w:rFonts w:ascii="Times New Roman;Times;serif" w:hAnsi="Times New Roman;Times;serif"/>
          <w:b w:val="false"/>
          <w:i w:val="false"/>
          <w:caps w:val="false"/>
          <w:smallCaps w:val="false"/>
          <w:sz w:val="22"/>
          <w:shd w:fill="FFFFFF" w:val="clear"/>
        </w:rPr>
        <w:t>54</w:t>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6480175" cy="175895"/>
                <wp:effectExtent l="0" t="0" r="0" b="0"/>
                <wp:wrapNone/>
                <wp:docPr id="530" name="Frame52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36.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2.7Prepayment</w:t>
      </w:r>
      <w:r>
        <w:rPr>
          <w:rFonts w:ascii="Times New Roman;Times;serif" w:hAnsi="Times New Roman;Times;serif"/>
          <w:b w:val="false"/>
          <w:i w:val="false"/>
          <w:caps w:val="false"/>
          <w:smallCaps w:val="false"/>
          <w:sz w:val="22"/>
          <w:shd w:fill="FFFFFF" w:val="clear"/>
        </w:rPr>
        <w:t>56</w:t>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6480175" cy="175895"/>
                <wp:effectExtent l="0" t="0" r="0" b="0"/>
                <wp:wrapNone/>
                <wp:docPr id="531" name="Frame52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9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2.8Commitment and Other Fees</w:t>
      </w:r>
      <w:r>
        <w:rPr>
          <w:rFonts w:ascii="Times New Roman;Times;serif" w:hAnsi="Times New Roman;Times;serif"/>
          <w:b w:val="false"/>
          <w:i w:val="false"/>
          <w:caps w:val="false"/>
          <w:smallCaps w:val="false"/>
          <w:sz w:val="22"/>
          <w:shd w:fill="FFFFFF" w:val="clear"/>
        </w:rPr>
        <w:t>56</w:t>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6480175" cy="175895"/>
                <wp:effectExtent l="0" t="0" r="0" b="0"/>
                <wp:wrapNone/>
                <wp:docPr id="532" name="Frame52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6.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2.9Modifications to Commitment</w:t>
      </w:r>
      <w:r>
        <w:rPr>
          <w:rFonts w:ascii="Times New Roman;Times;serif" w:hAnsi="Times New Roman;Times;serif"/>
          <w:b w:val="false"/>
          <w:i w:val="false"/>
          <w:caps w:val="false"/>
          <w:smallCaps w:val="false"/>
          <w:sz w:val="22"/>
          <w:shd w:fill="FFFFFF" w:val="clear"/>
        </w:rPr>
        <w:t>57</w:t>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6480175" cy="175895"/>
                <wp:effectExtent l="0" t="0" r="0" b="0"/>
                <wp:wrapNone/>
                <wp:docPr id="533" name="Frame52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3.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2.10Computation of Interest and Fees</w:t>
      </w:r>
      <w:r>
        <w:rPr>
          <w:rFonts w:ascii="Times New Roman;Times;serif" w:hAnsi="Times New Roman;Times;serif"/>
          <w:b w:val="false"/>
          <w:i w:val="false"/>
          <w:caps w:val="false"/>
          <w:smallCaps w:val="false"/>
          <w:sz w:val="22"/>
          <w:shd w:fill="FFFFFF" w:val="clear"/>
        </w:rPr>
        <w:t>59</w:t>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6480175" cy="175895"/>
                <wp:effectExtent l="0" t="0" r="0" b="0"/>
                <wp:wrapNone/>
                <wp:docPr id="534" name="Frame53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03.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2.11Mandatory Payments</w:t>
      </w:r>
      <w:r>
        <w:rPr>
          <w:rFonts w:ascii="Times New Roman;Times;serif" w:hAnsi="Times New Roman;Times;serif"/>
          <w:b w:val="false"/>
          <w:i w:val="false"/>
          <w:caps w:val="false"/>
          <w:smallCaps w:val="false"/>
          <w:sz w:val="22"/>
          <w:shd w:fill="FFFFFF" w:val="clear"/>
        </w:rPr>
        <w:t>59</w:t>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6480175" cy="175895"/>
                <wp:effectExtent l="0" t="0" r="0" b="0"/>
                <wp:wrapNone/>
                <wp:docPr id="535" name="Frame53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6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2.12Liability of Borrowers</w:t>
      </w:r>
      <w:r>
        <w:rPr>
          <w:rFonts w:ascii="Times New Roman;Times;serif" w:hAnsi="Times New Roman;Times;serif"/>
          <w:b w:val="false"/>
          <w:i w:val="false"/>
          <w:caps w:val="false"/>
          <w:smallCaps w:val="false"/>
          <w:sz w:val="22"/>
          <w:shd w:fill="FFFFFF" w:val="clear"/>
        </w:rPr>
        <w:t>61</w:t>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6480175" cy="175895"/>
                <wp:effectExtent l="0" t="0" r="0" b="0"/>
                <wp:wrapNone/>
                <wp:docPr id="536" name="Frame53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1.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2.13Addition of Foreign Borrowers</w:t>
      </w:r>
      <w:r>
        <w:rPr>
          <w:rFonts w:ascii="Times New Roman;Times;serif" w:hAnsi="Times New Roman;Times;serif"/>
          <w:b w:val="false"/>
          <w:i w:val="false"/>
          <w:caps w:val="false"/>
          <w:smallCaps w:val="false"/>
          <w:sz w:val="22"/>
          <w:shd w:fill="FFFFFF" w:val="clear"/>
        </w:rPr>
        <w:t>62</w:t>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6480175" cy="175895"/>
                <wp:effectExtent l="0" t="0" r="0" b="0"/>
                <wp:wrapNone/>
                <wp:docPr id="537" name="Frame53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3.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shd w:fill="FFFFFF" w:val="clear"/>
        </w:rPr>
        <w:t>Section 2.14Flood Insurance</w:t>
      </w:r>
      <w:r>
        <w:rPr>
          <w:rFonts w:ascii="Times New Roman;Times;serif" w:hAnsi="Times New Roman;Times;serif"/>
          <w:b w:val="false"/>
          <w:i w:val="false"/>
          <w:caps w:val="false"/>
          <w:smallCaps w:val="false"/>
          <w:sz w:val="22"/>
          <w:shd w:fill="FFFFFF" w:val="clear"/>
        </w:rPr>
        <w:t>63</w:t>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6480175" cy="175895"/>
                <wp:effectExtent l="0" t="0" r="0" b="0"/>
                <wp:wrapNone/>
                <wp:docPr id="538" name="Frame53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1.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shd w:fill="FFFFFF" w:val="clear"/>
        </w:rPr>
        <w:t>Section 2.15Extension of Revolving Credit Maturity Date</w:t>
      </w:r>
      <w:r>
        <w:rPr>
          <w:rFonts w:ascii="Times New Roman;Times;serif" w:hAnsi="Times New Roman;Times;serif"/>
          <w:b w:val="false"/>
          <w:i w:val="false"/>
          <w:caps w:val="false"/>
          <w:smallCaps w:val="false"/>
          <w:sz w:val="22"/>
          <w:shd w:fill="FFFFFF" w:val="clear"/>
        </w:rPr>
        <w:t>64</w:t>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6480175" cy="175895"/>
                <wp:effectExtent l="0" t="0" r="0" b="0"/>
                <wp:wrapNone/>
                <wp:docPr id="539" name="Frame53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61.3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85" w:before="0" w:after="100"/>
        <w:ind w:left="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ARTICLE III. GENERAL LOAN PROVISIONS</w:t>
      </w:r>
      <w:r>
        <w:rPr>
          <w:rFonts w:ascii="Times New Roman;Times;serif" w:hAnsi="Times New Roman;Times;serif"/>
          <w:b w:val="false"/>
          <w:i w:val="false"/>
          <w:caps w:val="false"/>
          <w:smallCaps w:val="false"/>
          <w:sz w:val="22"/>
          <w:shd w:fill="FFFFFF" w:val="clear"/>
        </w:rPr>
        <w:t>66</w:t>
      </w:r>
      <w:r>
        <mc:AlternateContent>
          <mc:Choice Requires="wps">
            <w:drawing>
              <wp:anchor behindDoc="0" distT="0" distB="0" distL="0" distR="0" simplePos="0" locked="0" layoutInCell="1" allowOverlap="1" relativeHeight="539">
                <wp:simplePos x="0" y="0"/>
                <wp:positionH relativeFrom="page">
                  <wp:posOffset>0</wp:posOffset>
                </wp:positionH>
                <wp:positionV relativeFrom="line">
                  <wp:posOffset>635</wp:posOffset>
                </wp:positionV>
                <wp:extent cx="6480175" cy="175895"/>
                <wp:effectExtent l="0" t="0" r="0" b="0"/>
                <wp:wrapNone/>
                <wp:docPr id="540" name="Frame53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3.1Increased Costs</w:t>
      </w:r>
      <w:r>
        <w:rPr>
          <w:rFonts w:ascii="Times New Roman;Times;serif" w:hAnsi="Times New Roman;Times;serif"/>
          <w:b w:val="false"/>
          <w:i w:val="false"/>
          <w:caps w:val="false"/>
          <w:smallCaps w:val="false"/>
          <w:sz w:val="22"/>
          <w:shd w:fill="FFFFFF" w:val="clear"/>
        </w:rPr>
        <w:t>66</w:t>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6480175" cy="175895"/>
                <wp:effectExtent l="0" t="0" r="0" b="0"/>
                <wp:wrapNone/>
                <wp:docPr id="541" name="Frame53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3.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3.2Taxes</w:t>
      </w:r>
      <w:r>
        <w:rPr>
          <w:rFonts w:ascii="Times New Roman;Times;serif" w:hAnsi="Times New Roman;Times;serif"/>
          <w:b w:val="false"/>
          <w:i w:val="false"/>
          <w:caps w:val="false"/>
          <w:smallCaps w:val="false"/>
          <w:sz w:val="22"/>
          <w:shd w:fill="FFFFFF" w:val="clear"/>
        </w:rPr>
        <w:t>67</w:t>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6480175" cy="175895"/>
                <wp:effectExtent l="0" t="0" r="0" b="0"/>
                <wp:wrapNone/>
                <wp:docPr id="542" name="Frame53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66.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3.3Funding Losses</w:t>
      </w:r>
      <w:r>
        <w:rPr>
          <w:rFonts w:ascii="Times New Roman;Times;serif" w:hAnsi="Times New Roman;Times;serif"/>
          <w:b w:val="false"/>
          <w:i w:val="false"/>
          <w:caps w:val="false"/>
          <w:smallCaps w:val="false"/>
          <w:sz w:val="22"/>
          <w:shd w:fill="FFFFFF" w:val="clear"/>
        </w:rPr>
        <w:t>70</w:t>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6480175" cy="175895"/>
                <wp:effectExtent l="0" t="0" r="0" b="0"/>
                <wp:wrapNone/>
                <wp:docPr id="543" name="Frame53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3.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3.4Mitigation Obligations; Replacement of Lenders</w:t>
      </w:r>
      <w:r>
        <w:rPr>
          <w:rFonts w:ascii="Times New Roman;Times;serif" w:hAnsi="Times New Roman;Times;serif"/>
          <w:b w:val="false"/>
          <w:i w:val="false"/>
          <w:caps w:val="false"/>
          <w:smallCaps w:val="false"/>
          <w:sz w:val="22"/>
          <w:shd w:fill="FFFFFF" w:val="clear"/>
        </w:rPr>
        <w:t>71</w:t>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6480175" cy="175895"/>
                <wp:effectExtent l="0" t="0" r="0" b="0"/>
                <wp:wrapNone/>
                <wp:docPr id="544" name="Frame54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70.9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3.5Changed Circumstances</w:t>
      </w:r>
      <w:r>
        <w:rPr>
          <w:rFonts w:ascii="Times New Roman;Times;serif" w:hAnsi="Times New Roman;Times;serif"/>
          <w:b w:val="false"/>
          <w:i w:val="false"/>
          <w:caps w:val="false"/>
          <w:smallCaps w:val="false"/>
          <w:sz w:val="22"/>
          <w:shd w:fill="FFFFFF" w:val="clear"/>
        </w:rPr>
        <w:t>72</w:t>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6480175" cy="175895"/>
                <wp:effectExtent l="0" t="0" r="0" b="0"/>
                <wp:wrapNone/>
                <wp:docPr id="545" name="Frame54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3.6Discretion of Lenders as to Manner of Funding</w:t>
      </w:r>
      <w:r>
        <w:rPr>
          <w:rFonts w:ascii="Times New Roman;Times;serif" w:hAnsi="Times New Roman;Times;serif"/>
          <w:b w:val="false"/>
          <w:i w:val="false"/>
          <w:caps w:val="false"/>
          <w:smallCaps w:val="false"/>
          <w:sz w:val="22"/>
          <w:shd w:fill="FFFFFF" w:val="clear"/>
        </w:rPr>
        <w:t>78</w:t>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6480175" cy="175895"/>
                <wp:effectExtent l="0" t="0" r="0" b="0"/>
                <wp:wrapNone/>
                <wp:docPr id="546" name="Frame54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6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i</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3.7Cash Collateral</w:t>
      </w:r>
      <w:r>
        <w:rPr>
          <w:rFonts w:ascii="Times New Roman;Times;serif" w:hAnsi="Times New Roman;Times;serif"/>
          <w:b w:val="false"/>
          <w:i w:val="false"/>
          <w:caps w:val="false"/>
          <w:smallCaps w:val="false"/>
          <w:sz w:val="22"/>
          <w:shd w:fill="FFFFFF" w:val="clear"/>
        </w:rPr>
        <w:t>78</w:t>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6480175" cy="175895"/>
                <wp:effectExtent l="0" t="0" r="0" b="0"/>
                <wp:wrapNone/>
                <wp:docPr id="547" name="Frame54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2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3.8Defaulting Lenders</w:t>
      </w:r>
      <w:r>
        <w:rPr>
          <w:rFonts w:ascii="Times New Roman;Times;serif" w:hAnsi="Times New Roman;Times;serif"/>
          <w:b w:val="false"/>
          <w:i w:val="false"/>
          <w:caps w:val="false"/>
          <w:smallCaps w:val="false"/>
          <w:sz w:val="22"/>
          <w:shd w:fill="FFFFFF" w:val="clear"/>
        </w:rPr>
        <w:t>79</w:t>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6480175" cy="175895"/>
                <wp:effectExtent l="0" t="0" r="0" b="0"/>
                <wp:wrapNone/>
                <wp:docPr id="548" name="Frame54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0.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85" w:before="0" w:after="100"/>
        <w:ind w:left="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ARTICLE IV. CONDITIONS PRECEDENT</w:t>
      </w:r>
      <w:r>
        <w:rPr>
          <w:rFonts w:ascii="Times New Roman;Times;serif" w:hAnsi="Times New Roman;Times;serif"/>
          <w:b w:val="false"/>
          <w:i w:val="false"/>
          <w:caps w:val="false"/>
          <w:smallCaps w:val="false"/>
          <w:sz w:val="22"/>
          <w:shd w:fill="FFFFFF" w:val="clear"/>
        </w:rPr>
        <w:t>81</w:t>
      </w:r>
      <w:r>
        <mc:AlternateContent>
          <mc:Choice Requires="wps">
            <w:drawing>
              <wp:anchor behindDoc="0" distT="0" distB="0" distL="0" distR="0" simplePos="0" locked="0" layoutInCell="1" allowOverlap="1" relativeHeight="548">
                <wp:simplePos x="0" y="0"/>
                <wp:positionH relativeFrom="page">
                  <wp:posOffset>0</wp:posOffset>
                </wp:positionH>
                <wp:positionV relativeFrom="line">
                  <wp:posOffset>635</wp:posOffset>
                </wp:positionV>
                <wp:extent cx="6480175" cy="175895"/>
                <wp:effectExtent l="0" t="0" r="0" b="0"/>
                <wp:wrapNone/>
                <wp:docPr id="549" name="Frame54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4.1Conditions to Each Credit Event</w:t>
      </w:r>
      <w:r>
        <w:rPr>
          <w:rFonts w:ascii="Times New Roman;Times;serif" w:hAnsi="Times New Roman;Times;serif"/>
          <w:b w:val="false"/>
          <w:i w:val="false"/>
          <w:caps w:val="false"/>
          <w:smallCaps w:val="false"/>
          <w:sz w:val="22"/>
          <w:shd w:fill="FFFFFF" w:val="clear"/>
        </w:rPr>
        <w:t>81</w:t>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6480175" cy="175895"/>
                <wp:effectExtent l="0" t="0" r="0" b="0"/>
                <wp:wrapNone/>
                <wp:docPr id="550" name="Frame54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3.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4.2Conditions to the First Credit Event</w:t>
      </w:r>
      <w:r>
        <w:rPr>
          <w:rFonts w:ascii="Times New Roman;Times;serif" w:hAnsi="Times New Roman;Times;serif"/>
          <w:b w:val="false"/>
          <w:i w:val="false"/>
          <w:caps w:val="false"/>
          <w:smallCaps w:val="false"/>
          <w:sz w:val="22"/>
          <w:shd w:fill="FFFFFF" w:val="clear"/>
        </w:rPr>
        <w:t>81</w:t>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6480175" cy="175895"/>
                <wp:effectExtent l="0" t="0" r="0" b="0"/>
                <wp:wrapNone/>
                <wp:docPr id="551" name="Frame54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09.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85" w:before="0" w:after="100"/>
        <w:ind w:left="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ARTICLE V. COVENANTS</w:t>
      </w:r>
      <w:r>
        <w:rPr>
          <w:rFonts w:ascii="Times New Roman;Times;serif" w:hAnsi="Times New Roman;Times;serif"/>
          <w:b w:val="false"/>
          <w:i w:val="false"/>
          <w:caps w:val="false"/>
          <w:smallCaps w:val="false"/>
          <w:sz w:val="22"/>
          <w:shd w:fill="FFFFFF" w:val="clear"/>
        </w:rPr>
        <w:t>83</w:t>
      </w:r>
      <w:r>
        <mc:AlternateContent>
          <mc:Choice Requires="wps">
            <w:drawing>
              <wp:anchor behindDoc="0" distT="0" distB="0" distL="0" distR="0" simplePos="0" locked="0" layoutInCell="1" allowOverlap="1" relativeHeight="551">
                <wp:simplePos x="0" y="0"/>
                <wp:positionH relativeFrom="page">
                  <wp:posOffset>0</wp:posOffset>
                </wp:positionH>
                <wp:positionV relativeFrom="line">
                  <wp:posOffset>635</wp:posOffset>
                </wp:positionV>
                <wp:extent cx="6480175" cy="175895"/>
                <wp:effectExtent l="0" t="0" r="0" b="0"/>
                <wp:wrapNone/>
                <wp:docPr id="552" name="Frame54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5.1Insurance</w:t>
      </w:r>
      <w:r>
        <w:rPr>
          <w:rFonts w:ascii="Times New Roman;Times;serif" w:hAnsi="Times New Roman;Times;serif"/>
          <w:b w:val="false"/>
          <w:i w:val="false"/>
          <w:caps w:val="false"/>
          <w:smallCaps w:val="false"/>
          <w:sz w:val="22"/>
          <w:shd w:fill="FFFFFF" w:val="clear"/>
        </w:rPr>
        <w:t>83</w:t>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6480175" cy="175895"/>
                <wp:effectExtent l="0" t="0" r="0" b="0"/>
                <wp:wrapNone/>
                <wp:docPr id="553" name="Frame54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84.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5.2Money Obligations</w:t>
      </w:r>
      <w:r>
        <w:rPr>
          <w:rFonts w:ascii="Times New Roman;Times;serif" w:hAnsi="Times New Roman;Times;serif"/>
          <w:b w:val="false"/>
          <w:i w:val="false"/>
          <w:caps w:val="false"/>
          <w:smallCaps w:val="false"/>
          <w:sz w:val="22"/>
          <w:shd w:fill="FFFFFF" w:val="clear"/>
        </w:rPr>
        <w:t>83</w:t>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6480175" cy="175895"/>
                <wp:effectExtent l="0" t="0" r="0" b="0"/>
                <wp:wrapNone/>
                <wp:docPr id="554" name="Frame55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0.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5.3Financial Statements and Information</w:t>
      </w:r>
      <w:r>
        <w:rPr>
          <w:rFonts w:ascii="Times New Roman;Times;serif" w:hAnsi="Times New Roman;Times;serif"/>
          <w:b w:val="false"/>
          <w:i w:val="false"/>
          <w:caps w:val="false"/>
          <w:smallCaps w:val="false"/>
          <w:sz w:val="22"/>
          <w:shd w:fill="FFFFFF" w:val="clear"/>
        </w:rPr>
        <w:t>83</w:t>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6480175" cy="175895"/>
                <wp:effectExtent l="0" t="0" r="0" b="0"/>
                <wp:wrapNone/>
                <wp:docPr id="555" name="Frame55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18.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5.4Financial Records</w:t>
      </w:r>
      <w:r>
        <w:rPr>
          <w:rFonts w:ascii="Times New Roman;Times;serif" w:hAnsi="Times New Roman;Times;serif"/>
          <w:b w:val="false"/>
          <w:i w:val="false"/>
          <w:caps w:val="false"/>
          <w:smallCaps w:val="false"/>
          <w:sz w:val="22"/>
          <w:shd w:fill="FFFFFF" w:val="clear"/>
        </w:rPr>
        <w:t>86</w:t>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6480175" cy="175895"/>
                <wp:effectExtent l="0" t="0" r="0" b="0"/>
                <wp:wrapNone/>
                <wp:docPr id="556" name="Frame55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4.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5.5Franchises; Change in Business</w:t>
      </w:r>
      <w:r>
        <w:rPr>
          <w:rFonts w:ascii="Times New Roman;Times;serif" w:hAnsi="Times New Roman;Times;serif"/>
          <w:b w:val="false"/>
          <w:i w:val="false"/>
          <w:caps w:val="false"/>
          <w:smallCaps w:val="false"/>
          <w:sz w:val="22"/>
          <w:shd w:fill="FFFFFF" w:val="clear"/>
        </w:rPr>
        <w:t>87</w:t>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6480175" cy="175895"/>
                <wp:effectExtent l="0" t="0" r="0" b="0"/>
                <wp:wrapNone/>
                <wp:docPr id="557" name="Frame55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0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5.6ERISA Pension and Benefit Plan Compliance</w:t>
      </w:r>
      <w:r>
        <w:rPr>
          <w:rFonts w:ascii="Times New Roman;Times;serif" w:hAnsi="Times New Roman;Times;serif"/>
          <w:b w:val="false"/>
          <w:i w:val="false"/>
          <w:caps w:val="false"/>
          <w:smallCaps w:val="false"/>
          <w:sz w:val="22"/>
          <w:shd w:fill="FFFFFF" w:val="clear"/>
        </w:rPr>
        <w:t>87</w:t>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6480175" cy="175895"/>
                <wp:effectExtent l="0" t="0" r="0" b="0"/>
                <wp:wrapNone/>
                <wp:docPr id="558" name="Frame55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57.3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5.7Financial Covenants</w:t>
      </w:r>
      <w:r>
        <w:rPr>
          <w:rFonts w:ascii="Times New Roman;Times;serif" w:hAnsi="Times New Roman;Times;serif"/>
          <w:b w:val="false"/>
          <w:i w:val="false"/>
          <w:caps w:val="false"/>
          <w:smallCaps w:val="false"/>
          <w:sz w:val="22"/>
          <w:shd w:fill="FFFFFF" w:val="clear"/>
        </w:rPr>
        <w:t>88</w:t>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6480175" cy="175895"/>
                <wp:effectExtent l="0" t="0" r="0" b="0"/>
                <wp:wrapNone/>
                <wp:docPr id="559" name="Frame55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6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5.8Indebtedness</w:t>
      </w:r>
      <w:r>
        <w:rPr>
          <w:rFonts w:ascii="Times New Roman;Times;serif" w:hAnsi="Times New Roman;Times;serif"/>
          <w:b w:val="false"/>
          <w:i w:val="false"/>
          <w:caps w:val="false"/>
          <w:smallCaps w:val="false"/>
          <w:sz w:val="22"/>
          <w:shd w:fill="FFFFFF" w:val="clear"/>
        </w:rPr>
        <w:t>90</w:t>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6480175" cy="175895"/>
                <wp:effectExtent l="0" t="0" r="0" b="0"/>
                <wp:wrapNone/>
                <wp:docPr id="560" name="Frame55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0.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5.9Liens</w:t>
      </w:r>
      <w:r>
        <w:rPr>
          <w:rFonts w:ascii="Times New Roman;Times;serif" w:hAnsi="Times New Roman;Times;serif"/>
          <w:b w:val="false"/>
          <w:i w:val="false"/>
          <w:caps w:val="false"/>
          <w:smallCaps w:val="false"/>
          <w:sz w:val="22"/>
          <w:shd w:fill="FFFFFF" w:val="clear"/>
        </w:rPr>
        <w:t>92</w:t>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6480175" cy="175895"/>
                <wp:effectExtent l="0" t="0" r="0" b="0"/>
                <wp:wrapNone/>
                <wp:docPr id="561" name="Frame55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64.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5.10Regulations T, U and X</w:t>
      </w:r>
      <w:r>
        <w:rPr>
          <w:rFonts w:ascii="Times New Roman;Times;serif" w:hAnsi="Times New Roman;Times;serif"/>
          <w:b w:val="false"/>
          <w:i w:val="false"/>
          <w:caps w:val="false"/>
          <w:smallCaps w:val="false"/>
          <w:sz w:val="22"/>
          <w:shd w:fill="FFFFFF" w:val="clear"/>
        </w:rPr>
        <w:t>93</w:t>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6480175" cy="175895"/>
                <wp:effectExtent l="0" t="0" r="0" b="0"/>
                <wp:wrapNone/>
                <wp:docPr id="562" name="Frame55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8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5.11Investments, Loans and Guaranties</w:t>
      </w:r>
      <w:r>
        <w:rPr>
          <w:rFonts w:ascii="Times New Roman;Times;serif" w:hAnsi="Times New Roman;Times;serif"/>
          <w:b w:val="false"/>
          <w:i w:val="false"/>
          <w:caps w:val="false"/>
          <w:smallCaps w:val="false"/>
          <w:sz w:val="22"/>
          <w:shd w:fill="FFFFFF" w:val="clear"/>
        </w:rPr>
        <w:t>93</w:t>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6480175" cy="175895"/>
                <wp:effectExtent l="0" t="0" r="0" b="0"/>
                <wp:wrapNone/>
                <wp:docPr id="563" name="Frame55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12.3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5.12Merger and Sale of Assets</w:t>
      </w:r>
      <w:r>
        <w:rPr>
          <w:rFonts w:ascii="Times New Roman;Times;serif" w:hAnsi="Times New Roman;Times;serif"/>
          <w:b w:val="false"/>
          <w:i w:val="false"/>
          <w:caps w:val="false"/>
          <w:smallCaps w:val="false"/>
          <w:sz w:val="22"/>
          <w:shd w:fill="FFFFFF" w:val="clear"/>
        </w:rPr>
        <w:t>95</w:t>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6480175" cy="175895"/>
                <wp:effectExtent l="0" t="0" r="0" b="0"/>
                <wp:wrapNone/>
                <wp:docPr id="564" name="Frame56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0.3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5.13Acquisitions</w:t>
      </w:r>
      <w:r>
        <w:rPr>
          <w:rFonts w:ascii="Times New Roman;Times;serif" w:hAnsi="Times New Roman;Times;serif"/>
          <w:b w:val="false"/>
          <w:i w:val="false"/>
          <w:caps w:val="false"/>
          <w:smallCaps w:val="false"/>
          <w:sz w:val="22"/>
          <w:shd w:fill="FFFFFF" w:val="clear"/>
        </w:rPr>
        <w:t>96</w:t>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6480175" cy="175895"/>
                <wp:effectExtent l="0" t="0" r="0" b="0"/>
                <wp:wrapNone/>
                <wp:docPr id="565" name="Frame56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4.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5.14Notice</w:t>
      </w:r>
      <w:r>
        <w:rPr>
          <w:rFonts w:ascii="Times New Roman;Times;serif" w:hAnsi="Times New Roman;Times;serif"/>
          <w:b w:val="false"/>
          <w:i w:val="false"/>
          <w:caps w:val="false"/>
          <w:smallCaps w:val="false"/>
          <w:sz w:val="22"/>
          <w:shd w:fill="FFFFFF" w:val="clear"/>
        </w:rPr>
        <w:t>97</w:t>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6480175" cy="175895"/>
                <wp:effectExtent l="0" t="0" r="0" b="0"/>
                <wp:wrapNone/>
                <wp:docPr id="566" name="Frame56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75.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5.15Restricted Payments</w:t>
      </w:r>
      <w:r>
        <w:rPr>
          <w:rFonts w:ascii="Times New Roman;Times;serif" w:hAnsi="Times New Roman;Times;serif"/>
          <w:b w:val="false"/>
          <w:i w:val="false"/>
          <w:caps w:val="false"/>
          <w:smallCaps w:val="false"/>
          <w:sz w:val="22"/>
          <w:shd w:fill="FFFFFF" w:val="clear"/>
        </w:rPr>
        <w:t>97</w:t>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6480175" cy="175895"/>
                <wp:effectExtent l="0" t="0" r="0" b="0"/>
                <wp:wrapNone/>
                <wp:docPr id="567" name="Frame56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2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5.16Environmental Compliance</w:t>
      </w:r>
      <w:r>
        <w:rPr>
          <w:rFonts w:ascii="Times New Roman;Times;serif" w:hAnsi="Times New Roman;Times;serif"/>
          <w:b w:val="false"/>
          <w:i w:val="false"/>
          <w:caps w:val="false"/>
          <w:smallCaps w:val="false"/>
          <w:sz w:val="22"/>
          <w:shd w:fill="FFFFFF" w:val="clear"/>
        </w:rPr>
        <w:t>98</w:t>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6480175" cy="175895"/>
                <wp:effectExtent l="0" t="0" r="0" b="0"/>
                <wp:wrapNone/>
                <wp:docPr id="568" name="Frame56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6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5.17Affiliate Transactions</w:t>
      </w:r>
      <w:r>
        <w:rPr>
          <w:rFonts w:ascii="Times New Roman;Times;serif" w:hAnsi="Times New Roman;Times;serif"/>
          <w:b w:val="false"/>
          <w:i w:val="false"/>
          <w:caps w:val="false"/>
          <w:smallCaps w:val="false"/>
          <w:sz w:val="22"/>
          <w:shd w:fill="FFFFFF" w:val="clear"/>
        </w:rPr>
        <w:t>98</w:t>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6480175" cy="175895"/>
                <wp:effectExtent l="0" t="0" r="0" b="0"/>
                <wp:wrapNone/>
                <wp:docPr id="569" name="Frame56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8.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5.18Use of Proceeds</w:t>
      </w:r>
      <w:r>
        <w:rPr>
          <w:rFonts w:ascii="Times New Roman;Times;serif" w:hAnsi="Times New Roman;Times;serif"/>
          <w:b w:val="false"/>
          <w:i w:val="false"/>
          <w:caps w:val="false"/>
          <w:smallCaps w:val="false"/>
          <w:sz w:val="22"/>
          <w:shd w:fill="FFFFFF" w:val="clear"/>
        </w:rPr>
        <w:t>99</w:t>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6480175" cy="175895"/>
                <wp:effectExtent l="0" t="0" r="0" b="0"/>
                <wp:wrapNone/>
                <wp:docPr id="570" name="Frame56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1.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5.19Corporate Names</w:t>
      </w:r>
      <w:r>
        <w:rPr>
          <w:rFonts w:ascii="Times New Roman;Times;serif" w:hAnsi="Times New Roman;Times;serif"/>
          <w:b w:val="false"/>
          <w:i w:val="false"/>
          <w:caps w:val="false"/>
          <w:smallCaps w:val="false"/>
          <w:sz w:val="22"/>
          <w:shd w:fill="FFFFFF" w:val="clear"/>
        </w:rPr>
        <w:t>99</w:t>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6480175" cy="175895"/>
                <wp:effectExtent l="0" t="0" r="0" b="0"/>
                <wp:wrapNone/>
                <wp:docPr id="571" name="Frame56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8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5.20Lease Rentals</w:t>
      </w:r>
      <w:r>
        <w:rPr>
          <w:rFonts w:ascii="Times New Roman;Times;serif" w:hAnsi="Times New Roman;Times;serif"/>
          <w:b w:val="false"/>
          <w:i w:val="false"/>
          <w:caps w:val="false"/>
          <w:smallCaps w:val="false"/>
          <w:sz w:val="22"/>
          <w:shd w:fill="FFFFFF" w:val="clear"/>
        </w:rPr>
        <w:t>99</w:t>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6480175" cy="175895"/>
                <wp:effectExtent l="0" t="0" r="0" b="0"/>
                <wp:wrapNone/>
                <wp:docPr id="572" name="Frame56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0.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5.21Subsidiary Guaranties, Security Documents and Pledge of Stock or Other Ownership Interest</w:t>
      </w:r>
      <w:r>
        <w:rPr>
          <w:rFonts w:ascii="Times New Roman;Times;serif" w:hAnsi="Times New Roman;Times;serif"/>
          <w:b w:val="false"/>
          <w:i w:val="false"/>
          <w:caps w:val="false"/>
          <w:smallCaps w:val="false"/>
          <w:sz w:val="22"/>
          <w:shd w:fill="FFFFFF" w:val="clear"/>
        </w:rPr>
        <w:t>99</w:t>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6480175" cy="175895"/>
                <wp:effectExtent l="0" t="0" r="0" b="0"/>
                <wp:wrapNone/>
                <wp:docPr id="573" name="Frame56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5.22Restrictive Agreements</w:t>
      </w:r>
      <w:r>
        <w:rPr>
          <w:rFonts w:ascii="Times New Roman;Times;serif" w:hAnsi="Times New Roman;Times;serif"/>
          <w:b w:val="false"/>
          <w:i w:val="false"/>
          <w:caps w:val="false"/>
          <w:smallCaps w:val="false"/>
          <w:sz w:val="22"/>
          <w:shd w:fill="FFFFFF" w:val="clear"/>
        </w:rPr>
        <w:t>101</w:t>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6480175" cy="175895"/>
                <wp:effectExtent l="0" t="0" r="0" b="0"/>
                <wp:wrapNone/>
                <wp:docPr id="574" name="Frame57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6.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5.23Pari Passu Ranking</w:t>
      </w:r>
      <w:r>
        <w:rPr>
          <w:rFonts w:ascii="Times New Roman;Times;serif" w:hAnsi="Times New Roman;Times;serif"/>
          <w:b w:val="false"/>
          <w:i w:val="false"/>
          <w:caps w:val="false"/>
          <w:smallCaps w:val="false"/>
          <w:sz w:val="22"/>
          <w:shd w:fill="FFFFFF" w:val="clear"/>
        </w:rPr>
        <w:t>102</w:t>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6480175" cy="175895"/>
                <wp:effectExtent l="0" t="0" r="0" b="0"/>
                <wp:wrapNone/>
                <wp:docPr id="575" name="Frame57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5.24Guaranty Under Material Indebtedness Agreement</w:t>
      </w:r>
      <w:r>
        <w:rPr>
          <w:rFonts w:ascii="Times New Roman;Times;serif" w:hAnsi="Times New Roman;Times;serif"/>
          <w:b w:val="false"/>
          <w:i w:val="false"/>
          <w:caps w:val="false"/>
          <w:smallCaps w:val="false"/>
          <w:sz w:val="22"/>
          <w:shd w:fill="FFFFFF" w:val="clear"/>
        </w:rPr>
        <w:t>102</w:t>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6480175" cy="175895"/>
                <wp:effectExtent l="0" t="0" r="0" b="0"/>
                <wp:wrapNone/>
                <wp:docPr id="576" name="Frame57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86.9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5.25Amendment of Organizational Documents</w:t>
      </w:r>
      <w:r>
        <w:rPr>
          <w:rFonts w:ascii="Times New Roman;Times;serif" w:hAnsi="Times New Roman;Times;serif"/>
          <w:b w:val="false"/>
          <w:i w:val="false"/>
          <w:caps w:val="false"/>
          <w:smallCaps w:val="false"/>
          <w:sz w:val="22"/>
          <w:shd w:fill="FFFFFF" w:val="clear"/>
        </w:rPr>
        <w:t>102</w:t>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6480175" cy="175895"/>
                <wp:effectExtent l="0" t="0" r="0" b="0"/>
                <wp:wrapNone/>
                <wp:docPr id="577" name="Frame57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47.9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5.26Fiscal Year of Borrowers</w:t>
      </w:r>
      <w:r>
        <w:rPr>
          <w:rFonts w:ascii="Times New Roman;Times;serif" w:hAnsi="Times New Roman;Times;serif"/>
          <w:b w:val="false"/>
          <w:i w:val="false"/>
          <w:caps w:val="false"/>
          <w:smallCaps w:val="false"/>
          <w:sz w:val="22"/>
          <w:shd w:fill="FFFFFF" w:val="clear"/>
        </w:rPr>
        <w:t>102</w:t>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6480175" cy="175895"/>
                <wp:effectExtent l="0" t="0" r="0" b="0"/>
                <wp:wrapNone/>
                <wp:docPr id="578" name="Frame57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5.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5.27Further Assurances</w:t>
      </w:r>
      <w:r>
        <w:rPr>
          <w:rFonts w:ascii="Times New Roman;Times;serif" w:hAnsi="Times New Roman;Times;serif"/>
          <w:b w:val="false"/>
          <w:i w:val="false"/>
          <w:caps w:val="false"/>
          <w:smallCaps w:val="false"/>
          <w:sz w:val="22"/>
          <w:shd w:fill="FFFFFF" w:val="clear"/>
        </w:rPr>
        <w:t>102</w:t>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6480175" cy="175895"/>
                <wp:effectExtent l="0" t="0" r="0" b="0"/>
                <wp:wrapNone/>
                <wp:docPr id="579" name="Frame57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6.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ii</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5.28Anti-Corruption Laws; Beneficial Ownership Regulation, Anti-Money Laundering Laws and Sanctions</w:t>
      </w:r>
      <w:r>
        <w:rPr>
          <w:rFonts w:ascii="Times New Roman;Times;serif" w:hAnsi="Times New Roman;Times;serif"/>
          <w:b w:val="false"/>
          <w:i w:val="false"/>
          <w:caps w:val="false"/>
          <w:smallCaps w:val="false"/>
          <w:sz w:val="22"/>
          <w:shd w:fill="FFFFFF" w:val="clear"/>
        </w:rPr>
        <w:t>102</w:t>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6480175" cy="175895"/>
                <wp:effectExtent l="0" t="0" r="0" b="0"/>
                <wp:wrapNone/>
                <wp:docPr id="580" name="Frame57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50.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85" w:before="0" w:after="100"/>
        <w:ind w:left="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ARTICLE VI. REPRESENTATIONS AND WARRANTIES</w:t>
      </w:r>
      <w:r>
        <w:rPr>
          <w:rFonts w:ascii="Times New Roman;Times;serif" w:hAnsi="Times New Roman;Times;serif"/>
          <w:b w:val="false"/>
          <w:i w:val="false"/>
          <w:caps w:val="false"/>
          <w:smallCaps w:val="false"/>
          <w:sz w:val="22"/>
          <w:shd w:fill="FFFFFF" w:val="clear"/>
        </w:rPr>
        <w:t>105</w:t>
      </w:r>
      <w:r>
        <mc:AlternateContent>
          <mc:Choice Requires="wps">
            <w:drawing>
              <wp:anchor behindDoc="0" distT="0" distB="0" distL="0" distR="0" simplePos="0" locked="0" layoutInCell="1" allowOverlap="1" relativeHeight="580">
                <wp:simplePos x="0" y="0"/>
                <wp:positionH relativeFrom="page">
                  <wp:posOffset>0</wp:posOffset>
                </wp:positionH>
                <wp:positionV relativeFrom="line">
                  <wp:posOffset>635</wp:posOffset>
                </wp:positionV>
                <wp:extent cx="6480175" cy="175895"/>
                <wp:effectExtent l="0" t="0" r="0" b="0"/>
                <wp:wrapNone/>
                <wp:docPr id="581" name="Frame57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6.1Corporate Existence; Subsidiaries; Foreign Qualification</w:t>
      </w:r>
      <w:r>
        <w:rPr>
          <w:rFonts w:ascii="Times New Roman;Times;serif" w:hAnsi="Times New Roman;Times;serif"/>
          <w:b w:val="false"/>
          <w:i w:val="false"/>
          <w:caps w:val="false"/>
          <w:smallCaps w:val="false"/>
          <w:sz w:val="22"/>
          <w:shd w:fill="FFFFFF" w:val="clear"/>
        </w:rPr>
        <w:t>105</w:t>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6480175" cy="175895"/>
                <wp:effectExtent l="0" t="0" r="0" b="0"/>
                <wp:wrapNone/>
                <wp:docPr id="582" name="Frame57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10.3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6.2Corporate Authority</w:t>
      </w:r>
      <w:r>
        <w:rPr>
          <w:rFonts w:ascii="Times New Roman;Times;serif" w:hAnsi="Times New Roman;Times;serif"/>
          <w:b w:val="false"/>
          <w:i w:val="false"/>
          <w:caps w:val="false"/>
          <w:smallCaps w:val="false"/>
          <w:sz w:val="22"/>
          <w:shd w:fill="FFFFFF" w:val="clear"/>
        </w:rPr>
        <w:t>105</w:t>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6480175" cy="175895"/>
                <wp:effectExtent l="0" t="0" r="0" b="0"/>
                <wp:wrapNone/>
                <wp:docPr id="583" name="Frame57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5.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6.3Compliance with Laws and Contracts</w:t>
      </w:r>
      <w:r>
        <w:rPr>
          <w:rFonts w:ascii="Times New Roman;Times;serif" w:hAnsi="Times New Roman;Times;serif"/>
          <w:b w:val="false"/>
          <w:i w:val="false"/>
          <w:caps w:val="false"/>
          <w:smallCaps w:val="false"/>
          <w:sz w:val="22"/>
          <w:shd w:fill="FFFFFF" w:val="clear"/>
        </w:rPr>
        <w:t>105</w:t>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6480175" cy="175895"/>
                <wp:effectExtent l="0" t="0" r="0" b="0"/>
                <wp:wrapNone/>
                <wp:docPr id="584" name="Frame58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18.3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6.4Litigation and Administrative Proceedings</w:t>
      </w:r>
      <w:r>
        <w:rPr>
          <w:rFonts w:ascii="Times New Roman;Times;serif" w:hAnsi="Times New Roman;Times;serif"/>
          <w:b w:val="false"/>
          <w:i w:val="false"/>
          <w:caps w:val="false"/>
          <w:smallCaps w:val="false"/>
          <w:sz w:val="22"/>
          <w:shd w:fill="FFFFFF" w:val="clear"/>
        </w:rPr>
        <w:t>106</w:t>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6480175" cy="175895"/>
                <wp:effectExtent l="0" t="0" r="0" b="0"/>
                <wp:wrapNone/>
                <wp:docPr id="585" name="Frame58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42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6.5Title to Assets</w:t>
      </w:r>
      <w:r>
        <w:rPr>
          <w:rFonts w:ascii="Times New Roman;Times;serif" w:hAnsi="Times New Roman;Times;serif"/>
          <w:b w:val="false"/>
          <w:i w:val="false"/>
          <w:caps w:val="false"/>
          <w:smallCaps w:val="false"/>
          <w:sz w:val="22"/>
          <w:shd w:fill="FFFFFF" w:val="clear"/>
        </w:rPr>
        <w:t>106</w:t>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6480175" cy="175895"/>
                <wp:effectExtent l="0" t="0" r="0" b="0"/>
                <wp:wrapNone/>
                <wp:docPr id="586" name="Frame58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6.6Liens and Security Interests</w:t>
      </w:r>
      <w:r>
        <w:rPr>
          <w:rFonts w:ascii="Times New Roman;Times;serif" w:hAnsi="Times New Roman;Times;serif"/>
          <w:b w:val="false"/>
          <w:i w:val="false"/>
          <w:caps w:val="false"/>
          <w:smallCaps w:val="false"/>
          <w:sz w:val="22"/>
          <w:shd w:fill="FFFFFF" w:val="clear"/>
        </w:rPr>
        <w:t>106</w:t>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6480175" cy="175895"/>
                <wp:effectExtent l="0" t="0" r="0" b="0"/>
                <wp:wrapNone/>
                <wp:docPr id="587" name="Frame58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1.3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6.7Tax Returns</w:t>
      </w:r>
      <w:r>
        <w:rPr>
          <w:rFonts w:ascii="Times New Roman;Times;serif" w:hAnsi="Times New Roman;Times;serif"/>
          <w:b w:val="false"/>
          <w:i w:val="false"/>
          <w:caps w:val="false"/>
          <w:smallCaps w:val="false"/>
          <w:sz w:val="22"/>
          <w:shd w:fill="FFFFFF" w:val="clear"/>
        </w:rPr>
        <w:t>107</w:t>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6480175" cy="175895"/>
                <wp:effectExtent l="0" t="0" r="0" b="0"/>
                <wp:wrapNone/>
                <wp:docPr id="588" name="Frame58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96.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6.8Environmental Laws</w:t>
      </w:r>
      <w:r>
        <w:rPr>
          <w:rFonts w:ascii="Times New Roman;Times;serif" w:hAnsi="Times New Roman;Times;serif"/>
          <w:b w:val="false"/>
          <w:i w:val="false"/>
          <w:caps w:val="false"/>
          <w:smallCaps w:val="false"/>
          <w:sz w:val="22"/>
          <w:shd w:fill="FFFFFF" w:val="clear"/>
        </w:rPr>
        <w:t>107</w:t>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6480175" cy="175895"/>
                <wp:effectExtent l="0" t="0" r="0" b="0"/>
                <wp:wrapNone/>
                <wp:docPr id="589" name="Frame58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8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6.9Locations</w:t>
      </w:r>
      <w:r>
        <w:rPr>
          <w:rFonts w:ascii="Times New Roman;Times;serif" w:hAnsi="Times New Roman;Times;serif"/>
          <w:b w:val="false"/>
          <w:i w:val="false"/>
          <w:caps w:val="false"/>
          <w:smallCaps w:val="false"/>
          <w:sz w:val="22"/>
          <w:shd w:fill="FFFFFF" w:val="clear"/>
        </w:rPr>
        <w:t>107</w:t>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6480175" cy="175895"/>
                <wp:effectExtent l="0" t="0" r="0" b="0"/>
                <wp:wrapNone/>
                <wp:docPr id="590" name="Frame58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8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6.10Continued Business</w:t>
      </w:r>
      <w:r>
        <w:rPr>
          <w:rFonts w:ascii="Times New Roman;Times;serif" w:hAnsi="Times New Roman;Times;serif"/>
          <w:b w:val="false"/>
          <w:i w:val="false"/>
          <w:caps w:val="false"/>
          <w:smallCaps w:val="false"/>
          <w:sz w:val="22"/>
          <w:shd w:fill="FFFFFF" w:val="clear"/>
        </w:rPr>
        <w:t>107</w:t>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6480175" cy="175895"/>
                <wp:effectExtent l="0" t="0" r="0" b="0"/>
                <wp:wrapNone/>
                <wp:docPr id="591" name="Frame58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9.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6.11Employee Benefits Plans</w:t>
      </w:r>
      <w:r>
        <w:rPr>
          <w:rFonts w:ascii="Times New Roman;Times;serif" w:hAnsi="Times New Roman;Times;serif"/>
          <w:b w:val="false"/>
          <w:i w:val="false"/>
          <w:caps w:val="false"/>
          <w:smallCaps w:val="false"/>
          <w:sz w:val="22"/>
          <w:shd w:fill="FFFFFF" w:val="clear"/>
        </w:rPr>
        <w:t>107</w:t>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6480175" cy="175895"/>
                <wp:effectExtent l="0" t="0" r="0" b="0"/>
                <wp:wrapNone/>
                <wp:docPr id="592" name="Frame58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4.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6.12Consents or Approvals</w:t>
      </w:r>
      <w:r>
        <w:rPr>
          <w:rFonts w:ascii="Times New Roman;Times;serif" w:hAnsi="Times New Roman;Times;serif"/>
          <w:b w:val="false"/>
          <w:i w:val="false"/>
          <w:caps w:val="false"/>
          <w:smallCaps w:val="false"/>
          <w:sz w:val="22"/>
          <w:shd w:fill="FFFFFF" w:val="clear"/>
        </w:rPr>
        <w:t>108</w:t>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6480175" cy="175895"/>
                <wp:effectExtent l="0" t="0" r="0" b="0"/>
                <wp:wrapNone/>
                <wp:docPr id="593" name="Frame58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3.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6.13Solvency</w:t>
      </w:r>
      <w:r>
        <w:rPr>
          <w:rFonts w:ascii="Times New Roman;Times;serif" w:hAnsi="Times New Roman;Times;serif"/>
          <w:b w:val="false"/>
          <w:i w:val="false"/>
          <w:caps w:val="false"/>
          <w:smallCaps w:val="false"/>
          <w:sz w:val="22"/>
          <w:shd w:fill="FFFFFF" w:val="clear"/>
        </w:rPr>
        <w:t>109</w:t>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6480175" cy="175895"/>
                <wp:effectExtent l="0" t="0" r="0" b="0"/>
                <wp:wrapNone/>
                <wp:docPr id="594" name="Frame59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88.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6.14Financial Statements</w:t>
      </w:r>
      <w:r>
        <w:rPr>
          <w:rFonts w:ascii="Times New Roman;Times;serif" w:hAnsi="Times New Roman;Times;serif"/>
          <w:b w:val="false"/>
          <w:i w:val="false"/>
          <w:caps w:val="false"/>
          <w:smallCaps w:val="false"/>
          <w:sz w:val="22"/>
          <w:shd w:fill="FFFFFF" w:val="clear"/>
        </w:rPr>
        <w:t>109</w:t>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6480175" cy="175895"/>
                <wp:effectExtent l="0" t="0" r="0" b="0"/>
                <wp:wrapNone/>
                <wp:docPr id="595" name="Frame59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6.15Regulations</w:t>
      </w:r>
      <w:r>
        <w:rPr>
          <w:rFonts w:ascii="Times New Roman;Times;serif" w:hAnsi="Times New Roman;Times;serif"/>
          <w:b w:val="false"/>
          <w:i w:val="false"/>
          <w:caps w:val="false"/>
          <w:smallCaps w:val="false"/>
          <w:sz w:val="22"/>
          <w:shd w:fill="FFFFFF" w:val="clear"/>
        </w:rPr>
        <w:t>109</w:t>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6480175" cy="175895"/>
                <wp:effectExtent l="0" t="0" r="0" b="0"/>
                <wp:wrapNone/>
                <wp:docPr id="596" name="Frame59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6.16Material Agreements</w:t>
      </w:r>
      <w:r>
        <w:rPr>
          <w:rFonts w:ascii="Times New Roman;Times;serif" w:hAnsi="Times New Roman;Times;serif"/>
          <w:b w:val="false"/>
          <w:i w:val="false"/>
          <w:caps w:val="false"/>
          <w:smallCaps w:val="false"/>
          <w:sz w:val="22"/>
          <w:shd w:fill="FFFFFF" w:val="clear"/>
        </w:rPr>
        <w:t>109</w:t>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6480175" cy="175895"/>
                <wp:effectExtent l="0" t="0" r="0" b="0"/>
                <wp:wrapNone/>
                <wp:docPr id="597" name="Frame59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5.3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6.17Intellectual Property</w:t>
      </w:r>
      <w:r>
        <w:rPr>
          <w:rFonts w:ascii="Times New Roman;Times;serif" w:hAnsi="Times New Roman;Times;serif"/>
          <w:b w:val="false"/>
          <w:i w:val="false"/>
          <w:caps w:val="false"/>
          <w:smallCaps w:val="false"/>
          <w:sz w:val="22"/>
          <w:shd w:fill="FFFFFF" w:val="clear"/>
        </w:rPr>
        <w:t>110</w:t>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6480175" cy="175895"/>
                <wp:effectExtent l="0" t="0" r="0" b="0"/>
                <wp:wrapNone/>
                <wp:docPr id="598" name="Frame59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2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6.18Insurance</w:t>
      </w:r>
      <w:r>
        <w:rPr>
          <w:rFonts w:ascii="Times New Roman;Times;serif" w:hAnsi="Times New Roman;Times;serif"/>
          <w:b w:val="false"/>
          <w:i w:val="false"/>
          <w:caps w:val="false"/>
          <w:smallCaps w:val="false"/>
          <w:sz w:val="22"/>
          <w:shd w:fill="FFFFFF" w:val="clear"/>
        </w:rPr>
        <w:t>110</w:t>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6480175" cy="175895"/>
                <wp:effectExtent l="0" t="0" r="0" b="0"/>
                <wp:wrapNone/>
                <wp:docPr id="599" name="Frame59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90.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6.19Deposit and Securities Accounts</w:t>
      </w:r>
      <w:r>
        <w:rPr>
          <w:rFonts w:ascii="Times New Roman;Times;serif" w:hAnsi="Times New Roman;Times;serif"/>
          <w:b w:val="false"/>
          <w:i w:val="false"/>
          <w:caps w:val="false"/>
          <w:smallCaps w:val="false"/>
          <w:sz w:val="22"/>
          <w:shd w:fill="FFFFFF" w:val="clear"/>
        </w:rPr>
        <w:t>110</w:t>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6480175" cy="175895"/>
                <wp:effectExtent l="0" t="0" r="0" b="0"/>
                <wp:wrapNone/>
                <wp:docPr id="600" name="Frame59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00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6.20Accurate and Complete Statements</w:t>
      </w:r>
      <w:r>
        <w:rPr>
          <w:rFonts w:ascii="Times New Roman;Times;serif" w:hAnsi="Times New Roman;Times;serif"/>
          <w:b w:val="false"/>
          <w:i w:val="false"/>
          <w:caps w:val="false"/>
          <w:smallCaps w:val="false"/>
          <w:sz w:val="22"/>
          <w:shd w:fill="FFFFFF" w:val="clear"/>
        </w:rPr>
        <w:t>110</w:t>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6480175" cy="175895"/>
                <wp:effectExtent l="0" t="0" r="0" b="0"/>
                <wp:wrapNone/>
                <wp:docPr id="601" name="Frame59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12.6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6.21Investment Company; Other Restrictions</w:t>
      </w:r>
      <w:r>
        <w:rPr>
          <w:rFonts w:ascii="Times New Roman;Times;serif" w:hAnsi="Times New Roman;Times;serif"/>
          <w:b w:val="false"/>
          <w:i w:val="false"/>
          <w:caps w:val="false"/>
          <w:smallCaps w:val="false"/>
          <w:sz w:val="22"/>
          <w:shd w:fill="FFFFFF" w:val="clear"/>
        </w:rPr>
        <w:t>110</w:t>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6480175" cy="175895"/>
                <wp:effectExtent l="0" t="0" r="0" b="0"/>
                <wp:wrapNone/>
                <wp:docPr id="602" name="Frame59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40.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6.22Defaults</w:t>
      </w:r>
      <w:r>
        <w:rPr>
          <w:rFonts w:ascii="Times New Roman;Times;serif" w:hAnsi="Times New Roman;Times;serif"/>
          <w:b w:val="false"/>
          <w:i w:val="false"/>
          <w:caps w:val="false"/>
          <w:smallCaps w:val="false"/>
          <w:sz w:val="22"/>
          <w:shd w:fill="FFFFFF" w:val="clear"/>
        </w:rPr>
        <w:t>110</w:t>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6480175" cy="175895"/>
                <wp:effectExtent l="0" t="0" r="0" b="0"/>
                <wp:wrapNone/>
                <wp:docPr id="603" name="Frame59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84.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85" w:before="0" w:after="100"/>
        <w:ind w:left="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ARTICLE VII. EVENTS OF DEFAULT</w:t>
      </w:r>
      <w:r>
        <w:rPr>
          <w:rFonts w:ascii="Times New Roman;Times;serif" w:hAnsi="Times New Roman;Times;serif"/>
          <w:b w:val="false"/>
          <w:i w:val="false"/>
          <w:caps w:val="false"/>
          <w:smallCaps w:val="false"/>
          <w:sz w:val="22"/>
          <w:shd w:fill="FFFFFF" w:val="clear"/>
        </w:rPr>
        <w:t>110</w:t>
      </w:r>
      <w:r>
        <mc:AlternateContent>
          <mc:Choice Requires="wps">
            <w:drawing>
              <wp:anchor behindDoc="0" distT="0" distB="0" distL="0" distR="0" simplePos="0" locked="0" layoutInCell="1" allowOverlap="1" relativeHeight="603">
                <wp:simplePos x="0" y="0"/>
                <wp:positionH relativeFrom="page">
                  <wp:posOffset>0</wp:posOffset>
                </wp:positionH>
                <wp:positionV relativeFrom="line">
                  <wp:posOffset>635</wp:posOffset>
                </wp:positionV>
                <wp:extent cx="6480175" cy="175895"/>
                <wp:effectExtent l="0" t="0" r="0" b="0"/>
                <wp:wrapNone/>
                <wp:docPr id="604" name="Frame60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7.1Payments</w:t>
      </w:r>
      <w:r>
        <w:rPr>
          <w:rFonts w:ascii="Times New Roman;Times;serif" w:hAnsi="Times New Roman;Times;serif"/>
          <w:b w:val="false"/>
          <w:i w:val="false"/>
          <w:caps w:val="false"/>
          <w:smallCaps w:val="false"/>
          <w:sz w:val="22"/>
          <w:shd w:fill="FFFFFF" w:val="clear"/>
        </w:rPr>
        <w:t>110</w:t>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6480175" cy="175895"/>
                <wp:effectExtent l="0" t="0" r="0" b="0"/>
                <wp:wrapNone/>
                <wp:docPr id="605" name="Frame60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84.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7.2Special Covenants</w:t>
      </w:r>
      <w:r>
        <w:rPr>
          <w:rFonts w:ascii="Times New Roman;Times;serif" w:hAnsi="Times New Roman;Times;serif"/>
          <w:b w:val="false"/>
          <w:i w:val="false"/>
          <w:caps w:val="false"/>
          <w:smallCaps w:val="false"/>
          <w:sz w:val="22"/>
          <w:shd w:fill="FFFFFF" w:val="clear"/>
        </w:rPr>
        <w:t>110</w:t>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6480175" cy="175895"/>
                <wp:effectExtent l="0" t="0" r="0" b="0"/>
                <wp:wrapNone/>
                <wp:docPr id="606" name="Frame60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6.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7.3Other Covenants</w:t>
      </w:r>
      <w:r>
        <w:rPr>
          <w:rFonts w:ascii="Times New Roman;Times;serif" w:hAnsi="Times New Roman;Times;serif"/>
          <w:b w:val="false"/>
          <w:i w:val="false"/>
          <w:caps w:val="false"/>
          <w:smallCaps w:val="false"/>
          <w:sz w:val="22"/>
          <w:shd w:fill="FFFFFF" w:val="clear"/>
        </w:rPr>
        <w:t>111</w:t>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6480175" cy="175895"/>
                <wp:effectExtent l="0" t="0" r="0" b="0"/>
                <wp:wrapNone/>
                <wp:docPr id="607" name="Frame60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8.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7.4Representations and Warranties</w:t>
      </w:r>
      <w:r>
        <w:rPr>
          <w:rFonts w:ascii="Times New Roman;Times;serif" w:hAnsi="Times New Roman;Times;serif"/>
          <w:b w:val="false"/>
          <w:i w:val="false"/>
          <w:caps w:val="false"/>
          <w:smallCaps w:val="false"/>
          <w:sz w:val="22"/>
          <w:shd w:fill="FFFFFF" w:val="clear"/>
        </w:rPr>
        <w:t>111</w:t>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6480175" cy="175895"/>
                <wp:effectExtent l="0" t="0" r="0" b="0"/>
                <wp:wrapNone/>
                <wp:docPr id="608" name="Frame60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0.3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7.5Cross Default</w:t>
      </w:r>
      <w:r>
        <w:rPr>
          <w:rFonts w:ascii="Times New Roman;Times;serif" w:hAnsi="Times New Roman;Times;serif"/>
          <w:b w:val="false"/>
          <w:i w:val="false"/>
          <w:caps w:val="false"/>
          <w:smallCaps w:val="false"/>
          <w:sz w:val="22"/>
          <w:shd w:fill="FFFFFF" w:val="clear"/>
        </w:rPr>
        <w:t>111</w:t>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6480175" cy="175895"/>
                <wp:effectExtent l="0" t="0" r="0" b="0"/>
                <wp:wrapNone/>
                <wp:docPr id="609" name="Frame60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7.6ERISA Default</w:t>
      </w:r>
      <w:r>
        <w:rPr>
          <w:rFonts w:ascii="Times New Roman;Times;serif" w:hAnsi="Times New Roman;Times;serif"/>
          <w:b w:val="false"/>
          <w:i w:val="false"/>
          <w:caps w:val="false"/>
          <w:smallCaps w:val="false"/>
          <w:sz w:val="22"/>
          <w:shd w:fill="FFFFFF" w:val="clear"/>
        </w:rPr>
        <w:t>111</w:t>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6480175" cy="175895"/>
                <wp:effectExtent l="0" t="0" r="0" b="0"/>
                <wp:wrapNone/>
                <wp:docPr id="610" name="Frame60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1.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7.7Change in Control</w:t>
      </w:r>
      <w:r>
        <w:rPr>
          <w:rFonts w:ascii="Times New Roman;Times;serif" w:hAnsi="Times New Roman;Times;serif"/>
          <w:b w:val="false"/>
          <w:i w:val="false"/>
          <w:caps w:val="false"/>
          <w:smallCaps w:val="false"/>
          <w:sz w:val="22"/>
          <w:shd w:fill="FFFFFF" w:val="clear"/>
        </w:rPr>
        <w:t>111</w:t>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6480175" cy="175895"/>
                <wp:effectExtent l="0" t="0" r="0" b="0"/>
                <wp:wrapNone/>
                <wp:docPr id="611" name="Frame60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6.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7.8Judgments</w:t>
      </w:r>
      <w:r>
        <w:rPr>
          <w:rFonts w:ascii="Times New Roman;Times;serif" w:hAnsi="Times New Roman;Times;serif"/>
          <w:b w:val="false"/>
          <w:i w:val="false"/>
          <w:caps w:val="false"/>
          <w:smallCaps w:val="false"/>
          <w:sz w:val="22"/>
          <w:shd w:fill="FFFFFF" w:val="clear"/>
        </w:rPr>
        <w:t>111</w:t>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6480175" cy="175895"/>
                <wp:effectExtent l="0" t="0" r="0" b="0"/>
                <wp:wrapNone/>
                <wp:docPr id="612" name="Frame60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89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7.9Security</w:t>
      </w:r>
      <w:r>
        <w:rPr>
          <w:rFonts w:ascii="Times New Roman;Times;serif" w:hAnsi="Times New Roman;Times;serif"/>
          <w:b w:val="false"/>
          <w:i w:val="false"/>
          <w:caps w:val="false"/>
          <w:smallCaps w:val="false"/>
          <w:sz w:val="22"/>
          <w:shd w:fill="FFFFFF" w:val="clear"/>
        </w:rPr>
        <w:t>111</w:t>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6480175" cy="175895"/>
                <wp:effectExtent l="0" t="0" r="0" b="0"/>
                <wp:wrapNone/>
                <wp:docPr id="613" name="Frame60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77.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iii</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7.10Validity of Loan Documents</w:t>
      </w:r>
      <w:r>
        <w:rPr>
          <w:rFonts w:ascii="Times New Roman;Times;serif" w:hAnsi="Times New Roman;Times;serif"/>
          <w:b w:val="false"/>
          <w:i w:val="false"/>
          <w:caps w:val="false"/>
          <w:smallCaps w:val="false"/>
          <w:sz w:val="22"/>
          <w:shd w:fill="FFFFFF" w:val="clear"/>
        </w:rPr>
        <w:t>112</w:t>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6480175" cy="175895"/>
                <wp:effectExtent l="0" t="0" r="0" b="0"/>
                <wp:wrapNone/>
                <wp:docPr id="614" name="Frame61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1.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7.11Insolvency Events</w:t>
      </w:r>
      <w:r>
        <w:rPr>
          <w:rFonts w:ascii="Times New Roman;Times;serif" w:hAnsi="Times New Roman;Times;serif"/>
          <w:b w:val="false"/>
          <w:i w:val="false"/>
          <w:caps w:val="false"/>
          <w:smallCaps w:val="false"/>
          <w:sz w:val="22"/>
          <w:shd w:fill="FFFFFF" w:val="clear"/>
        </w:rPr>
        <w:t>112</w:t>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6480175" cy="175895"/>
                <wp:effectExtent l="0" t="0" r="0" b="0"/>
                <wp:wrapNone/>
                <wp:docPr id="615" name="Frame61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2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85" w:before="0" w:after="100"/>
        <w:ind w:left="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ARTICLE VIII. REMEDIES UPON DEFAULT</w:t>
      </w:r>
      <w:r>
        <w:rPr>
          <w:rFonts w:ascii="Times New Roman;Times;serif" w:hAnsi="Times New Roman;Times;serif"/>
          <w:b w:val="false"/>
          <w:i w:val="false"/>
          <w:caps w:val="false"/>
          <w:smallCaps w:val="false"/>
          <w:sz w:val="22"/>
          <w:shd w:fill="FFFFFF" w:val="clear"/>
        </w:rPr>
        <w:t>113</w:t>
      </w:r>
      <w:r>
        <mc:AlternateContent>
          <mc:Choice Requires="wps">
            <w:drawing>
              <wp:anchor behindDoc="0" distT="0" distB="0" distL="0" distR="0" simplePos="0" locked="0" layoutInCell="1" allowOverlap="1" relativeHeight="615">
                <wp:simplePos x="0" y="0"/>
                <wp:positionH relativeFrom="page">
                  <wp:posOffset>0</wp:posOffset>
                </wp:positionH>
                <wp:positionV relativeFrom="line">
                  <wp:posOffset>635</wp:posOffset>
                </wp:positionV>
                <wp:extent cx="6480175" cy="175895"/>
                <wp:effectExtent l="0" t="0" r="0" b="0"/>
                <wp:wrapNone/>
                <wp:docPr id="616" name="Frame61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8.1Optional Defaults</w:t>
      </w:r>
      <w:r>
        <w:rPr>
          <w:rFonts w:ascii="Times New Roman;Times;serif" w:hAnsi="Times New Roman;Times;serif"/>
          <w:b w:val="false"/>
          <w:i w:val="false"/>
          <w:caps w:val="false"/>
          <w:smallCaps w:val="false"/>
          <w:sz w:val="22"/>
          <w:shd w:fill="FFFFFF" w:val="clear"/>
        </w:rPr>
        <w:t>113</w:t>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6480175" cy="175895"/>
                <wp:effectExtent l="0" t="0" r="0" b="0"/>
                <wp:wrapNone/>
                <wp:docPr id="617" name="Frame61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3.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8.2Automatic Defaults</w:t>
      </w:r>
      <w:r>
        <w:rPr>
          <w:rFonts w:ascii="Times New Roman;Times;serif" w:hAnsi="Times New Roman;Times;serif"/>
          <w:b w:val="false"/>
          <w:i w:val="false"/>
          <w:caps w:val="false"/>
          <w:smallCaps w:val="false"/>
          <w:sz w:val="22"/>
          <w:shd w:fill="FFFFFF" w:val="clear"/>
        </w:rPr>
        <w:t>113</w:t>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6480175" cy="175895"/>
                <wp:effectExtent l="0" t="0" r="0" b="0"/>
                <wp:wrapNone/>
                <wp:docPr id="618" name="Frame61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2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8.3Letters of Credit</w:t>
      </w:r>
      <w:r>
        <w:rPr>
          <w:rFonts w:ascii="Times New Roman;Times;serif" w:hAnsi="Times New Roman;Times;serif"/>
          <w:b w:val="false"/>
          <w:i w:val="false"/>
          <w:caps w:val="false"/>
          <w:smallCaps w:val="false"/>
          <w:sz w:val="22"/>
          <w:shd w:fill="FFFFFF" w:val="clear"/>
        </w:rPr>
        <w:t>113</w:t>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6480175" cy="175895"/>
                <wp:effectExtent l="0" t="0" r="0" b="0"/>
                <wp:wrapNone/>
                <wp:docPr id="619" name="Frame61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8.4Offsets</w:t>
      </w:r>
      <w:r>
        <w:rPr>
          <w:rFonts w:ascii="Times New Roman;Times;serif" w:hAnsi="Times New Roman;Times;serif"/>
          <w:b w:val="false"/>
          <w:i w:val="false"/>
          <w:caps w:val="false"/>
          <w:smallCaps w:val="false"/>
          <w:sz w:val="22"/>
          <w:shd w:fill="FFFFFF" w:val="clear"/>
        </w:rPr>
        <w:t>113</w:t>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6480175" cy="175895"/>
                <wp:effectExtent l="0" t="0" r="0" b="0"/>
                <wp:wrapNone/>
                <wp:docPr id="620" name="Frame61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72.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8.5Equalization Provisions</w:t>
      </w:r>
      <w:r>
        <w:rPr>
          <w:rFonts w:ascii="Times New Roman;Times;serif" w:hAnsi="Times New Roman;Times;serif"/>
          <w:b w:val="false"/>
          <w:i w:val="false"/>
          <w:caps w:val="false"/>
          <w:smallCaps w:val="false"/>
          <w:sz w:val="22"/>
          <w:shd w:fill="FFFFFF" w:val="clear"/>
        </w:rPr>
        <w:t>114</w:t>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6480175" cy="175895"/>
                <wp:effectExtent l="0" t="0" r="0" b="0"/>
                <wp:wrapNone/>
                <wp:docPr id="621" name="Frame61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2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8.6Other Remedies</w:t>
      </w:r>
      <w:r>
        <w:rPr>
          <w:rFonts w:ascii="Times New Roman;Times;serif" w:hAnsi="Times New Roman;Times;serif"/>
          <w:b w:val="false"/>
          <w:i w:val="false"/>
          <w:caps w:val="false"/>
          <w:smallCaps w:val="false"/>
          <w:sz w:val="22"/>
          <w:shd w:fill="FFFFFF" w:val="clear"/>
        </w:rPr>
        <w:t>114</w:t>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6480175" cy="175895"/>
                <wp:effectExtent l="0" t="0" r="0" b="0"/>
                <wp:wrapNone/>
                <wp:docPr id="622" name="Frame61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5.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8.7Application of Proceeds</w:t>
      </w:r>
      <w:r>
        <w:rPr>
          <w:rFonts w:ascii="Times New Roman;Times;serif" w:hAnsi="Times New Roman;Times;serif"/>
          <w:b w:val="false"/>
          <w:i w:val="false"/>
          <w:caps w:val="false"/>
          <w:smallCaps w:val="false"/>
          <w:sz w:val="22"/>
          <w:shd w:fill="FFFFFF" w:val="clear"/>
        </w:rPr>
        <w:t>115</w:t>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6480175" cy="175895"/>
                <wp:effectExtent l="0" t="0" r="0" b="0"/>
                <wp:wrapNone/>
                <wp:docPr id="623" name="Frame61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3.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85" w:before="0" w:after="100"/>
        <w:ind w:left="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ARTICLE IX. THE AGENT</w:t>
      </w:r>
      <w:r>
        <w:rPr>
          <w:rFonts w:ascii="Times New Roman;Times;serif" w:hAnsi="Times New Roman;Times;serif"/>
          <w:b w:val="false"/>
          <w:i w:val="false"/>
          <w:caps w:val="false"/>
          <w:smallCaps w:val="false"/>
          <w:sz w:val="22"/>
          <w:shd w:fill="FFFFFF" w:val="clear"/>
        </w:rPr>
        <w:t>116</w:t>
      </w:r>
      <w:r>
        <mc:AlternateContent>
          <mc:Choice Requires="wps">
            <w:drawing>
              <wp:anchor behindDoc="0" distT="0" distB="0" distL="0" distR="0" simplePos="0" locked="0" layoutInCell="1" allowOverlap="1" relativeHeight="623">
                <wp:simplePos x="0" y="0"/>
                <wp:positionH relativeFrom="page">
                  <wp:posOffset>0</wp:posOffset>
                </wp:positionH>
                <wp:positionV relativeFrom="line">
                  <wp:posOffset>635</wp:posOffset>
                </wp:positionV>
                <wp:extent cx="6480175" cy="175895"/>
                <wp:effectExtent l="0" t="0" r="0" b="0"/>
                <wp:wrapNone/>
                <wp:docPr id="624" name="Frame62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9.1Appointment and Authorization</w:t>
      </w:r>
      <w:r>
        <w:rPr>
          <w:rFonts w:ascii="Times New Roman;Times;serif" w:hAnsi="Times New Roman;Times;serif"/>
          <w:b w:val="false"/>
          <w:i w:val="false"/>
          <w:caps w:val="false"/>
          <w:smallCaps w:val="false"/>
          <w:sz w:val="22"/>
          <w:shd w:fill="FFFFFF" w:val="clear"/>
        </w:rPr>
        <w:t>116</w:t>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6480175" cy="175895"/>
                <wp:effectExtent l="0" t="0" r="0" b="0"/>
                <wp:wrapNone/>
                <wp:docPr id="625" name="Frame62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9.2Note Holders</w:t>
      </w:r>
      <w:r>
        <w:rPr>
          <w:rFonts w:ascii="Times New Roman;Times;serif" w:hAnsi="Times New Roman;Times;serif"/>
          <w:b w:val="false"/>
          <w:i w:val="false"/>
          <w:caps w:val="false"/>
          <w:smallCaps w:val="false"/>
          <w:sz w:val="22"/>
          <w:shd w:fill="FFFFFF" w:val="clear"/>
        </w:rPr>
        <w:t>116</w:t>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6480175" cy="175895"/>
                <wp:effectExtent l="0" t="0" r="0" b="0"/>
                <wp:wrapNone/>
                <wp:docPr id="626" name="Frame62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2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9.3Consultation With Counsel</w:t>
      </w:r>
      <w:r>
        <w:rPr>
          <w:rFonts w:ascii="Times New Roman;Times;serif" w:hAnsi="Times New Roman;Times;serif"/>
          <w:b w:val="false"/>
          <w:i w:val="false"/>
          <w:caps w:val="false"/>
          <w:smallCaps w:val="false"/>
          <w:sz w:val="22"/>
          <w:shd w:fill="FFFFFF" w:val="clear"/>
        </w:rPr>
        <w:t>116</w:t>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6480175" cy="175895"/>
                <wp:effectExtent l="0" t="0" r="0" b="0"/>
                <wp:wrapNone/>
                <wp:docPr id="627" name="Frame62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8.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9.4Documents</w:t>
      </w:r>
      <w:r>
        <w:rPr>
          <w:rFonts w:ascii="Times New Roman;Times;serif" w:hAnsi="Times New Roman;Times;serif"/>
          <w:b w:val="false"/>
          <w:i w:val="false"/>
          <w:caps w:val="false"/>
          <w:smallCaps w:val="false"/>
          <w:sz w:val="22"/>
          <w:shd w:fill="FFFFFF" w:val="clear"/>
        </w:rPr>
        <w:t>116</w:t>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6480175" cy="175895"/>
                <wp:effectExtent l="0" t="0" r="0" b="0"/>
                <wp:wrapNone/>
                <wp:docPr id="628" name="Frame62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92.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9.5Agent and Affiliates</w:t>
      </w:r>
      <w:r>
        <w:rPr>
          <w:rFonts w:ascii="Times New Roman;Times;serif" w:hAnsi="Times New Roman;Times;serif"/>
          <w:b w:val="false"/>
          <w:i w:val="false"/>
          <w:caps w:val="false"/>
          <w:smallCaps w:val="false"/>
          <w:sz w:val="22"/>
          <w:shd w:fill="FFFFFF" w:val="clear"/>
        </w:rPr>
        <w:t>117</w:t>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6480175" cy="175895"/>
                <wp:effectExtent l="0" t="0" r="0" b="0"/>
                <wp:wrapNone/>
                <wp:docPr id="629" name="Frame62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5.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9.6Knowledge or Notice of Default</w:t>
      </w:r>
      <w:r>
        <w:rPr>
          <w:rFonts w:ascii="Times New Roman;Times;serif" w:hAnsi="Times New Roman;Times;serif"/>
          <w:b w:val="false"/>
          <w:i w:val="false"/>
          <w:caps w:val="false"/>
          <w:smallCaps w:val="false"/>
          <w:sz w:val="22"/>
          <w:shd w:fill="FFFFFF" w:val="clear"/>
        </w:rPr>
        <w:t>117</w:t>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6480175" cy="175895"/>
                <wp:effectExtent l="0" t="0" r="0" b="0"/>
                <wp:wrapNone/>
                <wp:docPr id="630" name="Frame62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3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9.7Action by Agent</w:t>
      </w:r>
      <w:r>
        <w:rPr>
          <w:rFonts w:ascii="Times New Roman;Times;serif" w:hAnsi="Times New Roman;Times;serif"/>
          <w:b w:val="false"/>
          <w:i w:val="false"/>
          <w:caps w:val="false"/>
          <w:smallCaps w:val="false"/>
          <w:sz w:val="22"/>
          <w:shd w:fill="FFFFFF" w:val="clear"/>
        </w:rPr>
        <w:t>117</w:t>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6480175" cy="175895"/>
                <wp:effectExtent l="0" t="0" r="0" b="0"/>
                <wp:wrapNone/>
                <wp:docPr id="631" name="Frame62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7.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9.8Release of Collateral or Guarantor of Payment</w:t>
      </w:r>
      <w:r>
        <w:rPr>
          <w:rFonts w:ascii="Times New Roman;Times;serif" w:hAnsi="Times New Roman;Times;serif"/>
          <w:b w:val="false"/>
          <w:i w:val="false"/>
          <w:caps w:val="false"/>
          <w:smallCaps w:val="false"/>
          <w:sz w:val="22"/>
          <w:shd w:fill="FFFFFF" w:val="clear"/>
        </w:rPr>
        <w:t>117</w:t>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6480175" cy="175895"/>
                <wp:effectExtent l="0" t="0" r="0" b="0"/>
                <wp:wrapNone/>
                <wp:docPr id="632" name="Frame62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60.9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9.9Delegation of Duties</w:t>
      </w:r>
      <w:r>
        <w:rPr>
          <w:rFonts w:ascii="Times New Roman;Times;serif" w:hAnsi="Times New Roman;Times;serif"/>
          <w:b w:val="false"/>
          <w:i w:val="false"/>
          <w:caps w:val="false"/>
          <w:smallCaps w:val="false"/>
          <w:sz w:val="22"/>
          <w:shd w:fill="FFFFFF" w:val="clear"/>
        </w:rPr>
        <w:t>118</w:t>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6480175" cy="175895"/>
                <wp:effectExtent l="0" t="0" r="0" b="0"/>
                <wp:wrapNone/>
                <wp:docPr id="633" name="Frame62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7.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9.10Indemnification of Agent</w:t>
      </w:r>
      <w:r>
        <w:rPr>
          <w:rFonts w:ascii="Times New Roman;Times;serif" w:hAnsi="Times New Roman;Times;serif"/>
          <w:b w:val="false"/>
          <w:i w:val="false"/>
          <w:caps w:val="false"/>
          <w:smallCaps w:val="false"/>
          <w:sz w:val="22"/>
          <w:shd w:fill="FFFFFF" w:val="clear"/>
        </w:rPr>
        <w:t>118</w:t>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6480175" cy="175895"/>
                <wp:effectExtent l="0" t="0" r="0" b="0"/>
                <wp:wrapNone/>
                <wp:docPr id="634" name="Frame63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5.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9.11Successor Agent</w:t>
      </w:r>
      <w:r>
        <w:rPr>
          <w:rFonts w:ascii="Times New Roman;Times;serif" w:hAnsi="Times New Roman;Times;serif"/>
          <w:b w:val="false"/>
          <w:i w:val="false"/>
          <w:caps w:val="false"/>
          <w:smallCaps w:val="false"/>
          <w:sz w:val="22"/>
          <w:shd w:fill="FFFFFF" w:val="clear"/>
        </w:rPr>
        <w:t>118</w:t>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6480175" cy="175895"/>
                <wp:effectExtent l="0" t="0" r="0" b="0"/>
                <wp:wrapNone/>
                <wp:docPr id="635" name="Frame63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9.12Fronting Lender</w:t>
      </w:r>
      <w:r>
        <w:rPr>
          <w:rFonts w:ascii="Times New Roman;Times;serif" w:hAnsi="Times New Roman;Times;serif"/>
          <w:b w:val="false"/>
          <w:i w:val="false"/>
          <w:caps w:val="false"/>
          <w:smallCaps w:val="false"/>
          <w:sz w:val="22"/>
          <w:shd w:fill="FFFFFF" w:val="clear"/>
        </w:rPr>
        <w:t>118</w:t>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6480175" cy="175895"/>
                <wp:effectExtent l="0" t="0" r="0" b="0"/>
                <wp:wrapNone/>
                <wp:docPr id="636" name="Frame63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2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9.13Swing Line Lender</w:t>
      </w:r>
      <w:r>
        <w:rPr>
          <w:rFonts w:ascii="Times New Roman;Times;serif" w:hAnsi="Times New Roman;Times;serif"/>
          <w:b w:val="false"/>
          <w:i w:val="false"/>
          <w:caps w:val="false"/>
          <w:smallCaps w:val="false"/>
          <w:sz w:val="22"/>
          <w:shd w:fill="FFFFFF" w:val="clear"/>
        </w:rPr>
        <w:t>119</w:t>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6480175" cy="175895"/>
                <wp:effectExtent l="0" t="0" r="0" b="0"/>
                <wp:wrapNone/>
                <wp:docPr id="637" name="Frame63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6.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9.14Agent May File Proofs of Claim</w:t>
      </w:r>
      <w:r>
        <w:rPr>
          <w:rFonts w:ascii="Times New Roman;Times;serif" w:hAnsi="Times New Roman;Times;serif"/>
          <w:b w:val="false"/>
          <w:i w:val="false"/>
          <w:caps w:val="false"/>
          <w:smallCaps w:val="false"/>
          <w:sz w:val="22"/>
          <w:shd w:fill="FFFFFF" w:val="clear"/>
        </w:rPr>
        <w:t>119</w:t>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6480175" cy="175895"/>
                <wp:effectExtent l="0" t="0" r="0" b="0"/>
                <wp:wrapNone/>
                <wp:docPr id="638" name="Frame63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9.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9.15No Reliance on Agent’s Customer Identification Program</w:t>
      </w:r>
      <w:r>
        <w:rPr>
          <w:rFonts w:ascii="Times New Roman;Times;serif" w:hAnsi="Times New Roman;Times;serif"/>
          <w:b w:val="false"/>
          <w:i w:val="false"/>
          <w:caps w:val="false"/>
          <w:smallCaps w:val="false"/>
          <w:sz w:val="22"/>
          <w:shd w:fill="FFFFFF" w:val="clear"/>
        </w:rPr>
        <w:t>119</w:t>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6480175" cy="175895"/>
                <wp:effectExtent l="0" t="0" r="0" b="0"/>
                <wp:wrapNone/>
                <wp:docPr id="639" name="Frame63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20.9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9.16Other Agents</w:t>
      </w:r>
      <w:r>
        <w:rPr>
          <w:rFonts w:ascii="Times New Roman;Times;serif" w:hAnsi="Times New Roman;Times;serif"/>
          <w:b w:val="false"/>
          <w:i w:val="false"/>
          <w:caps w:val="false"/>
          <w:smallCaps w:val="false"/>
          <w:sz w:val="22"/>
          <w:shd w:fill="FFFFFF" w:val="clear"/>
        </w:rPr>
        <w:t>119</w:t>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6480175" cy="175895"/>
                <wp:effectExtent l="0" t="0" r="0" b="0"/>
                <wp:wrapNone/>
                <wp:docPr id="640" name="Frame63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8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9.17Erroneous Payments</w:t>
      </w:r>
      <w:r>
        <w:rPr>
          <w:rFonts w:ascii="Times New Roman;Times;serif" w:hAnsi="Times New Roman;Times;serif"/>
          <w:b w:val="false"/>
          <w:i w:val="false"/>
          <w:caps w:val="false"/>
          <w:smallCaps w:val="false"/>
          <w:sz w:val="22"/>
          <w:shd w:fill="FFFFFF" w:val="clear"/>
        </w:rPr>
        <w:t>120</w:t>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6480175" cy="175895"/>
                <wp:effectExtent l="0" t="0" r="0" b="0"/>
                <wp:wrapNone/>
                <wp:docPr id="641" name="Frame63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2.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85" w:before="0" w:after="100"/>
        <w:ind w:left="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ARTICLE X. GUARANTY</w:t>
      </w:r>
      <w:r>
        <w:rPr>
          <w:rFonts w:ascii="Times New Roman;Times;serif" w:hAnsi="Times New Roman;Times;serif"/>
          <w:b w:val="false"/>
          <w:i w:val="false"/>
          <w:caps w:val="false"/>
          <w:smallCaps w:val="false"/>
          <w:sz w:val="22"/>
          <w:shd w:fill="FFFFFF" w:val="clear"/>
        </w:rPr>
        <w:t>121</w:t>
      </w:r>
      <w:r>
        <mc:AlternateContent>
          <mc:Choice Requires="wps">
            <w:drawing>
              <wp:anchor behindDoc="0" distT="0" distB="0" distL="0" distR="0" simplePos="0" locked="0" layoutInCell="1" allowOverlap="1" relativeHeight="641">
                <wp:simplePos x="0" y="0"/>
                <wp:positionH relativeFrom="page">
                  <wp:posOffset>0</wp:posOffset>
                </wp:positionH>
                <wp:positionV relativeFrom="line">
                  <wp:posOffset>635</wp:posOffset>
                </wp:positionV>
                <wp:extent cx="6480175" cy="175895"/>
                <wp:effectExtent l="0" t="0" r="0" b="0"/>
                <wp:wrapNone/>
                <wp:docPr id="642" name="Frame63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10.1The Guaranty</w:t>
      </w:r>
      <w:r>
        <w:rPr>
          <w:rFonts w:ascii="Times New Roman;Times;serif" w:hAnsi="Times New Roman;Times;serif"/>
          <w:b w:val="false"/>
          <w:i w:val="false"/>
          <w:caps w:val="false"/>
          <w:smallCaps w:val="false"/>
          <w:sz w:val="22"/>
          <w:shd w:fill="FFFFFF" w:val="clear"/>
        </w:rPr>
        <w:t>121</w:t>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6480175" cy="175895"/>
                <wp:effectExtent l="0" t="0" r="0" b="0"/>
                <wp:wrapNone/>
                <wp:docPr id="643" name="Frame63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0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10.2Obligations Unconditional</w:t>
      </w:r>
      <w:r>
        <w:rPr>
          <w:rFonts w:ascii="Times New Roman;Times;serif" w:hAnsi="Times New Roman;Times;serif"/>
          <w:b w:val="false"/>
          <w:i w:val="false"/>
          <w:caps w:val="false"/>
          <w:smallCaps w:val="false"/>
          <w:sz w:val="22"/>
          <w:shd w:fill="FFFFFF" w:val="clear"/>
        </w:rPr>
        <w:t>122</w:t>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6480175" cy="175895"/>
                <wp:effectExtent l="0" t="0" r="0" b="0"/>
                <wp:wrapNone/>
                <wp:docPr id="644" name="Frame64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1.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10.3Reinstatement</w:t>
      </w:r>
      <w:r>
        <w:rPr>
          <w:rFonts w:ascii="Times New Roman;Times;serif" w:hAnsi="Times New Roman;Times;serif"/>
          <w:b w:val="false"/>
          <w:i w:val="false"/>
          <w:caps w:val="false"/>
          <w:smallCaps w:val="false"/>
          <w:sz w:val="22"/>
          <w:shd w:fill="FFFFFF" w:val="clear"/>
        </w:rPr>
        <w:t>122</w:t>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6480175" cy="175895"/>
                <wp:effectExtent l="0" t="0" r="0" b="0"/>
                <wp:wrapNone/>
                <wp:docPr id="645" name="Frame64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2.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10.4Certain Additional Waivers</w:t>
      </w:r>
      <w:r>
        <w:rPr>
          <w:rFonts w:ascii="Times New Roman;Times;serif" w:hAnsi="Times New Roman;Times;serif"/>
          <w:b w:val="false"/>
          <w:i w:val="false"/>
          <w:caps w:val="false"/>
          <w:smallCaps w:val="false"/>
          <w:sz w:val="22"/>
          <w:shd w:fill="FFFFFF" w:val="clear"/>
        </w:rPr>
        <w:t>123</w:t>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6480175" cy="175895"/>
                <wp:effectExtent l="0" t="0" r="0" b="0"/>
                <wp:wrapNone/>
                <wp:docPr id="646" name="Frame64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6.3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10.5Remedies</w:t>
      </w:r>
      <w:r>
        <w:rPr>
          <w:rFonts w:ascii="Times New Roman;Times;serif" w:hAnsi="Times New Roman;Times;serif"/>
          <w:b w:val="false"/>
          <w:i w:val="false"/>
          <w:caps w:val="false"/>
          <w:smallCaps w:val="false"/>
          <w:sz w:val="22"/>
          <w:shd w:fill="FFFFFF" w:val="clear"/>
        </w:rPr>
        <w:t>123</w:t>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6480175" cy="175895"/>
                <wp:effectExtent l="0" t="0" r="0" b="0"/>
                <wp:wrapNone/>
                <wp:docPr id="647" name="Frame64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9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iv</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10.6Guarantee of Payment; Continuing Guarantee</w:t>
      </w:r>
      <w:r>
        <w:rPr>
          <w:rFonts w:ascii="Times New Roman;Times;serif" w:hAnsi="Times New Roman;Times;serif"/>
          <w:b w:val="false"/>
          <w:i w:val="false"/>
          <w:caps w:val="false"/>
          <w:smallCaps w:val="false"/>
          <w:sz w:val="22"/>
          <w:shd w:fill="FFFFFF" w:val="clear"/>
        </w:rPr>
        <w:t>123</w:t>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6480175" cy="175895"/>
                <wp:effectExtent l="0" t="0" r="0" b="0"/>
                <wp:wrapNone/>
                <wp:docPr id="648" name="Frame64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63.6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10.7Payments</w:t>
      </w:r>
      <w:r>
        <w:rPr>
          <w:rFonts w:ascii="Times New Roman;Times;serif" w:hAnsi="Times New Roman;Times;serif"/>
          <w:b w:val="false"/>
          <w:i w:val="false"/>
          <w:caps w:val="false"/>
          <w:smallCaps w:val="false"/>
          <w:sz w:val="22"/>
          <w:shd w:fill="FFFFFF" w:val="clear"/>
        </w:rPr>
        <w:t>123</w:t>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6480175" cy="175895"/>
                <wp:effectExtent l="0" t="0" r="0" b="0"/>
                <wp:wrapNone/>
                <wp:docPr id="649" name="Frame64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90.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85" w:before="0" w:after="100"/>
        <w:ind w:left="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ARTICLE XI. MISCELLANEOUS</w:t>
      </w:r>
      <w:r>
        <w:rPr>
          <w:rFonts w:ascii="Times New Roman;Times;serif" w:hAnsi="Times New Roman;Times;serif"/>
          <w:b w:val="false"/>
          <w:i w:val="false"/>
          <w:caps w:val="false"/>
          <w:smallCaps w:val="false"/>
          <w:sz w:val="22"/>
          <w:shd w:fill="FFFFFF" w:val="clear"/>
        </w:rPr>
        <w:t>123</w:t>
      </w:r>
      <w:r>
        <mc:AlternateContent>
          <mc:Choice Requires="wps">
            <w:drawing>
              <wp:anchor behindDoc="0" distT="0" distB="0" distL="0" distR="0" simplePos="0" locked="0" layoutInCell="1" allowOverlap="1" relativeHeight="649">
                <wp:simplePos x="0" y="0"/>
                <wp:positionH relativeFrom="page">
                  <wp:posOffset>0</wp:posOffset>
                </wp:positionH>
                <wp:positionV relativeFrom="line">
                  <wp:posOffset>635</wp:posOffset>
                </wp:positionV>
                <wp:extent cx="6480175" cy="175895"/>
                <wp:effectExtent l="0" t="0" r="0" b="0"/>
                <wp:wrapNone/>
                <wp:docPr id="650" name="Frame64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11.1Lenders’ Independent Investigation</w:t>
      </w:r>
      <w:r>
        <w:rPr>
          <w:rFonts w:ascii="Times New Roman;Times;serif" w:hAnsi="Times New Roman;Times;serif"/>
          <w:b w:val="false"/>
          <w:i w:val="false"/>
          <w:caps w:val="false"/>
          <w:smallCaps w:val="false"/>
          <w:sz w:val="22"/>
          <w:shd w:fill="FFFFFF" w:val="clear"/>
        </w:rPr>
        <w:t>123</w:t>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6480175" cy="175895"/>
                <wp:effectExtent l="0" t="0" r="0" b="0"/>
                <wp:wrapNone/>
                <wp:docPr id="651" name="Frame64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14.3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11.2No Waiver; Cumulative Remedies</w:t>
      </w:r>
      <w:r>
        <w:rPr>
          <w:rFonts w:ascii="Times New Roman;Times;serif" w:hAnsi="Times New Roman;Times;serif"/>
          <w:b w:val="false"/>
          <w:i w:val="false"/>
          <w:caps w:val="false"/>
          <w:smallCaps w:val="false"/>
          <w:sz w:val="22"/>
          <w:shd w:fill="FFFFFF" w:val="clear"/>
        </w:rPr>
        <w:t>123</w:t>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6480175" cy="175895"/>
                <wp:effectExtent l="0" t="0" r="0" b="0"/>
                <wp:wrapNone/>
                <wp:docPr id="652" name="Frame64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09.3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11.3Amendments, Waivers and Consents</w:t>
      </w:r>
      <w:r>
        <w:rPr>
          <w:rFonts w:ascii="Times New Roman;Times;serif" w:hAnsi="Times New Roman;Times;serif"/>
          <w:b w:val="false"/>
          <w:i w:val="false"/>
          <w:caps w:val="false"/>
          <w:smallCaps w:val="false"/>
          <w:sz w:val="22"/>
          <w:shd w:fill="FFFFFF" w:val="clear"/>
        </w:rPr>
        <w:t>124</w:t>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6480175" cy="175895"/>
                <wp:effectExtent l="0" t="0" r="0" b="0"/>
                <wp:wrapNone/>
                <wp:docPr id="653" name="Frame64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20.9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11.4Notices</w:t>
      </w:r>
      <w:r>
        <w:rPr>
          <w:rFonts w:ascii="Times New Roman;Times;serif" w:hAnsi="Times New Roman;Times;serif"/>
          <w:b w:val="false"/>
          <w:i w:val="false"/>
          <w:caps w:val="false"/>
          <w:smallCaps w:val="false"/>
          <w:sz w:val="22"/>
          <w:shd w:fill="FFFFFF" w:val="clear"/>
        </w:rPr>
        <w:t>125</w:t>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6480175" cy="175895"/>
                <wp:effectExtent l="0" t="0" r="0" b="0"/>
                <wp:wrapNone/>
                <wp:docPr id="654" name="Frame65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80.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11.5Costs, Expenses and Documentary Taxes</w:t>
      </w:r>
      <w:r>
        <w:rPr>
          <w:rFonts w:ascii="Times New Roman;Times;serif" w:hAnsi="Times New Roman;Times;serif"/>
          <w:b w:val="false"/>
          <w:i w:val="false"/>
          <w:caps w:val="false"/>
          <w:smallCaps w:val="false"/>
          <w:sz w:val="22"/>
          <w:shd w:fill="FFFFFF" w:val="clear"/>
        </w:rPr>
        <w:t>126</w:t>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6480175" cy="175895"/>
                <wp:effectExtent l="0" t="0" r="0" b="0"/>
                <wp:wrapNone/>
                <wp:docPr id="655" name="Frame65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41.9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11.6Indemnification</w:t>
      </w:r>
      <w:r>
        <w:rPr>
          <w:rFonts w:ascii="Times New Roman;Times;serif" w:hAnsi="Times New Roman;Times;serif"/>
          <w:b w:val="false"/>
          <w:i w:val="false"/>
          <w:caps w:val="false"/>
          <w:smallCaps w:val="false"/>
          <w:sz w:val="22"/>
          <w:shd w:fill="FFFFFF" w:val="clear"/>
        </w:rPr>
        <w:t>127</w:t>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6480175" cy="175895"/>
                <wp:effectExtent l="0" t="0" r="0" b="0"/>
                <wp:wrapNone/>
                <wp:docPr id="656" name="Frame65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0.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11.7Obligations Several; No Fiduciary Obligations</w:t>
      </w:r>
      <w:r>
        <w:rPr>
          <w:rFonts w:ascii="Times New Roman;Times;serif" w:hAnsi="Times New Roman;Times;serif"/>
          <w:b w:val="false"/>
          <w:i w:val="false"/>
          <w:caps w:val="false"/>
          <w:smallCaps w:val="false"/>
          <w:sz w:val="22"/>
          <w:shd w:fill="FFFFFF" w:val="clear"/>
        </w:rPr>
        <w:t>127</w:t>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6480175" cy="175895"/>
                <wp:effectExtent l="0" t="0" r="0" b="0"/>
                <wp:wrapNone/>
                <wp:docPr id="657" name="Frame65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67.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11.8Counterparts; Integration; Effectiveness; Electronic Execution</w:t>
      </w:r>
      <w:r>
        <w:rPr>
          <w:rFonts w:ascii="Times New Roman;Times;serif" w:hAnsi="Times New Roman;Times;serif"/>
          <w:b w:val="false"/>
          <w:i w:val="false"/>
          <w:caps w:val="false"/>
          <w:smallCaps w:val="false"/>
          <w:sz w:val="22"/>
          <w:shd w:fill="FFFFFF" w:val="clear"/>
        </w:rPr>
        <w:t>127</w:t>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6480175" cy="175895"/>
                <wp:effectExtent l="0" t="0" r="0" b="0"/>
                <wp:wrapNone/>
                <wp:docPr id="658" name="Frame65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42.9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11.9Binding Effect; Borrowers’ Assignment</w:t>
      </w:r>
      <w:r>
        <w:rPr>
          <w:rFonts w:ascii="Times New Roman;Times;serif" w:hAnsi="Times New Roman;Times;serif"/>
          <w:b w:val="false"/>
          <w:i w:val="false"/>
          <w:caps w:val="false"/>
          <w:smallCaps w:val="false"/>
          <w:sz w:val="22"/>
          <w:shd w:fill="FFFFFF" w:val="clear"/>
        </w:rPr>
        <w:t>128</w:t>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6480175" cy="175895"/>
                <wp:effectExtent l="0" t="0" r="0" b="0"/>
                <wp:wrapNone/>
                <wp:docPr id="659" name="Frame65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36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11.10Lender Assignments; Participations</w:t>
      </w:r>
      <w:r>
        <w:rPr>
          <w:rFonts w:ascii="Times New Roman;Times;serif" w:hAnsi="Times New Roman;Times;serif"/>
          <w:b w:val="false"/>
          <w:i w:val="false"/>
          <w:caps w:val="false"/>
          <w:smallCaps w:val="false"/>
          <w:sz w:val="22"/>
          <w:shd w:fill="FFFFFF" w:val="clear"/>
        </w:rPr>
        <w:t>129</w:t>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6480175" cy="175895"/>
                <wp:effectExtent l="0" t="0" r="0" b="0"/>
                <wp:wrapNone/>
                <wp:docPr id="660" name="Frame65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2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11.11Patriot Act Notice</w:t>
      </w:r>
      <w:r>
        <w:rPr>
          <w:rFonts w:ascii="Times New Roman;Times;serif" w:hAnsi="Times New Roman;Times;serif"/>
          <w:b w:val="false"/>
          <w:i w:val="false"/>
          <w:caps w:val="false"/>
          <w:smallCaps w:val="false"/>
          <w:sz w:val="22"/>
          <w:shd w:fill="FFFFFF" w:val="clear"/>
        </w:rPr>
        <w:t>132</w:t>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6480175" cy="175895"/>
                <wp:effectExtent l="0" t="0" r="0" b="0"/>
                <wp:wrapNone/>
                <wp:docPr id="661" name="Frame65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11.12Severability of Provisions; Captions; Attachments</w:t>
      </w:r>
      <w:r>
        <w:rPr>
          <w:rFonts w:ascii="Times New Roman;Times;serif" w:hAnsi="Times New Roman;Times;serif"/>
          <w:b w:val="false"/>
          <w:i w:val="false"/>
          <w:caps w:val="false"/>
          <w:smallCaps w:val="false"/>
          <w:sz w:val="22"/>
          <w:shd w:fill="FFFFFF" w:val="clear"/>
        </w:rPr>
        <w:t>132</w:t>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6480175" cy="175895"/>
                <wp:effectExtent l="0" t="0" r="0" b="0"/>
                <wp:wrapNone/>
                <wp:docPr id="662" name="Frame65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90.3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11.13Investment Purpose</w:t>
      </w:r>
      <w:r>
        <w:rPr>
          <w:rFonts w:ascii="Times New Roman;Times;serif" w:hAnsi="Times New Roman;Times;serif"/>
          <w:b w:val="false"/>
          <w:i w:val="false"/>
          <w:caps w:val="false"/>
          <w:smallCaps w:val="false"/>
          <w:sz w:val="22"/>
          <w:shd w:fill="FFFFFF" w:val="clear"/>
        </w:rPr>
        <w:t>132</w:t>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6480175" cy="175895"/>
                <wp:effectExtent l="0" t="0" r="0" b="0"/>
                <wp:wrapNone/>
                <wp:docPr id="663" name="Frame65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4.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11.14Entire Agreement</w:t>
      </w:r>
      <w:r>
        <w:rPr>
          <w:rFonts w:ascii="Times New Roman;Times;serif" w:hAnsi="Times New Roman;Times;serif"/>
          <w:b w:val="false"/>
          <w:i w:val="false"/>
          <w:caps w:val="false"/>
          <w:smallCaps w:val="false"/>
          <w:sz w:val="22"/>
          <w:shd w:fill="FFFFFF" w:val="clear"/>
        </w:rPr>
        <w:t>132</w:t>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6480175" cy="175895"/>
                <wp:effectExtent l="0" t="0" r="0" b="0"/>
                <wp:wrapNone/>
                <wp:docPr id="664" name="Frame66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5.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11.15Limitations on Liability of the Fronting Lender</w:t>
      </w:r>
      <w:r>
        <w:rPr>
          <w:rFonts w:ascii="Times New Roman;Times;serif" w:hAnsi="Times New Roman;Times;serif"/>
          <w:b w:val="false"/>
          <w:i w:val="false"/>
          <w:caps w:val="false"/>
          <w:smallCaps w:val="false"/>
          <w:sz w:val="22"/>
          <w:shd w:fill="FFFFFF" w:val="clear"/>
        </w:rPr>
        <w:t>133</w:t>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6480175" cy="175895"/>
                <wp:effectExtent l="0" t="0" r="0" b="0"/>
                <wp:wrapNone/>
                <wp:docPr id="665" name="Frame66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76.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11.16General Limitation of Liability</w:t>
      </w:r>
      <w:r>
        <w:rPr>
          <w:rFonts w:ascii="Times New Roman;Times;serif" w:hAnsi="Times New Roman;Times;serif"/>
          <w:b w:val="false"/>
          <w:i w:val="false"/>
          <w:caps w:val="false"/>
          <w:smallCaps w:val="false"/>
          <w:sz w:val="22"/>
          <w:shd w:fill="FFFFFF" w:val="clear"/>
        </w:rPr>
        <w:t>133</w:t>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6480175" cy="175895"/>
                <wp:effectExtent l="0" t="0" r="0" b="0"/>
                <wp:wrapNone/>
                <wp:docPr id="666" name="Frame66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8.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11.17No Duty</w:t>
      </w:r>
      <w:r>
        <w:rPr>
          <w:rFonts w:ascii="Times New Roman;Times;serif" w:hAnsi="Times New Roman;Times;serif"/>
          <w:b w:val="false"/>
          <w:i w:val="false"/>
          <w:caps w:val="false"/>
          <w:smallCaps w:val="false"/>
          <w:sz w:val="22"/>
          <w:shd w:fill="FFFFFF" w:val="clear"/>
        </w:rPr>
        <w:t>133</w:t>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6480175" cy="175895"/>
                <wp:effectExtent l="0" t="0" r="0" b="0"/>
                <wp:wrapNone/>
                <wp:docPr id="667" name="Frame66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91.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11.18Legal Representation of Parties</w:t>
      </w:r>
      <w:r>
        <w:rPr>
          <w:rFonts w:ascii="Times New Roman;Times;serif" w:hAnsi="Times New Roman;Times;serif"/>
          <w:b w:val="false"/>
          <w:i w:val="false"/>
          <w:caps w:val="false"/>
          <w:smallCaps w:val="false"/>
          <w:sz w:val="22"/>
          <w:shd w:fill="FFFFFF" w:val="clear"/>
        </w:rPr>
        <w:t>133</w:t>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6480175" cy="175895"/>
                <wp:effectExtent l="0" t="0" r="0" b="0"/>
                <wp:wrapNone/>
                <wp:docPr id="668" name="Frame66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00.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11.19Judgment Currency</w:t>
      </w:r>
      <w:r>
        <w:rPr>
          <w:rFonts w:ascii="Times New Roman;Times;serif" w:hAnsi="Times New Roman;Times;serif"/>
          <w:b w:val="false"/>
          <w:i w:val="false"/>
          <w:caps w:val="false"/>
          <w:smallCaps w:val="false"/>
          <w:sz w:val="22"/>
          <w:shd w:fill="FFFFFF" w:val="clear"/>
        </w:rPr>
        <w:t>134</w:t>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6480175" cy="175895"/>
                <wp:effectExtent l="0" t="0" r="0" b="0"/>
                <wp:wrapNone/>
                <wp:docPr id="669" name="Frame66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11.20Governing Law; Submission to Jurisdiction</w:t>
      </w:r>
      <w:r>
        <w:rPr>
          <w:rFonts w:ascii="Times New Roman;Times;serif" w:hAnsi="Times New Roman;Times;serif"/>
          <w:b w:val="false"/>
          <w:i w:val="false"/>
          <w:caps w:val="false"/>
          <w:smallCaps w:val="false"/>
          <w:sz w:val="22"/>
          <w:shd w:fill="FFFFFF" w:val="clear"/>
        </w:rPr>
        <w:t>134</w:t>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6480175" cy="175895"/>
                <wp:effectExtent l="0" t="0" r="0" b="0"/>
                <wp:wrapNone/>
                <wp:docPr id="670" name="Frame66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59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11.21JURY TRIAL WAIVER</w:t>
      </w:r>
      <w:r>
        <w:rPr>
          <w:rFonts w:ascii="Times New Roman;Times;serif" w:hAnsi="Times New Roman;Times;serif"/>
          <w:b w:val="false"/>
          <w:i w:val="false"/>
          <w:caps w:val="false"/>
          <w:smallCaps w:val="false"/>
          <w:sz w:val="22"/>
          <w:shd w:fill="FFFFFF" w:val="clear"/>
        </w:rPr>
        <w:t>135</w:t>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6480175" cy="175895"/>
                <wp:effectExtent l="0" t="0" r="0" b="0"/>
                <wp:wrapNone/>
                <wp:docPr id="671" name="Frame66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9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11.22Confidentiality</w:t>
      </w:r>
      <w:r>
        <w:rPr>
          <w:rFonts w:ascii="Times New Roman;Times;serif" w:hAnsi="Times New Roman;Times;serif"/>
          <w:b w:val="false"/>
          <w:i w:val="false"/>
          <w:caps w:val="false"/>
          <w:smallCaps w:val="false"/>
          <w:sz w:val="22"/>
          <w:shd w:fill="FFFFFF" w:val="clear"/>
        </w:rPr>
        <w:t>135</w:t>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6480175" cy="175895"/>
                <wp:effectExtent l="0" t="0" r="0" b="0"/>
                <wp:wrapNone/>
                <wp:docPr id="672" name="Frame66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2.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11.23Amendment and Restatement; No Novation</w:t>
      </w:r>
      <w:r>
        <w:rPr>
          <w:rFonts w:ascii="Times New Roman;Times;serif" w:hAnsi="Times New Roman;Times;serif"/>
          <w:b w:val="false"/>
          <w:i w:val="false"/>
          <w:caps w:val="false"/>
          <w:smallCaps w:val="false"/>
          <w:sz w:val="22"/>
          <w:shd w:fill="FFFFFF" w:val="clear"/>
        </w:rPr>
        <w:t>136</w:t>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6480175" cy="175895"/>
                <wp:effectExtent l="0" t="0" r="0" b="0"/>
                <wp:wrapNone/>
                <wp:docPr id="673" name="Frame66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60.3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11.24Acknowledgment and Consent to Bail-In of Affected Financial Institutions</w:t>
      </w:r>
      <w:r>
        <w:rPr>
          <w:rFonts w:ascii="Times New Roman;Times;serif" w:hAnsi="Times New Roman;Times;serif"/>
          <w:b w:val="false"/>
          <w:i w:val="false"/>
          <w:caps w:val="false"/>
          <w:smallCaps w:val="false"/>
          <w:sz w:val="22"/>
          <w:shd w:fill="FFFFFF" w:val="clear"/>
        </w:rPr>
        <w:t>136</w:t>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6480175" cy="175895"/>
                <wp:effectExtent l="0" t="0" r="0" b="0"/>
                <wp:wrapNone/>
                <wp:docPr id="674" name="Frame67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409.6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11.25Certain ERISA Matters</w:t>
      </w:r>
      <w:r>
        <w:rPr>
          <w:rFonts w:ascii="Times New Roman;Times;serif" w:hAnsi="Times New Roman;Times;serif"/>
          <w:b w:val="false"/>
          <w:i w:val="false"/>
          <w:caps w:val="false"/>
          <w:smallCaps w:val="false"/>
          <w:sz w:val="22"/>
          <w:shd w:fill="FFFFFF" w:val="clear"/>
        </w:rPr>
        <w:t>136</w:t>
      </w:r>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6480175" cy="175895"/>
                <wp:effectExtent l="0" t="0" r="0" b="0"/>
                <wp:wrapNone/>
                <wp:docPr id="675" name="Frame67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2.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240" w:right="0" w:hanging="0"/>
        <w:jc w:val="left"/>
        <w:rPr>
          <w:rFonts w:ascii="Aptos" w:hAnsi="Aptos"/>
          <w:sz w:val="24"/>
        </w:rPr>
      </w:pPr>
      <w:r>
        <w:rPr>
          <w:rFonts w:ascii="Times New Roman;Times;serif" w:hAnsi="Times New Roman;Times;serif"/>
          <w:b w:val="false"/>
          <w:i w:val="false"/>
          <w:caps w:val="false"/>
          <w:smallCaps w:val="false"/>
          <w:color w:val="0000FF"/>
          <w:sz w:val="24"/>
          <w:u w:val="single"/>
          <w:shd w:fill="FFFFFF" w:val="clear"/>
        </w:rPr>
        <w:t>Section 11.26Acknowledgement Regarding Any Supported QFCs</w:t>
      </w:r>
      <w:r>
        <w:rPr>
          <w:rFonts w:ascii="Times New Roman;Times;serif" w:hAnsi="Times New Roman;Times;serif"/>
          <w:b w:val="false"/>
          <w:i w:val="false"/>
          <w:caps w:val="false"/>
          <w:smallCaps w:val="false"/>
          <w:sz w:val="22"/>
          <w:shd w:fill="FFFFFF" w:val="clear"/>
        </w:rPr>
        <w:t>137</w:t>
      </w:r>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6480175" cy="175895"/>
                <wp:effectExtent l="0" t="0" r="0" b="0"/>
                <wp:wrapNone/>
                <wp:docPr id="676" name="Frame67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00.3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31" w:before="0" w:after="160"/>
        <w:ind w:left="0" w:right="0" w:hanging="0"/>
        <w:jc w:val="both"/>
        <w:rPr/>
      </w:pPr>
      <w:r>
        <w:rPr/>
        <w:t>​</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v</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Aptos" w:hAnsi="Aptos"/>
          <w:sz w:val="22"/>
        </w:rPr>
      </w:pPr>
      <w:r>
        <w:rPr>
          <w:rFonts w:ascii="Times New Roman;Times;serif" w:hAnsi="Times New Roman;Times;serif"/>
          <w:b/>
          <w:sz w:val="22"/>
        </w:rPr>
        <w:t>Exhibits</w:t>
      </w:r>
      <w:r>
        <w:rPr>
          <w:rFonts w:ascii="Times New Roman;Times;serif" w:hAnsi="Times New Roman;Times;serif"/>
          <w:sz w:val="22"/>
        </w:rPr>
        <w:t>:</w:t>
      </w:r>
    </w:p>
    <w:p>
      <w:pPr>
        <w:pStyle w:val="TextBody"/>
        <w:bidi w:val="0"/>
        <w:spacing w:lineRule="auto" w:line="285" w:before="0" w:after="0"/>
        <w:ind w:left="0" w:right="0" w:hanging="0"/>
        <w:jc w:val="left"/>
        <w:rPr>
          <w:rFonts w:ascii="Aptos" w:hAnsi="Aptos"/>
          <w:sz w:val="22"/>
        </w:rPr>
      </w:pPr>
      <w:r>
        <w:rPr>
          <w:rFonts w:ascii="Times New Roman;Times;serif" w:hAnsi="Times New Roman;Times;serif"/>
          <w:b w:val="false"/>
          <w:i w:val="false"/>
          <w:caps w:val="false"/>
          <w:smallCaps w:val="false"/>
          <w:sz w:val="22"/>
        </w:rPr>
        <w:t>Exhibit A</w:t>
      </w:r>
      <w:r>
        <w:rPr>
          <w:rFonts w:ascii="Times New Roman;Times;serif" w:hAnsi="Times New Roman;Times;serif"/>
          <w:sz w:val="22"/>
        </w:rPr>
        <w:t>Form of US Borrower Revolving Credit Note</w:t>
      </w:r>
    </w:p>
    <w:p>
      <w:pPr>
        <w:pStyle w:val="TextBody"/>
        <w:bidi w:val="0"/>
        <w:spacing w:lineRule="auto" w:line="285" w:before="0" w:after="0"/>
        <w:ind w:left="0" w:right="0" w:hanging="0"/>
        <w:jc w:val="left"/>
        <w:rPr>
          <w:rFonts w:ascii="Aptos" w:hAnsi="Aptos"/>
          <w:sz w:val="22"/>
        </w:rPr>
      </w:pPr>
      <w:r>
        <w:rPr>
          <w:rFonts w:ascii="Times New Roman;Times;serif" w:hAnsi="Times New Roman;Times;serif"/>
          <w:b w:val="false"/>
          <w:i w:val="false"/>
          <w:caps w:val="false"/>
          <w:smallCaps w:val="false"/>
          <w:sz w:val="22"/>
        </w:rPr>
        <w:t>Exhibit B</w:t>
      </w:r>
      <w:r>
        <w:rPr>
          <w:rFonts w:ascii="Times New Roman;Times;serif" w:hAnsi="Times New Roman;Times;serif"/>
          <w:sz w:val="22"/>
        </w:rPr>
        <w:t>Form of Foreign Borrower Revolving Credit Note</w:t>
      </w:r>
    </w:p>
    <w:p>
      <w:pPr>
        <w:pStyle w:val="TextBody"/>
        <w:bidi w:val="0"/>
        <w:spacing w:lineRule="auto" w:line="285" w:before="0" w:after="0"/>
        <w:ind w:left="0" w:right="0" w:hanging="0"/>
        <w:jc w:val="left"/>
        <w:rPr>
          <w:rFonts w:ascii="Aptos" w:hAnsi="Aptos"/>
          <w:sz w:val="22"/>
        </w:rPr>
      </w:pPr>
      <w:r>
        <w:rPr>
          <w:rFonts w:ascii="Times New Roman;Times;serif" w:hAnsi="Times New Roman;Times;serif"/>
          <w:b w:val="false"/>
          <w:i w:val="false"/>
          <w:caps w:val="false"/>
          <w:smallCaps w:val="false"/>
          <w:sz w:val="22"/>
        </w:rPr>
        <w:t>Exhibit C</w:t>
      </w:r>
      <w:r>
        <w:rPr>
          <w:rFonts w:ascii="Times New Roman;Times;serif" w:hAnsi="Times New Roman;Times;serif"/>
          <w:sz w:val="22"/>
        </w:rPr>
        <w:t>Form of Swing Line Note</w:t>
      </w:r>
    </w:p>
    <w:p>
      <w:pPr>
        <w:pStyle w:val="TextBody"/>
        <w:bidi w:val="0"/>
        <w:spacing w:lineRule="auto" w:line="285" w:before="0" w:after="0"/>
        <w:ind w:left="0" w:right="0" w:hanging="0"/>
        <w:jc w:val="left"/>
        <w:rPr>
          <w:rFonts w:ascii="Aptos" w:hAnsi="Aptos"/>
          <w:sz w:val="22"/>
        </w:rPr>
      </w:pPr>
      <w:r>
        <w:rPr>
          <w:rFonts w:ascii="Times New Roman;Times;serif" w:hAnsi="Times New Roman;Times;serif"/>
          <w:b w:val="false"/>
          <w:i w:val="false"/>
          <w:caps w:val="false"/>
          <w:smallCaps w:val="false"/>
          <w:sz w:val="22"/>
        </w:rPr>
        <w:t>Exhibit D</w:t>
      </w:r>
      <w:r>
        <w:rPr>
          <w:rFonts w:ascii="Times New Roman;Times;serif" w:hAnsi="Times New Roman;Times;serif"/>
          <w:sz w:val="22"/>
        </w:rPr>
        <w:t>Form of Notice of Loan</w:t>
      </w:r>
    </w:p>
    <w:p>
      <w:pPr>
        <w:pStyle w:val="TextBody"/>
        <w:bidi w:val="0"/>
        <w:spacing w:lineRule="auto" w:line="285" w:before="0" w:after="0"/>
        <w:ind w:left="0" w:right="0" w:hanging="0"/>
        <w:jc w:val="left"/>
        <w:rPr>
          <w:rFonts w:ascii="Aptos" w:hAnsi="Aptos"/>
          <w:sz w:val="22"/>
        </w:rPr>
      </w:pPr>
      <w:r>
        <w:rPr>
          <w:rFonts w:ascii="Times New Roman;Times;serif" w:hAnsi="Times New Roman;Times;serif"/>
          <w:b w:val="false"/>
          <w:i w:val="false"/>
          <w:caps w:val="false"/>
          <w:smallCaps w:val="false"/>
          <w:sz w:val="22"/>
        </w:rPr>
        <w:t>Exhibit E</w:t>
      </w:r>
      <w:r>
        <w:rPr>
          <w:rFonts w:ascii="Times New Roman;Times;serif" w:hAnsi="Times New Roman;Times;serif"/>
          <w:sz w:val="22"/>
        </w:rPr>
        <w:t>Form of Compliance Certificate</w:t>
      </w:r>
    </w:p>
    <w:p>
      <w:pPr>
        <w:pStyle w:val="TextBody"/>
        <w:bidi w:val="0"/>
        <w:spacing w:lineRule="auto" w:line="285" w:before="0" w:after="0"/>
        <w:ind w:left="0" w:right="0" w:hanging="0"/>
        <w:jc w:val="left"/>
        <w:rPr>
          <w:rFonts w:ascii="Aptos" w:hAnsi="Aptos"/>
          <w:sz w:val="22"/>
        </w:rPr>
      </w:pPr>
      <w:r>
        <w:rPr>
          <w:rFonts w:ascii="Times New Roman;Times;serif" w:hAnsi="Times New Roman;Times;serif"/>
          <w:b w:val="false"/>
          <w:i w:val="false"/>
          <w:caps w:val="false"/>
          <w:smallCaps w:val="false"/>
          <w:sz w:val="22"/>
        </w:rPr>
        <w:t>Exhibit F</w:t>
      </w:r>
      <w:r>
        <w:rPr>
          <w:rFonts w:ascii="Times New Roman;Times;serif" w:hAnsi="Times New Roman;Times;serif"/>
          <w:sz w:val="22"/>
        </w:rPr>
        <w:t>Form of Assignment and Assumption Agreement</w:t>
      </w:r>
    </w:p>
    <w:p>
      <w:pPr>
        <w:pStyle w:val="TextBody"/>
        <w:bidi w:val="0"/>
        <w:spacing w:lineRule="auto" w:line="285" w:before="0" w:after="0"/>
        <w:ind w:left="0" w:right="0" w:hanging="0"/>
        <w:jc w:val="left"/>
        <w:rPr>
          <w:rFonts w:ascii="Aptos" w:hAnsi="Aptos"/>
          <w:sz w:val="22"/>
        </w:rPr>
      </w:pPr>
      <w:r>
        <w:rPr>
          <w:rFonts w:ascii="Times New Roman;Times;serif" w:hAnsi="Times New Roman;Times;serif"/>
          <w:b w:val="false"/>
          <w:i w:val="false"/>
          <w:caps w:val="false"/>
          <w:smallCaps w:val="false"/>
          <w:sz w:val="22"/>
        </w:rPr>
        <w:t>Exhibit G</w:t>
      </w:r>
      <w:r>
        <w:rPr>
          <w:rFonts w:ascii="Times New Roman;Times;serif" w:hAnsi="Times New Roman;Times;serif"/>
          <w:sz w:val="22"/>
        </w:rPr>
        <w:t>Form of Additional Foreign Borrower Assumption Agreement</w:t>
      </w:r>
    </w:p>
    <w:p>
      <w:pPr>
        <w:pStyle w:val="TextBody"/>
        <w:bidi w:val="0"/>
        <w:spacing w:lineRule="auto" w:line="285" w:before="0" w:after="0"/>
        <w:ind w:left="0" w:right="0" w:hanging="0"/>
        <w:jc w:val="left"/>
        <w:rPr>
          <w:rFonts w:ascii="Aptos" w:hAnsi="Aptos"/>
          <w:sz w:val="22"/>
        </w:rPr>
      </w:pPr>
      <w:r>
        <w:rPr>
          <w:rFonts w:ascii="Times New Roman;Times;serif" w:hAnsi="Times New Roman;Times;serif"/>
          <w:b w:val="false"/>
          <w:i w:val="false"/>
          <w:caps w:val="false"/>
          <w:smallCaps w:val="false"/>
          <w:sz w:val="22"/>
        </w:rPr>
        <w:t>Exhibit H</w:t>
      </w:r>
      <w:r>
        <w:rPr>
          <w:rFonts w:ascii="Times New Roman;Times;serif" w:hAnsi="Times New Roman;Times;serif"/>
          <w:sz w:val="22"/>
        </w:rPr>
        <w:t>Form of Request for Extension</w:t>
      </w:r>
    </w:p>
    <w:p>
      <w:pPr>
        <w:pStyle w:val="TextBody"/>
        <w:bidi w:val="0"/>
        <w:spacing w:lineRule="auto" w:line="285" w:before="0" w:after="0"/>
        <w:ind w:left="0" w:right="0" w:hanging="0"/>
        <w:jc w:val="left"/>
        <w:rPr>
          <w:rFonts w:ascii="Aptos" w:hAnsi="Aptos"/>
          <w:sz w:val="22"/>
        </w:rPr>
      </w:pPr>
      <w:r>
        <w:rPr>
          <w:rFonts w:ascii="Times New Roman;Times;serif" w:hAnsi="Times New Roman;Times;serif"/>
          <w:b w:val="false"/>
          <w:i w:val="false"/>
          <w:caps w:val="false"/>
          <w:smallCaps w:val="false"/>
          <w:sz w:val="22"/>
        </w:rPr>
        <w:t>Exhibit I-1</w:t>
      </w:r>
      <w:r>
        <w:rPr>
          <w:rFonts w:ascii="Times New Roman;Times;serif" w:hAnsi="Times New Roman;Times;serif"/>
          <w:sz w:val="22"/>
        </w:rPr>
        <w:t>Form of U.S. Tax Compliance Certificate (Non-Partnership Foreign Lenders)</w:t>
      </w:r>
    </w:p>
    <w:p>
      <w:pPr>
        <w:pStyle w:val="TextBody"/>
        <w:bidi w:val="0"/>
        <w:spacing w:lineRule="auto" w:line="285" w:before="0" w:after="0"/>
        <w:ind w:left="0" w:right="0" w:hanging="0"/>
        <w:jc w:val="left"/>
        <w:rPr>
          <w:rFonts w:ascii="Aptos" w:hAnsi="Aptos"/>
          <w:sz w:val="22"/>
        </w:rPr>
      </w:pPr>
      <w:r>
        <w:rPr>
          <w:rFonts w:ascii="Times New Roman;Times;serif" w:hAnsi="Times New Roman;Times;serif"/>
          <w:b w:val="false"/>
          <w:i w:val="false"/>
          <w:caps w:val="false"/>
          <w:smallCaps w:val="false"/>
          <w:sz w:val="22"/>
        </w:rPr>
        <w:t>Exhibit I-2</w:t>
      </w:r>
      <w:r>
        <w:rPr>
          <w:rFonts w:ascii="Times New Roman;Times;serif" w:hAnsi="Times New Roman;Times;serif"/>
          <w:sz w:val="22"/>
        </w:rPr>
        <w:t>Form of U.S. Tax Compliance Certificate (Non-Partnership Foreign Participants)</w:t>
      </w:r>
    </w:p>
    <w:p>
      <w:pPr>
        <w:pStyle w:val="TextBody"/>
        <w:bidi w:val="0"/>
        <w:spacing w:lineRule="auto" w:line="285" w:before="0" w:after="0"/>
        <w:ind w:left="0" w:right="0" w:hanging="0"/>
        <w:jc w:val="left"/>
        <w:rPr>
          <w:rFonts w:ascii="Aptos" w:hAnsi="Aptos"/>
          <w:sz w:val="22"/>
        </w:rPr>
      </w:pPr>
      <w:r>
        <w:rPr>
          <w:rFonts w:ascii="Times New Roman;Times;serif" w:hAnsi="Times New Roman;Times;serif"/>
          <w:b w:val="false"/>
          <w:i w:val="false"/>
          <w:caps w:val="false"/>
          <w:smallCaps w:val="false"/>
          <w:sz w:val="22"/>
        </w:rPr>
        <w:t>Exhibit I-3</w:t>
      </w:r>
      <w:r>
        <w:rPr>
          <w:rFonts w:ascii="Times New Roman;Times;serif" w:hAnsi="Times New Roman;Times;serif"/>
          <w:sz w:val="22"/>
        </w:rPr>
        <w:t>Form of U.S. Tax Compliance Certificate (Foreign Participant Partnerships)</w:t>
      </w:r>
    </w:p>
    <w:p>
      <w:pPr>
        <w:pStyle w:val="TextBody"/>
        <w:bidi w:val="0"/>
        <w:spacing w:lineRule="auto" w:line="285" w:before="0" w:after="480"/>
        <w:ind w:left="0" w:right="0" w:hanging="0"/>
        <w:jc w:val="left"/>
        <w:rPr>
          <w:rFonts w:ascii="Aptos" w:hAnsi="Aptos"/>
          <w:sz w:val="22"/>
        </w:rPr>
      </w:pPr>
      <w:r>
        <w:rPr>
          <w:rFonts w:ascii="Times New Roman;Times;serif" w:hAnsi="Times New Roman;Times;serif"/>
          <w:b w:val="false"/>
          <w:i w:val="false"/>
          <w:caps w:val="false"/>
          <w:smallCaps w:val="false"/>
          <w:sz w:val="22"/>
        </w:rPr>
        <w:t>Exhibit I-4</w:t>
      </w:r>
      <w:r>
        <w:rPr>
          <w:rFonts w:ascii="Times New Roman;Times;serif" w:hAnsi="Times New Roman;Times;serif"/>
          <w:sz w:val="22"/>
        </w:rPr>
        <w:t>Form of U.S. Tax Compliance Certificate (Foreign Lender Partnerships)</w:t>
      </w:r>
    </w:p>
    <w:p>
      <w:pPr>
        <w:pStyle w:val="TextBody"/>
        <w:bidi w:val="0"/>
        <w:spacing w:lineRule="auto" w:line="285" w:before="0" w:after="240"/>
        <w:ind w:left="0" w:right="0" w:hanging="0"/>
        <w:jc w:val="both"/>
        <w:rPr>
          <w:rFonts w:ascii="Aptos" w:hAnsi="Aptos"/>
          <w:sz w:val="22"/>
        </w:rPr>
      </w:pPr>
      <w:r>
        <w:rPr>
          <w:rFonts w:ascii="Times New Roman;Times;serif" w:hAnsi="Times New Roman;Times;serif"/>
          <w:b/>
          <w:sz w:val="22"/>
        </w:rPr>
        <w:t>Schedules</w:t>
      </w:r>
      <w:r>
        <w:rPr>
          <w:rFonts w:ascii="Times New Roman;Times;serif" w:hAnsi="Times New Roman;Times;serif"/>
          <w:sz w:val="22"/>
        </w:rPr>
        <w:t>:</w:t>
      </w:r>
    </w:p>
    <w:p>
      <w:pPr>
        <w:pStyle w:val="TextBody"/>
        <w:bidi w:val="0"/>
        <w:spacing w:lineRule="auto" w:line="285" w:before="0" w:after="0"/>
        <w:ind w:left="0" w:right="0" w:hanging="0"/>
        <w:jc w:val="left"/>
        <w:rPr>
          <w:rFonts w:ascii="Aptos" w:hAnsi="Aptos"/>
          <w:sz w:val="22"/>
        </w:rPr>
      </w:pPr>
      <w:r>
        <w:rPr>
          <w:rFonts w:ascii="Times New Roman;Times;serif" w:hAnsi="Times New Roman;Times;serif"/>
          <w:b w:val="false"/>
          <w:i w:val="false"/>
          <w:caps w:val="false"/>
          <w:smallCaps w:val="false"/>
          <w:sz w:val="22"/>
        </w:rPr>
        <w:t>Schedule 1</w:t>
      </w:r>
      <w:r>
        <w:rPr>
          <w:rFonts w:ascii="Times New Roman;Times;serif" w:hAnsi="Times New Roman;Times;serif"/>
          <w:sz w:val="22"/>
        </w:rPr>
        <w:t>Commitments of Lenders</w:t>
      </w:r>
    </w:p>
    <w:p>
      <w:pPr>
        <w:pStyle w:val="TextBody"/>
        <w:bidi w:val="0"/>
        <w:spacing w:lineRule="auto" w:line="285" w:before="0" w:after="0"/>
        <w:ind w:left="0" w:right="0" w:hanging="0"/>
        <w:jc w:val="left"/>
        <w:rPr>
          <w:rFonts w:ascii="Aptos" w:hAnsi="Aptos"/>
          <w:sz w:val="22"/>
        </w:rPr>
      </w:pPr>
      <w:r>
        <w:rPr>
          <w:rFonts w:ascii="Times New Roman;Times;serif" w:hAnsi="Times New Roman;Times;serif"/>
          <w:b w:val="false"/>
          <w:i w:val="false"/>
          <w:caps w:val="false"/>
          <w:smallCaps w:val="false"/>
          <w:sz w:val="22"/>
        </w:rPr>
        <w:t>Schedule 2.2</w:t>
      </w:r>
      <w:r>
        <w:rPr>
          <w:rFonts w:ascii="Times New Roman;Times;serif" w:hAnsi="Times New Roman;Times;serif"/>
          <w:sz w:val="22"/>
        </w:rPr>
        <w:t>Existing Letters of Credit</w:t>
      </w:r>
    </w:p>
    <w:p>
      <w:pPr>
        <w:pStyle w:val="TextBody"/>
        <w:bidi w:val="0"/>
        <w:spacing w:lineRule="auto" w:line="285" w:before="0" w:after="0"/>
        <w:ind w:left="0" w:right="0" w:hanging="0"/>
        <w:jc w:val="left"/>
        <w:rPr>
          <w:rFonts w:ascii="Aptos" w:hAnsi="Aptos"/>
          <w:sz w:val="22"/>
        </w:rPr>
      </w:pPr>
      <w:r>
        <w:rPr>
          <w:rFonts w:ascii="Times New Roman;Times;serif" w:hAnsi="Times New Roman;Times;serif"/>
          <w:b w:val="false"/>
          <w:i w:val="false"/>
          <w:caps w:val="false"/>
          <w:smallCaps w:val="false"/>
          <w:sz w:val="22"/>
        </w:rPr>
        <w:t>Schedule 3</w:t>
      </w:r>
      <w:r>
        <w:rPr>
          <w:rFonts w:ascii="Times New Roman;Times;serif" w:hAnsi="Times New Roman;Times;serif"/>
          <w:sz w:val="22"/>
        </w:rPr>
        <w:t>Domestic Guarantors of Payment</w:t>
      </w:r>
    </w:p>
    <w:p>
      <w:pPr>
        <w:pStyle w:val="TextBody"/>
        <w:bidi w:val="0"/>
        <w:spacing w:lineRule="auto" w:line="285" w:before="0" w:after="0"/>
        <w:ind w:left="0" w:right="0" w:hanging="0"/>
        <w:jc w:val="left"/>
        <w:rPr>
          <w:rFonts w:ascii="Aptos" w:hAnsi="Aptos"/>
          <w:sz w:val="22"/>
        </w:rPr>
      </w:pPr>
      <w:r>
        <w:rPr>
          <w:rFonts w:ascii="Times New Roman;Times;serif" w:hAnsi="Times New Roman;Times;serif"/>
          <w:b w:val="false"/>
          <w:i w:val="false"/>
          <w:caps w:val="false"/>
          <w:smallCaps w:val="false"/>
          <w:sz w:val="22"/>
        </w:rPr>
        <w:t>Schedule 5.8</w:t>
      </w:r>
      <w:r>
        <w:rPr>
          <w:rFonts w:ascii="Times New Roman;Times;serif" w:hAnsi="Times New Roman;Times;serif"/>
          <w:sz w:val="22"/>
        </w:rPr>
        <w:t>Indebtedness</w:t>
      </w:r>
    </w:p>
    <w:p>
      <w:pPr>
        <w:pStyle w:val="TextBody"/>
        <w:bidi w:val="0"/>
        <w:spacing w:lineRule="auto" w:line="285" w:before="0" w:after="0"/>
        <w:ind w:left="0" w:right="0" w:hanging="0"/>
        <w:jc w:val="left"/>
        <w:rPr>
          <w:rFonts w:ascii="Aptos" w:hAnsi="Aptos"/>
          <w:sz w:val="22"/>
        </w:rPr>
      </w:pPr>
      <w:r>
        <w:rPr>
          <w:rFonts w:ascii="Times New Roman;Times;serif" w:hAnsi="Times New Roman;Times;serif"/>
          <w:b w:val="false"/>
          <w:i w:val="false"/>
          <w:caps w:val="false"/>
          <w:smallCaps w:val="false"/>
          <w:sz w:val="22"/>
        </w:rPr>
        <w:t>Schedule 5.9</w:t>
      </w:r>
      <w:r>
        <w:rPr>
          <w:rFonts w:ascii="Times New Roman;Times;serif" w:hAnsi="Times New Roman;Times;serif"/>
          <w:sz w:val="22"/>
        </w:rPr>
        <w:t>Liens</w:t>
      </w:r>
    </w:p>
    <w:p>
      <w:pPr>
        <w:pStyle w:val="TextBody"/>
        <w:bidi w:val="0"/>
        <w:spacing w:lineRule="auto" w:line="285" w:before="0" w:after="0"/>
        <w:ind w:left="0" w:right="0" w:hanging="0"/>
        <w:jc w:val="left"/>
        <w:rPr>
          <w:rFonts w:ascii="Aptos" w:hAnsi="Aptos"/>
          <w:sz w:val="22"/>
        </w:rPr>
      </w:pPr>
      <w:r>
        <w:rPr>
          <w:rFonts w:ascii="Times New Roman;Times;serif" w:hAnsi="Times New Roman;Times;serif"/>
          <w:b w:val="false"/>
          <w:i w:val="false"/>
          <w:caps w:val="false"/>
          <w:smallCaps w:val="false"/>
          <w:sz w:val="22"/>
        </w:rPr>
        <w:t>Schedule 6.1</w:t>
      </w:r>
      <w:r>
        <w:rPr>
          <w:rFonts w:ascii="Times New Roman;Times;serif" w:hAnsi="Times New Roman;Times;serif"/>
          <w:sz w:val="22"/>
        </w:rPr>
        <w:t>Corporate Existence; Subsidiaries; Foreign Qualification</w:t>
      </w:r>
    </w:p>
    <w:p>
      <w:pPr>
        <w:pStyle w:val="TextBody"/>
        <w:bidi w:val="0"/>
        <w:spacing w:lineRule="auto" w:line="285" w:before="0" w:after="0"/>
        <w:ind w:left="0" w:right="0" w:hanging="0"/>
        <w:jc w:val="left"/>
        <w:rPr>
          <w:rFonts w:ascii="Aptos" w:hAnsi="Aptos"/>
          <w:sz w:val="22"/>
        </w:rPr>
      </w:pPr>
      <w:r>
        <w:rPr>
          <w:rFonts w:ascii="Times New Roman;Times;serif" w:hAnsi="Times New Roman;Times;serif"/>
          <w:b w:val="false"/>
          <w:i w:val="false"/>
          <w:caps w:val="false"/>
          <w:smallCaps w:val="false"/>
          <w:sz w:val="22"/>
        </w:rPr>
        <w:t>Schedule 6.4</w:t>
      </w:r>
      <w:r>
        <w:rPr>
          <w:rFonts w:ascii="Times New Roman;Times;serif" w:hAnsi="Times New Roman;Times;serif"/>
          <w:sz w:val="22"/>
        </w:rPr>
        <w:t>Litigation and Administrative Proceedings</w:t>
      </w:r>
    </w:p>
    <w:p>
      <w:pPr>
        <w:pStyle w:val="TextBody"/>
        <w:bidi w:val="0"/>
        <w:spacing w:lineRule="auto" w:line="285" w:before="0" w:after="0"/>
        <w:ind w:left="0" w:right="0" w:hanging="0"/>
        <w:jc w:val="left"/>
        <w:rPr>
          <w:rFonts w:ascii="Aptos" w:hAnsi="Aptos"/>
          <w:sz w:val="22"/>
        </w:rPr>
      </w:pPr>
      <w:r>
        <w:rPr>
          <w:rFonts w:ascii="Times New Roman;Times;serif" w:hAnsi="Times New Roman;Times;serif"/>
          <w:b w:val="false"/>
          <w:i w:val="false"/>
          <w:caps w:val="false"/>
          <w:smallCaps w:val="false"/>
          <w:sz w:val="22"/>
        </w:rPr>
        <w:t>Schedule 6.9</w:t>
      </w:r>
      <w:r>
        <w:rPr>
          <w:rFonts w:ascii="Times New Roman;Times;serif" w:hAnsi="Times New Roman;Times;serif"/>
          <w:sz w:val="22"/>
        </w:rPr>
        <w:t>Locations</w:t>
      </w:r>
    </w:p>
    <w:p>
      <w:pPr>
        <w:pStyle w:val="TextBody"/>
        <w:bidi w:val="0"/>
        <w:spacing w:lineRule="auto" w:line="285" w:before="0" w:after="0"/>
        <w:ind w:left="0" w:right="0" w:hanging="0"/>
        <w:jc w:val="left"/>
        <w:rPr>
          <w:rFonts w:ascii="Aptos" w:hAnsi="Aptos"/>
          <w:sz w:val="22"/>
        </w:rPr>
      </w:pPr>
      <w:r>
        <w:rPr>
          <w:rFonts w:ascii="Times New Roman;Times;serif" w:hAnsi="Times New Roman;Times;serif"/>
          <w:b w:val="false"/>
          <w:i w:val="false"/>
          <w:caps w:val="false"/>
          <w:smallCaps w:val="false"/>
          <w:sz w:val="22"/>
        </w:rPr>
        <w:t>Schedule 6.11</w:t>
      </w:r>
      <w:r>
        <w:rPr>
          <w:rFonts w:ascii="Times New Roman;Times;serif" w:hAnsi="Times New Roman;Times;serif"/>
          <w:sz w:val="22"/>
        </w:rPr>
        <w:t>Employee Benefits Plans</w:t>
      </w:r>
    </w:p>
    <w:p>
      <w:pPr>
        <w:pStyle w:val="TextBody"/>
        <w:bidi w:val="0"/>
        <w:spacing w:lineRule="auto" w:line="285" w:before="0" w:after="0"/>
        <w:ind w:left="0" w:right="0" w:hanging="0"/>
        <w:jc w:val="left"/>
        <w:rPr>
          <w:rFonts w:ascii="Aptos" w:hAnsi="Aptos"/>
          <w:sz w:val="22"/>
        </w:rPr>
      </w:pPr>
      <w:r>
        <w:rPr>
          <w:rFonts w:ascii="Times New Roman;Times;serif" w:hAnsi="Times New Roman;Times;serif"/>
          <w:b w:val="false"/>
          <w:i w:val="false"/>
          <w:caps w:val="false"/>
          <w:smallCaps w:val="false"/>
          <w:sz w:val="22"/>
        </w:rPr>
        <w:t>Schedule 6.16</w:t>
      </w:r>
      <w:r>
        <w:rPr>
          <w:rFonts w:ascii="Times New Roman;Times;serif" w:hAnsi="Times New Roman;Times;serif"/>
          <w:sz w:val="22"/>
        </w:rPr>
        <w:t>Material Agreements</w:t>
      </w:r>
    </w:p>
    <w:p>
      <w:pPr>
        <w:pStyle w:val="TextBody"/>
        <w:bidi w:val="0"/>
        <w:spacing w:lineRule="auto" w:line="285" w:before="0" w:after="480"/>
        <w:ind w:left="0" w:right="0" w:hanging="0"/>
        <w:jc w:val="left"/>
        <w:rPr>
          <w:rFonts w:ascii="Aptos" w:hAnsi="Aptos"/>
          <w:sz w:val="22"/>
        </w:rPr>
      </w:pPr>
      <w:r>
        <w:rPr>
          <w:rFonts w:ascii="Times New Roman;Times;serif" w:hAnsi="Times New Roman;Times;serif"/>
          <w:b w:val="false"/>
          <w:i w:val="false"/>
          <w:caps w:val="false"/>
          <w:smallCaps w:val="false"/>
          <w:sz w:val="22"/>
        </w:rPr>
        <w:t>Schedule 6.18</w:t>
      </w:r>
      <w:r>
        <w:rPr>
          <w:rFonts w:ascii="Times New Roman;Times;serif" w:hAnsi="Times New Roman;Times;serif"/>
          <w:sz w:val="22"/>
        </w:rPr>
        <w:t>Insurance</w:t>
        <w:br/>
      </w:r>
      <w:r>
        <w:rPr>
          <w:rFonts w:ascii="Aptos" w:hAnsi="Aptos"/>
          <w:sz w:val="22"/>
        </w:rPr>
        <w:t>​</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vi</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firstLine="720"/>
        <w:jc w:val="both"/>
        <w:rPr>
          <w:rFonts w:ascii="Aptos" w:hAnsi="Aptos"/>
          <w:sz w:val="22"/>
        </w:rPr>
      </w:pPr>
      <w:r>
        <w:rPr>
          <w:rFonts w:ascii="Times New Roman;Times;serif" w:hAnsi="Times New Roman;Times;serif"/>
          <w:sz w:val="22"/>
        </w:rPr>
        <w:t>This AMENDED AND RESTATED CREDIT AGREEMENT (as the same may from time to time be amended, restated or otherwise modified, this “</w:t>
      </w:r>
      <w:r>
        <w:rPr>
          <w:rFonts w:ascii="Times New Roman;Times;serif" w:hAnsi="Times New Roman;Times;serif"/>
          <w:sz w:val="22"/>
          <w:u w:val="single"/>
        </w:rPr>
        <w:t>Agreement</w:t>
      </w:r>
      <w:r>
        <w:rPr>
          <w:rFonts w:ascii="Aptos" w:hAnsi="Aptos"/>
          <w:sz w:val="22"/>
        </w:rPr>
        <w:t>”</w:t>
      </w:r>
      <w:r>
        <w:rPr>
          <w:rFonts w:ascii="Times New Roman;Times;serif" w:hAnsi="Times New Roman;Times;serif"/>
          <w:sz w:val="22"/>
        </w:rPr>
        <w:t>) is made effective as of the June 3, 2013 among:</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(a)TTEC HOLDINGS, INC. (formerly known as TeleTech Holdings, Inc.), a Texas corporation (“</w:t>
      </w:r>
      <w:r>
        <w:rPr>
          <w:rFonts w:ascii="Times New Roman;Times;serif" w:hAnsi="Times New Roman;Times;serif"/>
          <w:sz w:val="22"/>
          <w:u w:val="single"/>
        </w:rPr>
        <w:t>US Borrower</w:t>
      </w:r>
      <w:r>
        <w:rPr>
          <w:rFonts w:ascii="Aptos" w:hAnsi="Aptos"/>
          <w:sz w:val="24"/>
        </w:rPr>
        <w:t>”</w:t>
      </w:r>
      <w:r>
        <w:rPr>
          <w:rFonts w:ascii="Times New Roman;Times;serif" w:hAnsi="Times New Roman;Times;serif"/>
          <w:sz w:val="22"/>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(b)each Foreign Borrower, as hereinafter defined, as may hereafter become a party hereto (each such Foreign Borrower, together with US Borrower shall be referred to herein, collectively, as “</w:t>
      </w:r>
      <w:r>
        <w:rPr>
          <w:rFonts w:ascii="Times New Roman;Times;serif" w:hAnsi="Times New Roman;Times;serif"/>
          <w:sz w:val="22"/>
          <w:u w:val="single"/>
        </w:rPr>
        <w:t>Borrowers</w:t>
      </w:r>
      <w:r>
        <w:rPr>
          <w:rFonts w:ascii="Aptos" w:hAnsi="Aptos"/>
          <w:sz w:val="24"/>
        </w:rPr>
        <w:t xml:space="preserve">” </w:t>
      </w:r>
      <w:r>
        <w:rPr>
          <w:rFonts w:ascii="Times New Roman;Times;serif" w:hAnsi="Times New Roman;Times;serif"/>
          <w:sz w:val="22"/>
        </w:rPr>
        <w:t>and, individually, each a “</w:t>
      </w:r>
      <w:r>
        <w:rPr>
          <w:rFonts w:ascii="Times New Roman;Times;serif" w:hAnsi="Times New Roman;Times;serif"/>
          <w:sz w:val="22"/>
          <w:u w:val="single"/>
        </w:rPr>
        <w:t>Borrower</w:t>
      </w:r>
      <w:r>
        <w:rPr>
          <w:rFonts w:ascii="Aptos" w:hAnsi="Aptos"/>
          <w:sz w:val="24"/>
        </w:rPr>
        <w:t>”</w:t>
      </w:r>
      <w:r>
        <w:rPr>
          <w:rFonts w:ascii="Times New Roman;Times;serif" w:hAnsi="Times New Roman;Times;serif"/>
          <w:sz w:val="22"/>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 xml:space="preserve">(c)the lenders listed on </w:t>
      </w:r>
      <w:r>
        <w:rPr>
          <w:rFonts w:ascii="Times New Roman;Times;serif" w:hAnsi="Times New Roman;Times;serif"/>
          <w:sz w:val="22"/>
          <w:u w:val="single"/>
        </w:rPr>
        <w:t>Schedule 1</w:t>
      </w:r>
      <w:r>
        <w:rPr>
          <w:rFonts w:ascii="Aptos" w:hAnsi="Aptos"/>
          <w:sz w:val="24"/>
        </w:rPr>
        <w:t xml:space="preserve"> </w:t>
      </w:r>
      <w:r>
        <w:rPr>
          <w:rFonts w:ascii="Times New Roman;Times;serif" w:hAnsi="Times New Roman;Times;serif"/>
          <w:sz w:val="22"/>
        </w:rPr>
        <w:t xml:space="preserve">hereto and each other Additional Lender, as hereinafter defined, that from time to time becomes a party hereto pursuant to </w:t>
      </w:r>
      <w:r>
        <w:rPr>
          <w:rFonts w:ascii="Times New Roman;Times;serif" w:hAnsi="Times New Roman;Times;serif"/>
          <w:sz w:val="22"/>
          <w:u w:val="single"/>
        </w:rPr>
        <w:t>Section 2.9(c)</w:t>
      </w:r>
      <w:r>
        <w:rPr>
          <w:rFonts w:ascii="Aptos" w:hAnsi="Aptos"/>
          <w:sz w:val="24"/>
        </w:rPr>
        <w:t xml:space="preserve"> </w:t>
      </w:r>
      <w:r>
        <w:rPr>
          <w:rFonts w:ascii="Times New Roman;Times;serif" w:hAnsi="Times New Roman;Times;serif"/>
          <w:sz w:val="22"/>
        </w:rPr>
        <w:t xml:space="preserve">or </w:t>
      </w:r>
      <w:r>
        <w:rPr>
          <w:rFonts w:ascii="Times New Roman;Times;serif" w:hAnsi="Times New Roman;Times;serif"/>
          <w:sz w:val="22"/>
          <w:u w:val="single"/>
        </w:rPr>
        <w:t>11.10</w:t>
      </w:r>
      <w:r>
        <w:rPr>
          <w:rFonts w:ascii="Aptos" w:hAnsi="Aptos"/>
          <w:sz w:val="24"/>
        </w:rPr>
        <w:t xml:space="preserve"> </w:t>
      </w:r>
      <w:r>
        <w:rPr>
          <w:rFonts w:ascii="Times New Roman;Times;serif" w:hAnsi="Times New Roman;Times;serif"/>
          <w:sz w:val="22"/>
        </w:rPr>
        <w:t>hereof (collectively, the “</w:t>
      </w:r>
      <w:r>
        <w:rPr>
          <w:rFonts w:ascii="Times New Roman;Times;serif" w:hAnsi="Times New Roman;Times;serif"/>
          <w:sz w:val="22"/>
          <w:u w:val="single"/>
        </w:rPr>
        <w:t>Lenders</w:t>
      </w:r>
      <w:r>
        <w:rPr>
          <w:rFonts w:ascii="Aptos" w:hAnsi="Aptos"/>
          <w:sz w:val="24"/>
        </w:rPr>
        <w:t xml:space="preserve">” </w:t>
      </w:r>
      <w:r>
        <w:rPr>
          <w:rFonts w:ascii="Times New Roman;Times;serif" w:hAnsi="Times New Roman;Times;serif"/>
          <w:sz w:val="22"/>
        </w:rPr>
        <w:t>and, individually, each a “</w:t>
      </w:r>
      <w:r>
        <w:rPr>
          <w:rFonts w:ascii="Times New Roman;Times;serif" w:hAnsi="Times New Roman;Times;serif"/>
          <w:sz w:val="22"/>
          <w:u w:val="single"/>
        </w:rPr>
        <w:t>Lender</w:t>
      </w:r>
      <w:r>
        <w:rPr>
          <w:rFonts w:ascii="Aptos" w:hAnsi="Aptos"/>
          <w:sz w:val="24"/>
        </w:rPr>
        <w:t>”</w:t>
      </w:r>
      <w:r>
        <w:rPr>
          <w:rFonts w:ascii="Times New Roman;Times;serif" w:hAnsi="Times New Roman;Times;serif"/>
          <w:sz w:val="22"/>
        </w:rPr>
        <w:t>); and</w:t>
      </w:r>
    </w:p>
    <w:p>
      <w:pPr>
        <w:pStyle w:val="TextBody"/>
        <w:bidi w:val="0"/>
        <w:spacing w:lineRule="auto" w:line="285"/>
        <w:ind w:left="0" w:right="0" w:hanging="0"/>
        <w:jc w:val="both"/>
        <w:rPr>
          <w:rFonts w:ascii="Aptos" w:hAnsi="Aptos"/>
          <w:sz w:val="24"/>
        </w:rPr>
      </w:pPr>
      <w:r>
        <w:rPr>
          <w:rFonts w:ascii="Times New Roman;Times;serif" w:hAnsi="Times New Roman;Times;serif"/>
          <w:sz w:val="22"/>
        </w:rPr>
        <w:t>(d)WELLS FARGO BANK, NATIONAL ASSOCIATION, a national banking association, as administrative agent for the Lenders under this Agreement and the other Loan Documents (“</w:t>
      </w:r>
      <w:r>
        <w:rPr>
          <w:rFonts w:ascii="Times New Roman;Times;serif" w:hAnsi="Times New Roman;Times;serif"/>
          <w:sz w:val="22"/>
          <w:u w:val="single"/>
        </w:rPr>
        <w:t>Agent</w:t>
      </w:r>
      <w:r>
        <w:rPr>
          <w:rFonts w:ascii="Aptos" w:hAnsi="Aptos"/>
          <w:sz w:val="24"/>
        </w:rPr>
        <w:t>”</w:t>
      </w:r>
      <w:r>
        <w:rPr>
          <w:rFonts w:ascii="Times New Roman;Times;serif" w:hAnsi="Times New Roman;Times;serif"/>
          <w:sz w:val="22"/>
        </w:rPr>
        <w:t>).</w:t>
      </w:r>
    </w:p>
    <w:p>
      <w:pPr>
        <w:pStyle w:val="TextBody"/>
        <w:bidi w:val="0"/>
        <w:spacing w:lineRule="auto" w:line="285" w:before="0" w:after="240"/>
        <w:ind w:left="0" w:right="0" w:hanging="0"/>
        <w:jc w:val="center"/>
        <w:rPr>
          <w:rFonts w:ascii="Times New Roman;Times;serif" w:hAnsi="Times New Roman;Times;serif"/>
          <w:caps/>
          <w:sz w:val="22"/>
        </w:rPr>
      </w:pPr>
      <w:r>
        <w:rPr>
          <w:rFonts w:ascii="Times New Roman;Times;serif" w:hAnsi="Times New Roman;Times;serif"/>
          <w:caps/>
          <w:sz w:val="22"/>
        </w:rPr>
        <w:t>WITNESSETH:</w:t>
      </w:r>
    </w:p>
    <w:p>
      <w:pPr>
        <w:pStyle w:val="TextBody"/>
        <w:bidi w:val="0"/>
        <w:spacing w:lineRule="auto" w:line="285" w:before="0" w:after="240"/>
        <w:ind w:left="0" w:right="0" w:firstLine="720"/>
        <w:jc w:val="both"/>
        <w:rPr>
          <w:rFonts w:ascii="Aptos" w:hAnsi="Aptos"/>
          <w:sz w:val="22"/>
        </w:rPr>
      </w:pPr>
      <w:r>
        <w:rPr>
          <w:rFonts w:ascii="Times New Roman;Times;serif" w:hAnsi="Times New Roman;Times;serif"/>
          <w:sz w:val="22"/>
        </w:rPr>
        <w:t>WHEREAS, US Borrower, the lenders named therein, as lenders, and KeyBank National Association, as agent, entered into that certain Credit Agreement, dated as of October 1, 2010, as amended by a First Amendment thereto dated as of March 27, 2012 (collectively, the “</w:t>
      </w:r>
      <w:r>
        <w:rPr>
          <w:rFonts w:ascii="Times New Roman;Times;serif" w:hAnsi="Times New Roman;Times;serif"/>
          <w:sz w:val="22"/>
          <w:u w:val="single"/>
        </w:rPr>
        <w:t>Existing Credit Agreement</w:t>
      </w:r>
      <w:r>
        <w:rPr>
          <w:rFonts w:ascii="Aptos" w:hAnsi="Aptos"/>
          <w:sz w:val="22"/>
        </w:rPr>
        <w:t>”</w:t>
      </w:r>
      <w:r>
        <w:rPr>
          <w:rFonts w:ascii="Times New Roman;Times;serif" w:hAnsi="Times New Roman;Times;serif"/>
          <w:sz w:val="22"/>
        </w:rPr>
        <w:t>);</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WHEREAS, this Agreement amends and restates in its entirety the Existing Credit Agreement and, upon the effectiveness of this Agreement, the terms and provisions of the Existing Credit Agreement shall be superseded hereby.  All references to “Credit Agreement” contained in the Loan Documents, as defined in the Existing Credit Agreement, delivered in connection with the Existing Credit Agreement, shall be deemed to refer to this Agreement.  Notwithstanding the amendment and restatement of the Existing Credit Agreement by this Agreement, the obligations outstanding (including, but not limited to, the letters of credit issued and outstanding under the Existing Credit Agreement as of the date hereof) shall remain outstanding and constitute continuing Obligations hereunder.  Such outstanding Obligations and the guaranties of payment thereof shall in all respects be continuing, and this Agreement shall not be deemed to evidence or result in a novation or repayment and re-borrowing of such Obligations.  In furtherance of and, without limiting the foregoing, from and after the date hereof and except as expressly specified herein, the terms, conditions, and covenants governing the obligations outstanding under the Existing Credit Agreement shall be solely as set forth in this Agreement, which shall supersede the Existing Credit Agreement in its entirety; and</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WHEREAS, Borrowers, Agent and the Lenders desire to contract for the establishment of credits in the aggregate principal amounts hereinafter set forth, to be made available to Borrowers upon the terms and subject to the conditions hereinafter set forth.</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NOW, THEREFORE, it is mutually agreed as follows:</w:t>
      </w:r>
    </w:p>
    <w:p>
      <w:pPr>
        <w:pStyle w:val="TextBody"/>
        <w:bidi w:val="0"/>
        <w:spacing w:lineRule="auto" w:line="285" w:before="0" w:after="0"/>
        <w:ind w:left="0" w:right="0" w:hanging="0"/>
        <w:jc w:val="center"/>
        <w:rPr>
          <w:rFonts w:ascii="Aptos" w:hAnsi="Aptos"/>
          <w:sz w:val="24"/>
        </w:rPr>
      </w:pPr>
      <w:r>
        <w:rPr>
          <w:rFonts w:ascii="Times New Roman;Times;serif" w:hAnsi="Times New Roman;Times;serif"/>
          <w:caps/>
          <w:sz w:val="22"/>
        </w:rPr>
        <w:t>ARTICLE I.</w:t>
      </w:r>
      <w:r>
        <w:rPr>
          <w:rFonts w:ascii="Aptos" w:hAnsi="Aptos"/>
          <w:caps/>
          <w:sz w:val="24"/>
        </w:rPr>
        <w:t xml:space="preserve"> </w:t>
      </w:r>
      <w:bookmarkStart w:id="1789" w:name="_Toc236844289"/>
      <w:bookmarkStart w:id="1790" w:name="_Toc172896634"/>
      <w:bookmarkEnd w:id="1789"/>
      <w:bookmarkEnd w:id="1790"/>
      <w:r>
        <w:rPr>
          <w:rFonts w:ascii="Times New Roman;Times;serif" w:hAnsi="Times New Roman;Times;serif"/>
          <w:caps/>
          <w:sz w:val="22"/>
        </w:rPr>
        <w:t>DEFINITIONS</w:t>
      </w:r>
    </w:p>
    <w:p>
      <w:pPr>
        <w:pStyle w:val="TextBody"/>
        <w:bidi w:val="0"/>
        <w:spacing w:lineRule="auto" w:line="285"/>
        <w:ind w:left="0" w:right="0" w:hanging="0"/>
        <w:jc w:val="both"/>
        <w:rPr>
          <w:rFonts w:ascii="Aptos" w:hAnsi="Aptos"/>
          <w:sz w:val="24"/>
        </w:rPr>
      </w:pPr>
      <w:r>
        <w:rPr>
          <w:rFonts w:ascii="Times New Roman;Times;serif" w:hAnsi="Times New Roman;Times;serif"/>
          <w:sz w:val="22"/>
        </w:rPr>
        <w:t>Section 1.1</w:t>
      </w:r>
      <w:bookmarkStart w:id="1791" w:name="_Toc236844290"/>
      <w:bookmarkStart w:id="1792" w:name="_Toc172896635"/>
      <w:bookmarkEnd w:id="1791"/>
      <w:bookmarkEnd w:id="1792"/>
      <w:r>
        <w:rPr>
          <w:rFonts w:ascii="Times New Roman;Times;serif" w:hAnsi="Times New Roman;Times;serif"/>
          <w:sz w:val="22"/>
          <w:u w:val="single"/>
        </w:rPr>
        <w:t>Definitions</w:t>
      </w:r>
      <w:r>
        <w:rPr>
          <w:rFonts w:ascii="Times New Roman;Times;serif" w:hAnsi="Times New Roman;Times;serif"/>
          <w:sz w:val="22"/>
        </w:rPr>
        <w:t>.  As used in this Agreement, the following terms shall have the meanings set forth below:</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13-Week Forecast</w:t>
      </w:r>
      <w:r>
        <w:rPr>
          <w:rFonts w:ascii="Aptos" w:hAnsi="Aptos"/>
          <w:sz w:val="22"/>
        </w:rPr>
        <w:t xml:space="preserve">” </w:t>
      </w:r>
      <w:r>
        <w:rPr>
          <w:rFonts w:ascii="Times New Roman;Times;serif" w:hAnsi="Times New Roman;Times;serif"/>
          <w:sz w:val="22"/>
        </w:rPr>
        <w:t xml:space="preserve">means that term as defined in </w:t>
      </w:r>
      <w:r>
        <w:rPr>
          <w:rFonts w:ascii="Times New Roman;Times;serif" w:hAnsi="Times New Roman;Times;serif"/>
          <w:sz w:val="22"/>
          <w:u w:val="single"/>
        </w:rPr>
        <w:t>Section 5.3(i)</w:t>
      </w:r>
      <w:r>
        <w:rPr>
          <w:rFonts w:ascii="Aptos" w:hAnsi="Aptos"/>
          <w:sz w:val="22"/>
        </w:rPr>
        <w:t xml:space="preserve"> </w:t>
      </w:r>
      <w:r>
        <w:rPr>
          <w:rFonts w:ascii="Times New Roman;Times;serif" w:hAnsi="Times New Roman;Times;serif"/>
          <w:sz w:val="22"/>
        </w:rPr>
        <w:t>hereof.</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Acquisition</w:t>
      </w:r>
      <w:r>
        <w:rPr>
          <w:rFonts w:ascii="Aptos" w:hAnsi="Aptos"/>
          <w:sz w:val="22"/>
        </w:rPr>
        <w:t xml:space="preserve">” </w:t>
      </w:r>
      <w:r>
        <w:rPr>
          <w:rFonts w:ascii="Times New Roman;Times;serif" w:hAnsi="Times New Roman;Times;serif"/>
          <w:sz w:val="22"/>
        </w:rPr>
        <w:t>means any transaction or series of related transactions for the purpose of or resulting, directly or indirectly, in (a) the acquisition of all or substantially all of the assets of any Person (other than a Company), or any business or division of any Person (other than a Company), (b) the acquisition of in excess of fifty percent (50%) of the outstanding capital stock (or other equity interest) of any Person (other than a Company), or (c) the acquisition of another Person (other than a Company) by a merger, amalgamation or consolidation or any other combination with such Person.</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Additional Commitment</w:t>
      </w:r>
      <w:r>
        <w:rPr>
          <w:rFonts w:ascii="Aptos" w:hAnsi="Aptos"/>
          <w:sz w:val="22"/>
        </w:rPr>
        <w:t xml:space="preserve">” </w:t>
      </w:r>
      <w:r>
        <w:rPr>
          <w:rFonts w:ascii="Times New Roman;Times;serif" w:hAnsi="Times New Roman;Times;serif"/>
          <w:sz w:val="22"/>
        </w:rPr>
        <w:t xml:space="preserve">means that term as defined in </w:t>
      </w:r>
      <w:r>
        <w:rPr>
          <w:rFonts w:ascii="Times New Roman;Times;serif" w:hAnsi="Times New Roman;Times;serif"/>
          <w:sz w:val="22"/>
          <w:u w:val="single"/>
        </w:rPr>
        <w:t>Section 2.9(b)</w:t>
      </w:r>
      <w:r>
        <w:rPr>
          <w:rFonts w:ascii="Aptos" w:hAnsi="Aptos"/>
          <w:sz w:val="22"/>
        </w:rPr>
        <w:t xml:space="preserve"> </w:t>
      </w:r>
      <w:r>
        <w:rPr>
          <w:rFonts w:ascii="Times New Roman;Times;serif" w:hAnsi="Times New Roman;Times;serif"/>
          <w:sz w:val="22"/>
        </w:rPr>
        <w:t>hereof.</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Additional Foreign Borrower Assumption Agreement</w:t>
      </w:r>
      <w:r>
        <w:rPr>
          <w:rFonts w:ascii="Aptos" w:hAnsi="Aptos"/>
          <w:sz w:val="22"/>
        </w:rPr>
        <w:t xml:space="preserve">” </w:t>
      </w:r>
      <w:r>
        <w:rPr>
          <w:rFonts w:ascii="Times New Roman;Times;serif" w:hAnsi="Times New Roman;Times;serif"/>
          <w:sz w:val="22"/>
        </w:rPr>
        <w:t xml:space="preserve">means each of the Additional Foreign Borrower Assumption Agreements executed by a Foreign Borrower, as applicable, after the Closing Date, substantially in the form of the attached </w:t>
      </w:r>
      <w:r>
        <w:rPr>
          <w:rFonts w:ascii="Times New Roman;Times;serif" w:hAnsi="Times New Roman;Times;serif"/>
          <w:sz w:val="22"/>
          <w:u w:val="single"/>
        </w:rPr>
        <w:t>Exhibit G</w:t>
      </w:r>
      <w:r>
        <w:rPr>
          <w:rFonts w:ascii="Times New Roman;Times;serif" w:hAnsi="Times New Roman;Times;serif"/>
          <w:sz w:val="22"/>
        </w:rPr>
        <w:t>, as the same may from time to time be amended, restated or otherwise modified.</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Additional Lender</w:t>
      </w:r>
      <w:r>
        <w:rPr>
          <w:rFonts w:ascii="Aptos" w:hAnsi="Aptos"/>
          <w:sz w:val="22"/>
        </w:rPr>
        <w:t xml:space="preserve">” </w:t>
      </w:r>
      <w:r>
        <w:rPr>
          <w:rFonts w:ascii="Times New Roman;Times;serif" w:hAnsi="Times New Roman;Times;serif"/>
          <w:sz w:val="22"/>
        </w:rPr>
        <w:t xml:space="preserve">means an Eligible Transferee that shall become a Lender during the Commitment Increase Period pursuant to </w:t>
      </w:r>
      <w:r>
        <w:rPr>
          <w:rFonts w:ascii="Times New Roman;Times;serif" w:hAnsi="Times New Roman;Times;serif"/>
          <w:sz w:val="22"/>
          <w:u w:val="single"/>
        </w:rPr>
        <w:t>Section 2.9(c)</w:t>
      </w:r>
      <w:r>
        <w:rPr>
          <w:rFonts w:ascii="Aptos" w:hAnsi="Aptos"/>
          <w:sz w:val="22"/>
        </w:rPr>
        <w:t xml:space="preserve"> </w:t>
      </w:r>
      <w:r>
        <w:rPr>
          <w:rFonts w:ascii="Times New Roman;Times;serif" w:hAnsi="Times New Roman;Times;serif"/>
          <w:sz w:val="22"/>
        </w:rPr>
        <w:t>hereof.</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Additional Lender Assumption Agreement</w:t>
      </w:r>
      <w:r>
        <w:rPr>
          <w:rFonts w:ascii="Aptos" w:hAnsi="Aptos"/>
          <w:sz w:val="22"/>
        </w:rPr>
        <w:t xml:space="preserve">” </w:t>
      </w:r>
      <w:r>
        <w:rPr>
          <w:rFonts w:ascii="Times New Roman;Times;serif" w:hAnsi="Times New Roman;Times;serif"/>
          <w:sz w:val="22"/>
        </w:rPr>
        <w:t>means an additional lender assumption agreement, in form and substance satisfactory to Agent, wherein an Additional Lender shall become a Lender.</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Additional Lender Assumption Effective Date</w:t>
      </w:r>
      <w:r>
        <w:rPr>
          <w:rFonts w:ascii="Aptos" w:hAnsi="Aptos"/>
          <w:sz w:val="22"/>
        </w:rPr>
        <w:t xml:space="preserve">” </w:t>
      </w:r>
      <w:r>
        <w:rPr>
          <w:rFonts w:ascii="Times New Roman;Times;serif" w:hAnsi="Times New Roman;Times;serif"/>
          <w:sz w:val="22"/>
        </w:rPr>
        <w:t xml:space="preserve">means that term as defined in </w:t>
      </w:r>
      <w:r>
        <w:rPr>
          <w:rFonts w:ascii="Times New Roman;Times;serif" w:hAnsi="Times New Roman;Times;serif"/>
          <w:sz w:val="22"/>
          <w:u w:val="single"/>
        </w:rPr>
        <w:t>Section 2.9(c)</w:t>
      </w:r>
      <w:r>
        <w:rPr>
          <w:rFonts w:ascii="Aptos" w:hAnsi="Aptos"/>
          <w:sz w:val="22"/>
        </w:rPr>
        <w:t xml:space="preserve"> </w:t>
      </w:r>
      <w:r>
        <w:rPr>
          <w:rFonts w:ascii="Times New Roman;Times;serif" w:hAnsi="Times New Roman;Times;serif"/>
          <w:sz w:val="22"/>
        </w:rPr>
        <w:t>hereof.</w:t>
      </w:r>
    </w:p>
    <w:p>
      <w:pPr>
        <w:pStyle w:val="TextBody"/>
        <w:bidi w:val="0"/>
        <w:spacing w:lineRule="auto" w:line="285" w:before="0" w:after="360"/>
        <w:ind w:left="0" w:right="0" w:firstLine="720"/>
        <w:jc w:val="both"/>
        <w:rPr/>
      </w:pPr>
      <w:r>
        <w:rPr/>
        <w:t>“</w:t>
      </w:r>
      <w:r>
        <w:rPr>
          <w:rFonts w:ascii="Times New Roman;Times;serif" w:hAnsi="Times New Roman;Times;serif"/>
          <w:sz w:val="22"/>
          <w:u w:val="single"/>
        </w:rPr>
        <w:t>Adjusted Eurodollar Rate</w:t>
      </w:r>
      <w:r>
        <w:rPr>
          <w:rFonts w:ascii="Aptos" w:hAnsi="Aptos"/>
          <w:sz w:val="22"/>
        </w:rPr>
        <w:t xml:space="preserve">” </w:t>
      </w:r>
      <w:r>
        <w:rPr>
          <w:rFonts w:ascii="Times New Roman;Times;serif" w:hAnsi="Times New Roman;Times;serif"/>
          <w:sz w:val="22"/>
        </w:rPr>
        <w:t>means, as to any Loan denominated in any applicable Currency not bearing interest based on an RFR (which, as of the Sixth Amendment Effective Date, shall mean Dollars and each of the Currencies identified in clause (a) of the definition of “Alternate Currency”, other than Sterling) for any Interest Period, a rate per annum determined by the Agent pursuant to the following formula:</w:t>
      </w:r>
    </w:p>
    <w:tbl>
      <w:tblPr>
        <w:tblW w:w="8282" w:type="dxa"/>
        <w:jc w:val="left"/>
        <w:tblInd w:w="0" w:type="dxa"/>
        <w:tblLayout w:type="fixed"/>
        <w:tblCellMar>
          <w:top w:w="0" w:type="dxa"/>
          <w:left w:w="0" w:type="dxa"/>
          <w:bottom w:w="0" w:type="dxa"/>
          <w:right w:w="0" w:type="dxa"/>
        </w:tblCellMar>
      </w:tblPr>
      <w:tblGrid>
        <w:gridCol w:w="2671"/>
        <w:gridCol w:w="5611"/>
      </w:tblGrid>
      <w:tr>
        <w:trPr/>
        <w:tc>
          <w:tcPr>
            <w:tcW w:w="2671" w:type="dxa"/>
            <w:tcBorders/>
            <w:vAlign w:val="center"/>
          </w:tcPr>
          <w:p>
            <w:pPr>
              <w:pStyle w:val="TableContents"/>
              <w:bidi w:val="0"/>
              <w:spacing w:lineRule="auto" w:line="285" w:before="0" w:after="0"/>
              <w:ind w:left="0" w:right="0" w:hanging="0"/>
              <w:jc w:val="left"/>
              <w:rPr/>
            </w:pPr>
            <w:r>
              <w:rPr/>
              <w:t>​</w:t>
            </w:r>
          </w:p>
        </w:tc>
        <w:tc>
          <w:tcPr>
            <w:tcW w:w="5611" w:type="dxa"/>
            <w:tcBorders/>
            <w:vAlign w:val="center"/>
          </w:tcPr>
          <w:p>
            <w:pPr>
              <w:pStyle w:val="TableContents"/>
              <w:bidi w:val="0"/>
              <w:spacing w:lineRule="auto" w:line="285" w:before="0" w:after="0"/>
              <w:ind w:left="0" w:right="0" w:hanging="0"/>
              <w:jc w:val="left"/>
              <w:rPr/>
            </w:pPr>
            <w:r>
              <w:rPr/>
              <w:t>​</w:t>
            </w:r>
          </w:p>
        </w:tc>
      </w:tr>
      <w:tr>
        <w:trPr/>
        <w:tc>
          <w:tcPr>
            <w:tcW w:w="2671" w:type="dxa"/>
            <w:tcBorders/>
            <w:vAlign w:val="center"/>
          </w:tcPr>
          <w:p>
            <w:pPr>
              <w:pStyle w:val="TableContents"/>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Adjusted Eurodollar Rate =</w:t>
            </w:r>
          </w:p>
        </w:tc>
        <w:tc>
          <w:tcPr>
            <w:tcW w:w="561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Eurodollar Rate for such Currency for such Interest Period</w:t>
            </w:r>
          </w:p>
        </w:tc>
      </w:tr>
      <w:tr>
        <w:trPr/>
        <w:tc>
          <w:tcPr>
            <w:tcW w:w="2671" w:type="dxa"/>
            <w:tcBorders/>
            <w:vAlign w:val="center"/>
          </w:tcPr>
          <w:p>
            <w:pPr>
              <w:pStyle w:val="TableContents"/>
              <w:bidi w:val="0"/>
              <w:spacing w:lineRule="auto" w:line="285" w:before="0" w:after="0"/>
              <w:ind w:left="0" w:right="0" w:hanging="0"/>
              <w:jc w:val="both"/>
              <w:rPr/>
            </w:pPr>
            <w:r>
              <w:rPr/>
              <w:t>​</w:t>
            </w:r>
          </w:p>
        </w:tc>
        <w:tc>
          <w:tcPr>
            <w:tcW w:w="5611" w:type="dxa"/>
            <w:tcBorders>
              <w:top w:val="single" w:sz="2" w:space="0" w:color="000000"/>
            </w:tcBorders>
            <w:tcMar>
              <w:top w:w="28" w:type="dxa"/>
            </w:tcMar>
            <w:vAlign w:val="center"/>
          </w:tcPr>
          <w:p>
            <w:pPr>
              <w:pStyle w:val="TableContents"/>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1.00 Eurodollar Reserve Percentage</w:t>
            </w:r>
          </w:p>
        </w:tc>
      </w:tr>
    </w:tbl>
    <w:p>
      <w:pPr>
        <w:pStyle w:val="TextBody"/>
        <w:bidi w:val="0"/>
        <w:spacing w:lineRule="auto" w:line="331" w:before="0" w:after="160"/>
        <w:ind w:left="0" w:right="0" w:hanging="0"/>
        <w:jc w:val="left"/>
        <w:rPr/>
      </w:pPr>
      <w:r>
        <w:rPr/>
        <w: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Administrative Borrower</w:t>
      </w:r>
      <w:r>
        <w:rPr>
          <w:rFonts w:ascii="Aptos" w:hAnsi="Aptos"/>
          <w:sz w:val="22"/>
        </w:rPr>
        <w:t xml:space="preserve">” </w:t>
      </w:r>
      <w:r>
        <w:rPr>
          <w:rFonts w:ascii="Times New Roman;Times;serif" w:hAnsi="Times New Roman;Times;serif"/>
          <w:sz w:val="22"/>
        </w:rPr>
        <w:t>means US Borrower.</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Advantage</w:t>
      </w:r>
      <w:r>
        <w:rPr>
          <w:rFonts w:ascii="Aptos" w:hAnsi="Aptos"/>
          <w:sz w:val="22"/>
        </w:rPr>
        <w:t xml:space="preserve">” </w:t>
      </w:r>
      <w:r>
        <w:rPr>
          <w:rFonts w:ascii="Times New Roman;Times;serif" w:hAnsi="Times New Roman;Times;serif"/>
          <w:sz w:val="22"/>
        </w:rPr>
        <w:t>means any payment (whether made voluntarily or involuntarily, by offset of any deposit or other indebtedness or otherwise) received by any Lender in respect of the Obligations, if such payment results in that Lender having less than its pro rata share (based upon its Commitment Percentage) of the Obligations then outstanding.</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Affected Financial Institution</w:t>
      </w:r>
      <w:r>
        <w:rPr>
          <w:rFonts w:ascii="Aptos" w:hAnsi="Aptos"/>
          <w:sz w:val="22"/>
        </w:rPr>
        <w:t xml:space="preserve">” </w:t>
      </w:r>
      <w:r>
        <w:rPr>
          <w:rFonts w:ascii="Times New Roman;Times;serif" w:hAnsi="Times New Roman;Times;serif"/>
          <w:sz w:val="22"/>
        </w:rPr>
        <w:t>means (a) any EEA Financial Institution or (b) any UK Financial Institution.</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Affiliate</w:t>
      </w:r>
      <w:r>
        <w:rPr>
          <w:rFonts w:ascii="Aptos" w:hAnsi="Aptos"/>
          <w:sz w:val="22"/>
        </w:rPr>
        <w:t xml:space="preserve">” </w:t>
      </w:r>
      <w:r>
        <w:rPr>
          <w:rFonts w:ascii="Times New Roman;Times;serif" w:hAnsi="Times New Roman;Times;serif"/>
          <w:sz w:val="22"/>
        </w:rPr>
        <w:t>means any Person, directly or indirectly, controlling, controlled by or under common control with a Company and “</w:t>
      </w:r>
      <w:r>
        <w:rPr>
          <w:rFonts w:ascii="Times New Roman;Times;serif" w:hAnsi="Times New Roman;Times;serif"/>
          <w:sz w:val="22"/>
          <w:u w:val="single"/>
        </w:rPr>
        <w:t>control</w:t>
      </w:r>
      <w:r>
        <w:rPr>
          <w:rFonts w:ascii="Aptos" w:hAnsi="Aptos"/>
          <w:sz w:val="22"/>
        </w:rPr>
        <w:t xml:space="preserve">” </w:t>
      </w:r>
      <w:r>
        <w:rPr>
          <w:rFonts w:ascii="Times New Roman;Times;serif" w:hAnsi="Times New Roman;Times;serif"/>
          <w:sz w:val="22"/>
        </w:rPr>
        <w:t>(including the correlative meanings, the terms “</w:t>
      </w:r>
      <w:r>
        <w:rPr>
          <w:rFonts w:ascii="Times New Roman;Times;serif" w:hAnsi="Times New Roman;Times;serif"/>
          <w:sz w:val="22"/>
          <w:u w:val="single"/>
        </w:rPr>
        <w:t>controlling</w:t>
      </w:r>
      <w:r>
        <w:rPr>
          <w:rFonts w:ascii="Aptos" w:hAnsi="Aptos"/>
          <w:sz w:val="22"/>
        </w:rPr>
        <w:t>”</w:t>
      </w:r>
      <w:r>
        <w:rPr>
          <w:rFonts w:ascii="Times New Roman;Times;serif" w:hAnsi="Times New Roman;Times;serif"/>
          <w:sz w:val="22"/>
        </w:rPr>
        <w:t>, “</w:t>
      </w:r>
      <w:r>
        <w:rPr>
          <w:rFonts w:ascii="Times New Roman;Times;serif" w:hAnsi="Times New Roman;Times;serif"/>
          <w:sz w:val="22"/>
          <w:u w:val="single"/>
        </w:rPr>
        <w:t>controlled by</w:t>
      </w:r>
      <w:r>
        <w:rPr>
          <w:rFonts w:ascii="Aptos" w:hAnsi="Aptos"/>
          <w:sz w:val="22"/>
        </w:rPr>
        <w:t xml:space="preserve">” </w:t>
      </w:r>
      <w:r>
        <w:rPr>
          <w:rFonts w:ascii="Times New Roman;Times;serif" w:hAnsi="Times New Roman;Times;serif"/>
          <w:sz w:val="22"/>
        </w:rPr>
        <w:t>and “</w:t>
      </w:r>
      <w:r>
        <w:rPr>
          <w:rFonts w:ascii="Times New Roman;Times;serif" w:hAnsi="Times New Roman;Times;serif"/>
          <w:sz w:val="22"/>
          <w:u w:val="single"/>
        </w:rPr>
        <w:t>under common control with</w:t>
      </w:r>
      <w:r>
        <w:rPr>
          <w:rFonts w:ascii="Aptos" w:hAnsi="Aptos"/>
          <w:sz w:val="22"/>
        </w:rPr>
        <w:t>”</w:t>
      </w:r>
      <w:r>
        <w:rPr>
          <w:rFonts w:ascii="Times New Roman;Times;serif" w:hAnsi="Times New Roman;Times;serif"/>
          <w:sz w:val="22"/>
        </w:rPr>
        <w:t>) means the power, directly or indirectly, to direct or cause the direction of the management and policies of a Company, whether through the ownership of voting securities, by contract or otherwise.</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Agent</w:t>
      </w:r>
      <w:r>
        <w:rPr>
          <w:rFonts w:ascii="Aptos" w:hAnsi="Aptos"/>
          <w:sz w:val="22"/>
        </w:rPr>
        <w:t xml:space="preserve">” </w:t>
      </w:r>
      <w:r>
        <w:rPr>
          <w:rFonts w:ascii="Times New Roman;Times;serif" w:hAnsi="Times New Roman;Times;serif"/>
          <w:sz w:val="22"/>
        </w:rPr>
        <w:t>means that term as defined in the first paragraph hereof.</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Agreement</w:t>
      </w:r>
      <w:r>
        <w:rPr>
          <w:rFonts w:ascii="Aptos" w:hAnsi="Aptos"/>
          <w:sz w:val="22"/>
        </w:rPr>
        <w:t xml:space="preserve">” </w:t>
      </w:r>
      <w:r>
        <w:rPr>
          <w:rFonts w:ascii="Times New Roman;Times;serif" w:hAnsi="Times New Roman;Times;serif"/>
          <w:sz w:val="22"/>
        </w:rPr>
        <w:t>means that term as defined in the first paragraph hereof.</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Alternate Currency</w:t>
      </w:r>
      <w:r>
        <w:rPr>
          <w:rFonts w:ascii="Aptos" w:hAnsi="Aptos"/>
          <w:sz w:val="22"/>
        </w:rPr>
        <w:t xml:space="preserve">” </w:t>
      </w:r>
      <w:r>
        <w:rPr>
          <w:rFonts w:ascii="Times New Roman;Times;serif" w:hAnsi="Times New Roman;Times;serif"/>
          <w:sz w:val="22"/>
        </w:rPr>
        <w:t>means (a) Euros, Canadian Dollars, Sterling, Yen, New Zealand Dollars and Australian Dollars, in each case as acceptable to Agent, and (b) any other currency, other than Dollars, agreed to by Agent and the Required Lenders in writing, that (i) shall be freely transferable and convertible into Dollars, (ii) is dealt with in the London interbank deposit market, and (iii) for which no central bank or other governmental authorization in the country of issue of such currency is required to give authorization for the use of such currency by any Lender for making Revolving Loans unless such authorization has been obtained and remains in full force and effect.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Alternate Currency Equivalent</w:t>
      </w:r>
      <w:r>
        <w:rPr>
          <w:rFonts w:ascii="Aptos" w:hAnsi="Aptos"/>
          <w:sz w:val="22"/>
        </w:rPr>
        <w:t xml:space="preserve">” </w:t>
      </w:r>
      <w:r>
        <w:rPr>
          <w:rFonts w:ascii="Times New Roman;Times;serif" w:hAnsi="Times New Roman;Times;serif"/>
          <w:sz w:val="22"/>
        </w:rPr>
        <w:t>means, at any time, with respect to any amount denominated in Dollars, the equivalent amount thereof in the applicable Alternate Currency as determined by the Agent or the applicable Fronting Lender (with notice thereof to the Agent), as the case may be, in its sole discretion by reference to the most recent spot rate (as determined in respect of the most recent Revaluation Date) for the purchase of such Alternate Currency with Dollars.</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Alternate Currency Exposure</w:t>
      </w:r>
      <w:r>
        <w:rPr>
          <w:rFonts w:ascii="Aptos" w:hAnsi="Aptos"/>
          <w:sz w:val="22"/>
        </w:rPr>
        <w:t xml:space="preserve">” </w:t>
      </w:r>
      <w:r>
        <w:rPr>
          <w:rFonts w:ascii="Times New Roman;Times;serif" w:hAnsi="Times New Roman;Times;serif"/>
          <w:sz w:val="22"/>
        </w:rPr>
        <w:t>means, at any time and without duplication, the sum of the Dollar Equivalent of (a) the aggregate principal amount of Alternate Currency Loans outstanding to US Borrower, (b) the aggregate principal amount of Alternate Currency Loans outstanding to the Foreign Borrowers, and (c) the Letter of Credit Exposure that is denominated in one or more Alternate Currencies.</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Alternate Currency Loan</w:t>
      </w:r>
      <w:r>
        <w:rPr>
          <w:rFonts w:ascii="Aptos" w:hAnsi="Aptos"/>
          <w:sz w:val="22"/>
        </w:rPr>
        <w:t xml:space="preserve">” </w:t>
      </w:r>
      <w:r>
        <w:rPr>
          <w:rFonts w:ascii="Times New Roman;Times;serif" w:hAnsi="Times New Roman;Times;serif"/>
          <w:sz w:val="22"/>
        </w:rPr>
        <w:t xml:space="preserve">means a Revolving Loan described in </w:t>
      </w:r>
      <w:r>
        <w:rPr>
          <w:rFonts w:ascii="Times New Roman;Times;serif" w:hAnsi="Times New Roman;Times;serif"/>
          <w:sz w:val="22"/>
          <w:u w:val="single"/>
        </w:rPr>
        <w:t>Section 2.2(a)</w:t>
      </w:r>
      <w:r>
        <w:rPr>
          <w:rFonts w:ascii="Aptos" w:hAnsi="Aptos"/>
          <w:sz w:val="22"/>
        </w:rPr>
        <w:t xml:space="preserve"> </w:t>
      </w:r>
      <w:r>
        <w:rPr>
          <w:rFonts w:ascii="Times New Roman;Times;serif" w:hAnsi="Times New Roman;Times;serif"/>
          <w:sz w:val="22"/>
        </w:rPr>
        <w:t>hereof, that shall be denominated in an Alternate Currency and on which a Borrower shall pay interest at a rate based upon the Eurodollar Rate applicable to such Alternate Currency.</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Alternate Currency Maximum Amount</w:t>
      </w:r>
      <w:r>
        <w:rPr>
          <w:rFonts w:ascii="Aptos" w:hAnsi="Aptos"/>
          <w:sz w:val="22"/>
        </w:rPr>
        <w:t xml:space="preserve">” </w:t>
      </w:r>
      <w:r>
        <w:rPr>
          <w:rFonts w:ascii="Times New Roman;Times;serif" w:hAnsi="Times New Roman;Times;serif"/>
          <w:sz w:val="22"/>
        </w:rPr>
        <w:t>means an amount equal to fifty percent (50%) of the Revolving Amount.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Anti-Corruption Laws</w:t>
      </w:r>
      <w:r>
        <w:rPr>
          <w:rFonts w:ascii="Aptos" w:hAnsi="Aptos"/>
          <w:sz w:val="22"/>
        </w:rPr>
        <w:t xml:space="preserve">” </w:t>
      </w:r>
      <w:r>
        <w:rPr>
          <w:rFonts w:ascii="Times New Roman;Times;serif" w:hAnsi="Times New Roman;Times;serif"/>
          <w:sz w:val="22"/>
        </w:rPr>
        <w:t>means all laws, rules, and regulations of any jurisdiction concerning or relating to bribery or corruption, including, without limitation, the United States Foreign Corrupt Practices Act of 1977, as amended, and the rules and regulations thereunder and the U.K. Bribery Act 2010 and the rules and regulations thereunder.</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Anti-Money Laundering Laws</w:t>
      </w:r>
      <w:r>
        <w:rPr>
          <w:rFonts w:ascii="Aptos" w:hAnsi="Aptos"/>
          <w:sz w:val="22"/>
        </w:rPr>
        <w:t xml:space="preserve">” </w:t>
      </w:r>
      <w:r>
        <w:rPr>
          <w:rFonts w:ascii="Times New Roman;Times;serif" w:hAnsi="Times New Roman;Times;serif"/>
          <w:sz w:val="22"/>
        </w:rPr>
        <w:t>means any and all laws, statutes, regulations or obligatory government orders, decrees, ordinances or rules related to terrorism financing or money laundering, including, without limitation, any applicable provision of the Patriot Act and The Currency and Foreign Transactions Reporting Act (also known as the “Bank Secrecy Act,” 31 U.S.C. §§ 5311-5330 and 12U.S.C. §§ 1818(s), 1820(b) and 1951-1959).</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Applicable Commitment Fee Rate</w:t>
      </w:r>
      <w:r>
        <w:rPr>
          <w:rFonts w:ascii="Aptos" w:hAnsi="Aptos"/>
          <w:sz w:val="22"/>
        </w:rPr>
        <w:t xml:space="preserve">” </w:t>
      </w:r>
      <w:r>
        <w:rPr>
          <w:rFonts w:ascii="Times New Roman;Times;serif" w:hAnsi="Times New Roman;Times;serif"/>
          <w:sz w:val="22"/>
        </w:rPr>
        <w:t>means:</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(a)for the period from the Ninth Amendment Effective Date until the Calculation Date for the fiscal quarter ending on June 30, 2024, 0.275% per annum; and</w:t>
      </w:r>
    </w:p>
    <w:p>
      <w:pPr>
        <w:pStyle w:val="TextBody"/>
        <w:bidi w:val="0"/>
        <w:spacing w:lineRule="auto" w:line="285"/>
        <w:ind w:left="0" w:right="0" w:hanging="0"/>
        <w:jc w:val="both"/>
        <w:rPr>
          <w:rFonts w:ascii="Times New Roman;Times;serif" w:hAnsi="Times New Roman;Times;serif"/>
          <w:sz w:val="22"/>
        </w:rPr>
      </w:pPr>
      <w:r>
        <w:rPr>
          <w:rFonts w:ascii="Times New Roman;Times;serif" w:hAnsi="Times New Roman;Times;serif"/>
          <w:sz w:val="22"/>
        </w:rPr>
        <w:t>(b)commencing on the Calculation Date for the fiscal quarter ending June 30, 2024, the percentage per annum set forth in the following matrix, based upon the result of the computation of the Net Leverage Ratio as set forth in the Compliance Certificate for such fiscal period, as provided below:</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tbl>
      <w:tblPr>
        <w:tblW w:w="9407" w:type="dxa"/>
        <w:jc w:val="center"/>
        <w:tblInd w:w="0" w:type="dxa"/>
        <w:tblLayout w:type="fixed"/>
        <w:tblCellMar>
          <w:top w:w="28" w:type="dxa"/>
          <w:left w:w="103" w:type="dxa"/>
          <w:bottom w:w="28" w:type="dxa"/>
          <w:right w:w="103" w:type="dxa"/>
        </w:tblCellMar>
      </w:tblPr>
      <w:tblGrid>
        <w:gridCol w:w="5971"/>
        <w:gridCol w:w="3436"/>
      </w:tblGrid>
      <w:tr>
        <w:trPr/>
        <w:tc>
          <w:tcPr>
            <w:tcW w:w="5971" w:type="dxa"/>
            <w:tcBorders>
              <w:top w:val="single" w:sz="2" w:space="0" w:color="000000"/>
              <w:left w:val="single" w:sz="2" w:space="0" w:color="000000"/>
              <w:bottom w:val="single" w:sz="2" w:space="0" w:color="000000"/>
              <w:right w:val="single" w:sz="2" w:space="0" w:color="000000"/>
            </w:tcBorders>
            <w:shd w:fill="F2F2F2" w:val="clear"/>
            <w:vAlign w:val="center"/>
          </w:tcPr>
          <w:p>
            <w:pPr>
              <w:pStyle w:val="TableContents"/>
              <w:bidi w:val="0"/>
              <w:spacing w:lineRule="auto" w:line="304" w:before="0" w:after="0"/>
              <w:ind w:left="0" w:right="0" w:hanging="0"/>
              <w:jc w:val="center"/>
              <w:rPr>
                <w:rFonts w:ascii="Times New Roman;Times;serif" w:hAnsi="Times New Roman;Times;serif"/>
                <w:b/>
                <w:sz w:val="22"/>
              </w:rPr>
            </w:pPr>
            <w:r>
              <w:rPr>
                <w:rFonts w:ascii="Times New Roman;Times;serif" w:hAnsi="Times New Roman;Times;serif"/>
                <w:b/>
                <w:sz w:val="22"/>
              </w:rPr>
              <w:t>Net Leverage Ratio</w:t>
            </w:r>
          </w:p>
        </w:tc>
        <w:tc>
          <w:tcPr>
            <w:tcW w:w="3436" w:type="dxa"/>
            <w:tcBorders>
              <w:top w:val="single" w:sz="2" w:space="0" w:color="000000"/>
              <w:left w:val="single" w:sz="2" w:space="0" w:color="000000"/>
              <w:bottom w:val="single" w:sz="2" w:space="0" w:color="000000"/>
              <w:right w:val="single" w:sz="2" w:space="0" w:color="000000"/>
            </w:tcBorders>
            <w:shd w:fill="F2F2F2" w:val="clear"/>
            <w:vAlign w:val="center"/>
          </w:tcPr>
          <w:p>
            <w:pPr>
              <w:pStyle w:val="TableContents"/>
              <w:bidi w:val="0"/>
              <w:spacing w:lineRule="auto" w:line="304" w:before="0" w:after="0"/>
              <w:ind w:left="0" w:right="0" w:hanging="0"/>
              <w:jc w:val="center"/>
              <w:rPr>
                <w:rFonts w:ascii="Times New Roman;Times;serif" w:hAnsi="Times New Roman;Times;serif"/>
                <w:b/>
                <w:sz w:val="22"/>
              </w:rPr>
            </w:pPr>
            <w:r>
              <w:rPr>
                <w:rFonts w:ascii="Times New Roman;Times;serif" w:hAnsi="Times New Roman;Times;serif"/>
                <w:b/>
                <w:sz w:val="22"/>
              </w:rPr>
              <w:t>Applicable Commitment Fee Rate</w:t>
            </w:r>
          </w:p>
        </w:tc>
      </w:tr>
      <w:tr>
        <w:trPr/>
        <w:tc>
          <w:tcPr>
            <w:tcW w:w="59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both"/>
              <w:rPr>
                <w:rFonts w:ascii="Times New Roman;Times;serif" w:hAnsi="Times New Roman;Times;serif"/>
                <w:sz w:val="22"/>
              </w:rPr>
            </w:pPr>
            <w:r>
              <w:rPr>
                <w:rFonts w:ascii="Times New Roman;Times;serif" w:hAnsi="Times New Roman;Times;serif"/>
                <w:sz w:val="22"/>
              </w:rPr>
              <w:t>Greater than or equal to 4.50 to 1.00</w:t>
            </w:r>
          </w:p>
        </w:tc>
        <w:tc>
          <w:tcPr>
            <w:tcW w:w="34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2"/>
              </w:rPr>
            </w:pPr>
            <w:r>
              <w:rPr>
                <w:rFonts w:ascii="Times New Roman;Times;serif" w:hAnsi="Times New Roman;Times;serif"/>
                <w:sz w:val="22"/>
              </w:rPr>
              <w:t>0.325%</w:t>
            </w:r>
          </w:p>
        </w:tc>
      </w:tr>
      <w:tr>
        <w:trPr/>
        <w:tc>
          <w:tcPr>
            <w:tcW w:w="59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both"/>
              <w:rPr>
                <w:rFonts w:ascii="Times New Roman;Times;serif" w:hAnsi="Times New Roman;Times;serif"/>
                <w:sz w:val="22"/>
              </w:rPr>
            </w:pPr>
            <w:r>
              <w:rPr>
                <w:rFonts w:ascii="Times New Roman;Times;serif" w:hAnsi="Times New Roman;Times;serif"/>
                <w:sz w:val="22"/>
              </w:rPr>
              <w:t>Greater than or equal to 4.00 to 1.00 but less than 4.50 to 1.00</w:t>
            </w:r>
          </w:p>
        </w:tc>
        <w:tc>
          <w:tcPr>
            <w:tcW w:w="34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2"/>
              </w:rPr>
            </w:pPr>
            <w:r>
              <w:rPr>
                <w:rFonts w:ascii="Times New Roman;Times;serif" w:hAnsi="Times New Roman;Times;serif"/>
                <w:sz w:val="22"/>
              </w:rPr>
              <w:t>0.300%</w:t>
            </w:r>
          </w:p>
        </w:tc>
      </w:tr>
      <w:tr>
        <w:trPr/>
        <w:tc>
          <w:tcPr>
            <w:tcW w:w="59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both"/>
              <w:rPr>
                <w:rFonts w:ascii="Times New Roman;Times;serif" w:hAnsi="Times New Roman;Times;serif"/>
                <w:sz w:val="22"/>
              </w:rPr>
            </w:pPr>
            <w:r>
              <w:rPr>
                <w:rFonts w:ascii="Times New Roman;Times;serif" w:hAnsi="Times New Roman;Times;serif"/>
                <w:sz w:val="22"/>
              </w:rPr>
              <w:t>Greater than or equal to 3.50 to 1.00 but less than 4.00 to 1.00</w:t>
            </w:r>
          </w:p>
        </w:tc>
        <w:tc>
          <w:tcPr>
            <w:tcW w:w="34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2"/>
              </w:rPr>
            </w:pPr>
            <w:r>
              <w:rPr>
                <w:rFonts w:ascii="Times New Roman;Times;serif" w:hAnsi="Times New Roman;Times;serif"/>
                <w:sz w:val="22"/>
              </w:rPr>
              <w:t>0.275%</w:t>
            </w:r>
          </w:p>
        </w:tc>
      </w:tr>
      <w:tr>
        <w:trPr/>
        <w:tc>
          <w:tcPr>
            <w:tcW w:w="59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both"/>
              <w:rPr>
                <w:rFonts w:ascii="Times New Roman;Times;serif" w:hAnsi="Times New Roman;Times;serif"/>
                <w:sz w:val="22"/>
              </w:rPr>
            </w:pPr>
            <w:r>
              <w:rPr>
                <w:rFonts w:ascii="Times New Roman;Times;serif" w:hAnsi="Times New Roman;Times;serif"/>
                <w:sz w:val="22"/>
              </w:rPr>
              <w:t>Greater than or equal to 3.00 to 1.00 but less than 3.50 to 1.00</w:t>
            </w:r>
          </w:p>
        </w:tc>
        <w:tc>
          <w:tcPr>
            <w:tcW w:w="34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2"/>
              </w:rPr>
            </w:pPr>
            <w:r>
              <w:rPr>
                <w:rFonts w:ascii="Times New Roman;Times;serif" w:hAnsi="Times New Roman;Times;serif"/>
                <w:sz w:val="22"/>
              </w:rPr>
              <w:t>0.250%</w:t>
            </w:r>
          </w:p>
        </w:tc>
      </w:tr>
      <w:tr>
        <w:trPr/>
        <w:tc>
          <w:tcPr>
            <w:tcW w:w="59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both"/>
              <w:rPr>
                <w:rFonts w:ascii="Times New Roman;Times;serif" w:hAnsi="Times New Roman;Times;serif"/>
                <w:sz w:val="22"/>
              </w:rPr>
            </w:pPr>
            <w:r>
              <w:rPr>
                <w:rFonts w:ascii="Times New Roman;Times;serif" w:hAnsi="Times New Roman;Times;serif"/>
                <w:sz w:val="22"/>
              </w:rPr>
              <w:t>Greater than or equal to 2.50 to 1.00 but less than 3.00 to 1.00</w:t>
            </w:r>
          </w:p>
        </w:tc>
        <w:tc>
          <w:tcPr>
            <w:tcW w:w="34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2"/>
              </w:rPr>
            </w:pPr>
            <w:r>
              <w:rPr>
                <w:rFonts w:ascii="Times New Roman;Times;serif" w:hAnsi="Times New Roman;Times;serif"/>
                <w:sz w:val="22"/>
              </w:rPr>
              <w:t>0.200%</w:t>
            </w:r>
          </w:p>
        </w:tc>
      </w:tr>
      <w:tr>
        <w:trPr/>
        <w:tc>
          <w:tcPr>
            <w:tcW w:w="59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both"/>
              <w:rPr>
                <w:rFonts w:ascii="Times New Roman;Times;serif" w:hAnsi="Times New Roman;Times;serif"/>
                <w:sz w:val="22"/>
              </w:rPr>
            </w:pPr>
            <w:r>
              <w:rPr>
                <w:rFonts w:ascii="Times New Roman;Times;serif" w:hAnsi="Times New Roman;Times;serif"/>
                <w:sz w:val="22"/>
              </w:rPr>
              <w:t>Less than 2.50 to 1.00</w:t>
            </w:r>
          </w:p>
        </w:tc>
        <w:tc>
          <w:tcPr>
            <w:tcW w:w="34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2"/>
              </w:rPr>
            </w:pPr>
            <w:r>
              <w:rPr>
                <w:rFonts w:ascii="Times New Roman;Times;serif" w:hAnsi="Times New Roman;Times;serif"/>
                <w:sz w:val="22"/>
              </w:rPr>
              <w:t>0.175%</w:t>
            </w:r>
          </w:p>
        </w:tc>
      </w:tr>
    </w:tbl>
    <w:p>
      <w:pPr>
        <w:pStyle w:val="TextBody"/>
        <w:bidi w:val="0"/>
        <w:spacing w:lineRule="auto" w:line="285" w:before="240" w:after="240"/>
        <w:ind w:left="0" w:right="0" w:hanging="0"/>
        <w:jc w:val="both"/>
        <w:rPr>
          <w:rFonts w:ascii="Aptos" w:hAnsi="Aptos"/>
          <w:sz w:val="22"/>
        </w:rPr>
      </w:pPr>
      <w:r>
        <w:rPr>
          <w:rFonts w:ascii="Times New Roman;Times;serif" w:hAnsi="Times New Roman;Times;serif"/>
          <w:sz w:val="22"/>
        </w:rPr>
        <w:t xml:space="preserve">The Applicable Commitment Fee Rate shall be determined and adjusted quarterly on the date five (5) Business Days after the day on which US Borrower provides a Compliance Certificate pursuant to </w:t>
      </w:r>
      <w:r>
        <w:rPr>
          <w:rFonts w:ascii="Times New Roman;Times;serif" w:hAnsi="Times New Roman;Times;serif"/>
          <w:sz w:val="22"/>
          <w:u w:val="single"/>
        </w:rPr>
        <w:t>Section 5.3(c)</w:t>
      </w:r>
      <w:r>
        <w:rPr>
          <w:rFonts w:ascii="Aptos" w:hAnsi="Aptos"/>
          <w:sz w:val="22"/>
        </w:rPr>
        <w:t xml:space="preserve"> </w:t>
      </w:r>
      <w:r>
        <w:rPr>
          <w:rFonts w:ascii="Times New Roman;Times;serif" w:hAnsi="Times New Roman;Times;serif"/>
          <w:sz w:val="22"/>
        </w:rPr>
        <w:t>for the most recently ended fiscal quarter of US Borrower (each such date, a “</w:t>
      </w:r>
      <w:r>
        <w:rPr>
          <w:rFonts w:ascii="Times New Roman;Times;serif" w:hAnsi="Times New Roman;Times;serif"/>
          <w:sz w:val="22"/>
          <w:u w:val="single"/>
        </w:rPr>
        <w:t>Calculation Date</w:t>
      </w:r>
      <w:r>
        <w:rPr>
          <w:rFonts w:ascii="Aptos" w:hAnsi="Aptos"/>
          <w:sz w:val="22"/>
        </w:rPr>
        <w:t>”</w:t>
      </w:r>
      <w:r>
        <w:rPr>
          <w:rFonts w:ascii="Times New Roman;Times;serif" w:hAnsi="Times New Roman;Times;serif"/>
          <w:sz w:val="22"/>
        </w:rPr>
        <w:t xml:space="preserve">).  The above matrix does not modify or waive, in any respect, the requirements of </w:t>
      </w:r>
      <w:r>
        <w:rPr>
          <w:rFonts w:ascii="Times New Roman;Times;serif" w:hAnsi="Times New Roman;Times;serif"/>
          <w:sz w:val="22"/>
          <w:u w:val="single"/>
        </w:rPr>
        <w:t>Section 5.7</w:t>
      </w:r>
      <w:r>
        <w:rPr>
          <w:rFonts w:ascii="Aptos" w:hAnsi="Aptos"/>
          <w:sz w:val="22"/>
        </w:rPr>
        <w:t xml:space="preserve"> </w:t>
      </w:r>
      <w:r>
        <w:rPr>
          <w:rFonts w:ascii="Times New Roman;Times;serif" w:hAnsi="Times New Roman;Times;serif"/>
          <w:sz w:val="22"/>
        </w:rPr>
        <w:t xml:space="preserve">hereof, the rights of Agent and the Lenders to charge the Default Rate, or the rights and remedies of Agent and the Lenders pursuant to </w:t>
      </w:r>
      <w:r>
        <w:rPr>
          <w:rFonts w:ascii="Times New Roman;Times;serif" w:hAnsi="Times New Roman;Times;serif"/>
          <w:sz w:val="22"/>
          <w:u w:val="single"/>
        </w:rPr>
        <w:t>Articles VII</w:t>
      </w:r>
      <w:r>
        <w:rPr>
          <w:rFonts w:ascii="Aptos" w:hAnsi="Aptos"/>
          <w:sz w:val="22"/>
        </w:rPr>
        <w:t xml:space="preserve"> </w:t>
      </w:r>
      <w:r>
        <w:rPr>
          <w:rFonts w:ascii="Times New Roman;Times;serif" w:hAnsi="Times New Roman;Times;serif"/>
          <w:sz w:val="22"/>
        </w:rPr>
        <w:t xml:space="preserve">and </w:t>
      </w:r>
      <w:r>
        <w:rPr>
          <w:rFonts w:ascii="Times New Roman;Times;serif" w:hAnsi="Times New Roman;Times;serif"/>
          <w:sz w:val="22"/>
          <w:u w:val="single"/>
        </w:rPr>
        <w:t>VIII</w:t>
      </w:r>
      <w:r>
        <w:rPr>
          <w:rFonts w:ascii="Aptos" w:hAnsi="Aptos"/>
          <w:sz w:val="22"/>
        </w:rPr>
        <w:t xml:space="preserve"> </w:t>
      </w:r>
      <w:r>
        <w:rPr>
          <w:rFonts w:ascii="Times New Roman;Times;serif" w:hAnsi="Times New Roman;Times;serif"/>
          <w:sz w:val="22"/>
        </w:rPr>
        <w:t xml:space="preserve">hereof.  Notwithstanding anything herein to the contrary, (i) during any period when US Borrower shall have failed to timely deliver the Consolidated financial statements pursuant to </w:t>
      </w:r>
      <w:r>
        <w:rPr>
          <w:rFonts w:ascii="Times New Roman;Times;serif" w:hAnsi="Times New Roman;Times;serif"/>
          <w:sz w:val="22"/>
          <w:u w:val="single"/>
        </w:rPr>
        <w:t>Section 5.3(a)</w:t>
      </w:r>
      <w:r>
        <w:rPr>
          <w:rFonts w:ascii="Aptos" w:hAnsi="Aptos"/>
          <w:sz w:val="22"/>
        </w:rPr>
        <w:t xml:space="preserve"> </w:t>
      </w:r>
      <w:r>
        <w:rPr>
          <w:rFonts w:ascii="Times New Roman;Times;serif" w:hAnsi="Times New Roman;Times;serif"/>
          <w:sz w:val="22"/>
        </w:rPr>
        <w:t xml:space="preserve">or </w:t>
      </w:r>
      <w:r>
        <w:rPr>
          <w:rFonts w:ascii="Times New Roman;Times;serif" w:hAnsi="Times New Roman;Times;serif"/>
          <w:sz w:val="22"/>
          <w:u w:val="single"/>
        </w:rPr>
        <w:t>(b)</w:t>
      </w:r>
      <w:r>
        <w:rPr>
          <w:rFonts w:ascii="Aptos" w:hAnsi="Aptos"/>
          <w:sz w:val="22"/>
        </w:rPr>
        <w:t xml:space="preserve"> </w:t>
      </w:r>
      <w:r>
        <w:rPr>
          <w:rFonts w:ascii="Times New Roman;Times;serif" w:hAnsi="Times New Roman;Times;serif"/>
          <w:sz w:val="22"/>
        </w:rPr>
        <w:t xml:space="preserve">hereof, or the Compliance Certificate pursuant to </w:t>
      </w:r>
      <w:r>
        <w:rPr>
          <w:rFonts w:ascii="Times New Roman;Times;serif" w:hAnsi="Times New Roman;Times;serif"/>
          <w:sz w:val="22"/>
          <w:u w:val="single"/>
        </w:rPr>
        <w:t>Section 5.3(c)</w:t>
      </w:r>
      <w:r>
        <w:rPr>
          <w:rFonts w:ascii="Aptos" w:hAnsi="Aptos"/>
          <w:sz w:val="22"/>
        </w:rPr>
        <w:t xml:space="preserve"> </w:t>
      </w:r>
      <w:r>
        <w:rPr>
          <w:rFonts w:ascii="Times New Roman;Times;serif" w:hAnsi="Times New Roman;Times;serif"/>
          <w:sz w:val="22"/>
        </w:rPr>
        <w:t>hereof, until such time as the appropriate Consolidated financial statements and Compliance Certificate are delivered, the Applicable Commitment Fee Rate shall be the highest rate per annum indicated in the above pricing grid regardless of the Net Leverage Ratio at such time, and (ii) in the event that any financial information or certification provided to Agent in the Compliance Certificate is shown to be inaccurate, and such inaccuracy, if corrected, would have led to the application of a higher Applicable Commitment Fee Rate for any period (an “</w:t>
      </w:r>
      <w:r>
        <w:rPr>
          <w:rFonts w:ascii="Times New Roman;Times;serif" w:hAnsi="Times New Roman;Times;serif"/>
          <w:sz w:val="22"/>
          <w:u w:val="single"/>
        </w:rPr>
        <w:t>Applicable Commitment Fee Period</w:t>
      </w:r>
      <w:r>
        <w:rPr>
          <w:rFonts w:ascii="Aptos" w:hAnsi="Aptos"/>
          <w:sz w:val="22"/>
        </w:rPr>
        <w:t>”</w:t>
      </w:r>
      <w:r>
        <w:rPr>
          <w:rFonts w:ascii="Times New Roman;Times;serif" w:hAnsi="Times New Roman;Times;serif"/>
          <w:sz w:val="22"/>
        </w:rPr>
        <w:t>) than the Applicable Commitment Fee Rate applied for such Applicable Commitment Fee Period, then (A) US Borrower shall immediately deliver to Agent a corrected Compliance Certificate for such Applicable Commitment Fee Period, (B) the Applicable Commitment Fee Rate shall be determined based on such corrected Compliance Certificate, and (C) US Borrower shall immediately pay to Agent the accrued additional fees owing as a result of such increased Applicable Commitment Fee Rate for such Applicable Commitment Fee Period.</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Applicable Margin</w:t>
      </w:r>
      <w:r>
        <w:rPr>
          <w:rFonts w:ascii="Aptos" w:hAnsi="Aptos"/>
          <w:sz w:val="22"/>
        </w:rPr>
        <w:t xml:space="preserve">” </w:t>
      </w:r>
      <w:r>
        <w:rPr>
          <w:rFonts w:ascii="Times New Roman;Times;serif" w:hAnsi="Times New Roman;Times;serif"/>
          <w:sz w:val="22"/>
        </w:rPr>
        <w:t>means, with respect to the Revolving Loans:</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(a)for the period from the Ninth Amendment Effective Date until the Calculation Date for the fiscal quarter ending on June 30, 2024, (i) 2.50% per annum for Eurodollar Fixed Rate Loans and Transitioned RFR Loans, (ii) 2.5326% per annum for Initial RFR Loans (GBP) and (iii) 1.50% for Base Rate Loans;</w:t>
      </w:r>
    </w:p>
    <w:p>
      <w:pPr>
        <w:pStyle w:val="TextBody"/>
        <w:bidi w:val="0"/>
        <w:spacing w:lineRule="auto" w:line="285"/>
        <w:ind w:left="0" w:right="0" w:hanging="0"/>
        <w:jc w:val="both"/>
        <w:rPr>
          <w:rFonts w:ascii="Aptos" w:hAnsi="Aptos"/>
          <w:sz w:val="24"/>
        </w:rPr>
      </w:pPr>
      <w:r>
        <w:rPr>
          <w:rFonts w:ascii="Times New Roman;Times;serif" w:hAnsi="Times New Roman;Times;serif"/>
          <w:sz w:val="22"/>
        </w:rPr>
        <w:t xml:space="preserve">(b)commencing on the Tenth Amendment Effective Date, the percentage per annum (depending upon whether Loans are Eurodollar Fixed Rate Loans, Transitioned RFR Loans, Initial RFR Loans (GBP) or Base Rate Loans) set forth in the following matrix;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in the case of any Initial RFR Loan (GBP), the Applicable Margin set forth below shall be the Applicable Margin for Eurodollar Fixed Rate Loans plus 0.0326% at each level of the matrix:</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tbl>
      <w:tblPr>
        <w:tblW w:w="10205" w:type="dxa"/>
        <w:jc w:val="center"/>
        <w:tblInd w:w="0" w:type="dxa"/>
        <w:tblLayout w:type="fixed"/>
        <w:tblCellMar>
          <w:top w:w="28" w:type="dxa"/>
          <w:left w:w="92" w:type="dxa"/>
          <w:bottom w:w="28" w:type="dxa"/>
          <w:right w:w="92" w:type="dxa"/>
        </w:tblCellMar>
      </w:tblPr>
      <w:tblGrid>
        <w:gridCol w:w="3193"/>
        <w:gridCol w:w="4732"/>
        <w:gridCol w:w="2280"/>
      </w:tblGrid>
      <w:tr>
        <w:trPr/>
        <w:tc>
          <w:tcPr>
            <w:tcW w:w="3193" w:type="dxa"/>
            <w:tcBorders>
              <w:top w:val="single" w:sz="2" w:space="0" w:color="000000"/>
              <w:left w:val="single" w:sz="2" w:space="0" w:color="000000"/>
              <w:bottom w:val="single" w:sz="2" w:space="0" w:color="000000"/>
              <w:right w:val="single" w:sz="2" w:space="0" w:color="000000"/>
            </w:tcBorders>
            <w:shd w:fill="F2F2F2" w:val="clear"/>
            <w:vAlign w:val="center"/>
          </w:tcPr>
          <w:p>
            <w:pPr>
              <w:pStyle w:val="TableContents"/>
              <w:bidi w:val="0"/>
              <w:spacing w:lineRule="auto" w:line="304" w:before="0" w:after="108"/>
              <w:ind w:left="0" w:right="0" w:hanging="0"/>
              <w:jc w:val="center"/>
              <w:rPr>
                <w:rFonts w:ascii="Times New Roman;Times;serif" w:hAnsi="Times New Roman;Times;serif"/>
                <w:b/>
                <w:sz w:val="22"/>
              </w:rPr>
            </w:pPr>
            <w:r>
              <w:rPr>
                <w:rFonts w:ascii="Times New Roman;Times;serif" w:hAnsi="Times New Roman;Times;serif"/>
                <w:b/>
                <w:sz w:val="22"/>
              </w:rPr>
              <w:t>Period</w:t>
            </w:r>
          </w:p>
        </w:tc>
        <w:tc>
          <w:tcPr>
            <w:tcW w:w="4732" w:type="dxa"/>
            <w:tcBorders>
              <w:top w:val="single" w:sz="2" w:space="0" w:color="000000"/>
              <w:left w:val="single" w:sz="2" w:space="0" w:color="000000"/>
              <w:bottom w:val="single" w:sz="2" w:space="0" w:color="000000"/>
              <w:right w:val="single" w:sz="2" w:space="0" w:color="000000"/>
            </w:tcBorders>
            <w:shd w:fill="F2F2F2" w:val="clear"/>
            <w:vAlign w:val="center"/>
          </w:tcPr>
          <w:p>
            <w:pPr>
              <w:pStyle w:val="TableContents"/>
              <w:bidi w:val="0"/>
              <w:spacing w:lineRule="auto" w:line="304" w:before="0" w:after="0"/>
              <w:ind w:left="0" w:right="0" w:hanging="0"/>
              <w:jc w:val="center"/>
              <w:rPr>
                <w:rFonts w:ascii="Times New Roman;Times;serif" w:hAnsi="Times New Roman;Times;serif"/>
                <w:b/>
                <w:sz w:val="22"/>
              </w:rPr>
            </w:pPr>
            <w:r>
              <w:rPr>
                <w:rFonts w:ascii="Times New Roman;Times;serif" w:hAnsi="Times New Roman;Times;serif"/>
                <w:b/>
                <w:sz w:val="22"/>
              </w:rPr>
              <w:t>Applicable Margin for Eurodollar Fixed Rate Loans/Transitioned RFR Loans/Initial RFR Loans (GBP)</w:t>
            </w:r>
          </w:p>
        </w:tc>
        <w:tc>
          <w:tcPr>
            <w:tcW w:w="2280" w:type="dxa"/>
            <w:tcBorders>
              <w:top w:val="single" w:sz="2" w:space="0" w:color="000000"/>
              <w:left w:val="single" w:sz="2" w:space="0" w:color="000000"/>
              <w:bottom w:val="single" w:sz="2" w:space="0" w:color="000000"/>
              <w:right w:val="single" w:sz="2" w:space="0" w:color="000000"/>
            </w:tcBorders>
            <w:shd w:fill="F2F2F2" w:val="clear"/>
            <w:vAlign w:val="center"/>
          </w:tcPr>
          <w:p>
            <w:pPr>
              <w:pStyle w:val="TableContents"/>
              <w:bidi w:val="0"/>
              <w:spacing w:lineRule="auto" w:line="304" w:before="0" w:after="0"/>
              <w:ind w:left="0" w:right="0" w:hanging="0"/>
              <w:jc w:val="center"/>
              <w:rPr>
                <w:rFonts w:ascii="Times New Roman;Times;serif" w:hAnsi="Times New Roman;Times;serif"/>
                <w:b/>
                <w:sz w:val="22"/>
              </w:rPr>
            </w:pPr>
            <w:r>
              <w:rPr>
                <w:rFonts w:ascii="Times New Roman;Times;serif" w:hAnsi="Times New Roman;Times;serif"/>
                <w:b/>
                <w:sz w:val="22"/>
              </w:rPr>
              <w:t>Applicable Margin for Base Rate Loans</w:t>
            </w:r>
          </w:p>
        </w:tc>
      </w:tr>
      <w:tr>
        <w:trPr/>
        <w:tc>
          <w:tcPr>
            <w:tcW w:w="31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both"/>
              <w:rPr>
                <w:rFonts w:ascii="Times New Roman;Times;serif" w:hAnsi="Times New Roman;Times;serif"/>
                <w:sz w:val="22"/>
              </w:rPr>
            </w:pPr>
            <w:r>
              <w:rPr>
                <w:rFonts w:ascii="Times New Roman;Times;serif" w:hAnsi="Times New Roman;Times;serif"/>
                <w:sz w:val="22"/>
              </w:rPr>
              <w:t>Eleventh Amendment Effective Date through September 30, 2026</w:t>
            </w:r>
          </w:p>
        </w:tc>
        <w:tc>
          <w:tcPr>
            <w:tcW w:w="473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108"/>
              <w:ind w:left="0" w:right="0" w:hanging="0"/>
              <w:jc w:val="center"/>
              <w:rPr>
                <w:rFonts w:ascii="Times New Roman;Times;serif" w:hAnsi="Times New Roman;Times;serif"/>
                <w:sz w:val="22"/>
              </w:rPr>
            </w:pPr>
            <w:r>
              <w:rPr>
                <w:rFonts w:ascii="Times New Roman;Times;serif" w:hAnsi="Times New Roman;Times;serif"/>
                <w:sz w:val="22"/>
              </w:rPr>
              <w:t>3.250%</w:t>
            </w:r>
          </w:p>
        </w:tc>
        <w:tc>
          <w:tcPr>
            <w:tcW w:w="228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108"/>
              <w:ind w:left="0" w:right="0" w:hanging="0"/>
              <w:jc w:val="center"/>
              <w:rPr>
                <w:rFonts w:ascii="Times New Roman;Times;serif" w:hAnsi="Times New Roman;Times;serif"/>
                <w:sz w:val="22"/>
              </w:rPr>
            </w:pPr>
            <w:r>
              <w:rPr>
                <w:rFonts w:ascii="Times New Roman;Times;serif" w:hAnsi="Times New Roman;Times;serif"/>
                <w:sz w:val="22"/>
              </w:rPr>
              <w:t>2.250%</w:t>
            </w:r>
          </w:p>
        </w:tc>
      </w:tr>
      <w:tr>
        <w:trPr/>
        <w:tc>
          <w:tcPr>
            <w:tcW w:w="31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both"/>
              <w:rPr>
                <w:rFonts w:ascii="Times New Roman;Times;serif" w:hAnsi="Times New Roman;Times;serif"/>
                <w:sz w:val="22"/>
              </w:rPr>
            </w:pPr>
            <w:r>
              <w:rPr>
                <w:rFonts w:ascii="Times New Roman;Times;serif" w:hAnsi="Times New Roman;Times;serif"/>
                <w:sz w:val="22"/>
              </w:rPr>
              <w:t>October 1, 2026 through Maturity Date</w:t>
            </w:r>
          </w:p>
        </w:tc>
        <w:tc>
          <w:tcPr>
            <w:tcW w:w="473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108"/>
              <w:ind w:left="0" w:right="0" w:hanging="0"/>
              <w:jc w:val="center"/>
              <w:rPr>
                <w:rFonts w:ascii="Times New Roman;Times;serif" w:hAnsi="Times New Roman;Times;serif"/>
                <w:sz w:val="22"/>
              </w:rPr>
            </w:pPr>
            <w:r>
              <w:rPr>
                <w:rFonts w:ascii="Times New Roman;Times;serif" w:hAnsi="Times New Roman;Times;serif"/>
                <w:sz w:val="22"/>
              </w:rPr>
              <w:t>6.250%</w:t>
            </w:r>
          </w:p>
        </w:tc>
        <w:tc>
          <w:tcPr>
            <w:tcW w:w="228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108"/>
              <w:ind w:left="0" w:right="0" w:hanging="0"/>
              <w:jc w:val="center"/>
              <w:rPr>
                <w:rFonts w:ascii="Times New Roman;Times;serif" w:hAnsi="Times New Roman;Times;serif"/>
                <w:sz w:val="22"/>
              </w:rPr>
            </w:pPr>
            <w:r>
              <w:rPr>
                <w:rFonts w:ascii="Times New Roman;Times;serif" w:hAnsi="Times New Roman;Times;serif"/>
                <w:sz w:val="22"/>
              </w:rPr>
              <w:t>5.250%</w:t>
            </w:r>
          </w:p>
        </w:tc>
      </w:tr>
    </w:tbl>
    <w:p>
      <w:pPr>
        <w:pStyle w:val="TextBody"/>
        <w:bidi w:val="0"/>
        <w:spacing w:lineRule="auto" w:line="331" w:before="0" w:after="160"/>
        <w:ind w:left="0" w:right="0" w:hanging="0"/>
        <w:jc w:val="both"/>
        <w:rPr/>
      </w:pPr>
      <w:r>
        <w:rPr/>
        <w: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Approved Foreign Jurisdiction</w:t>
      </w:r>
      <w:r>
        <w:rPr>
          <w:rFonts w:ascii="Aptos" w:hAnsi="Aptos"/>
          <w:sz w:val="22"/>
        </w:rPr>
        <w:t xml:space="preserve">” </w:t>
      </w:r>
      <w:r>
        <w:rPr>
          <w:rFonts w:ascii="Times New Roman;Times;serif" w:hAnsi="Times New Roman;Times;serif"/>
          <w:sz w:val="22"/>
        </w:rPr>
        <w:t xml:space="preserve">means, subject to </w:t>
      </w:r>
      <w:r>
        <w:rPr>
          <w:rFonts w:ascii="Times New Roman;Times;serif" w:hAnsi="Times New Roman;Times;serif"/>
          <w:sz w:val="22"/>
          <w:u w:val="single"/>
        </w:rPr>
        <w:t>Section 2.13(a)</w:t>
      </w:r>
      <w:r>
        <w:rPr>
          <w:rFonts w:ascii="Aptos" w:hAnsi="Aptos"/>
          <w:sz w:val="22"/>
        </w:rPr>
        <w:t xml:space="preserve"> </w:t>
      </w:r>
      <w:r>
        <w:rPr>
          <w:rFonts w:ascii="Times New Roman;Times;serif" w:hAnsi="Times New Roman;Times;serif"/>
          <w:sz w:val="22"/>
        </w:rPr>
        <w:t>hereof, (a) Australia, Canada, Japan, Mexico, New Zealand, or any European Union country (other than Bulgaria, Croatia, Cyprus, Czech Republic, Estonia, France, Greece, Hungary, Latvia, Lithuania, Malta, Poland, Portugal, Romania, Slovakia, and Slovenia), in each case as acceptable to Agent, and (b) any other jurisdiction approved by Agent and the Required Lenders in writing.</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Approved Fund</w:t>
      </w:r>
      <w:r>
        <w:rPr>
          <w:rFonts w:ascii="Aptos" w:hAnsi="Aptos"/>
          <w:sz w:val="22"/>
        </w:rPr>
        <w:t xml:space="preserve">” </w:t>
      </w:r>
      <w:r>
        <w:rPr>
          <w:rFonts w:ascii="Times New Roman;Times;serif" w:hAnsi="Times New Roman;Times;serif"/>
          <w:sz w:val="22"/>
        </w:rPr>
        <w:t>means any Fund that is administered or managed by (a) a Lender, (b) an Affiliate of a Lender or (c) an entity or an Affiliate of an entity that administers or manages a Lender.</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Arrangers</w:t>
      </w:r>
      <w:r>
        <w:rPr>
          <w:rFonts w:ascii="Aptos" w:hAnsi="Aptos"/>
          <w:sz w:val="22"/>
        </w:rPr>
        <w:t xml:space="preserve">” </w:t>
      </w:r>
      <w:r>
        <w:rPr>
          <w:rFonts w:ascii="Times New Roman;Times;serif" w:hAnsi="Times New Roman;Times;serif"/>
          <w:sz w:val="22"/>
        </w:rPr>
        <w:t>means Wells Fargo Securities, LLC, BofA Securities, Inc., BMO Bank N.A., successor by merger to Bank of the West, PNC Bank, National Association and U.S. Bank, National Association, each in its capacity as a joint lead arranger and joint bookrunner.</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Assignment Agreement</w:t>
      </w:r>
      <w:r>
        <w:rPr>
          <w:rFonts w:ascii="Aptos" w:hAnsi="Aptos"/>
          <w:sz w:val="22"/>
        </w:rPr>
        <w:t xml:space="preserve">” </w:t>
      </w:r>
      <w:r>
        <w:rPr>
          <w:rFonts w:ascii="Times New Roman;Times;serif" w:hAnsi="Times New Roman;Times;serif"/>
          <w:sz w:val="22"/>
        </w:rPr>
        <w:t xml:space="preserve">means an Assignment and Assumption Agreement in the form of the attached </w:t>
      </w:r>
      <w:r>
        <w:rPr>
          <w:rFonts w:ascii="Times New Roman;Times;serif" w:hAnsi="Times New Roman;Times;serif"/>
          <w:sz w:val="22"/>
          <w:u w:val="single"/>
        </w:rPr>
        <w:t>Exhibit F</w:t>
      </w:r>
      <w:r>
        <w:rPr>
          <w:rFonts w:ascii="Times New Roman;Times;serif" w:hAnsi="Times New Roman;Times;serif"/>
          <w:sz w:val="22"/>
        </w:rPr>
        <w: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Authorized Officer</w:t>
      </w:r>
      <w:r>
        <w:rPr>
          <w:rFonts w:ascii="Aptos" w:hAnsi="Aptos"/>
          <w:sz w:val="22"/>
        </w:rPr>
        <w:t xml:space="preserve">” </w:t>
      </w:r>
      <w:r>
        <w:rPr>
          <w:rFonts w:ascii="Times New Roman;Times;serif" w:hAnsi="Times New Roman;Times;serif"/>
          <w:sz w:val="22"/>
        </w:rPr>
        <w:t>means a Financial Officer or other individual authorized by a Financial Officer in writing (with a copy to Agent) to handle certain administrative matters in connection with this Agreement.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Australian Dollar</w:t>
      </w:r>
      <w:r>
        <w:rPr>
          <w:rFonts w:ascii="Aptos" w:hAnsi="Aptos"/>
          <w:sz w:val="22"/>
        </w:rPr>
        <w:t xml:space="preserve">” </w:t>
      </w:r>
      <w:r>
        <w:rPr>
          <w:rFonts w:ascii="Times New Roman;Times;serif" w:hAnsi="Times New Roman;Times;serif"/>
          <w:sz w:val="22"/>
        </w:rPr>
        <w:t>means the lawful currency of Australia.</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Available Liquidity</w:t>
      </w:r>
      <w:r>
        <w:rPr>
          <w:rFonts w:ascii="Aptos" w:hAnsi="Aptos"/>
          <w:sz w:val="22"/>
        </w:rPr>
        <w:t xml:space="preserve">” </w:t>
      </w:r>
      <w:r>
        <w:rPr>
          <w:rFonts w:ascii="Times New Roman;Times;serif" w:hAnsi="Times New Roman;Times;serif"/>
          <w:sz w:val="22"/>
        </w:rPr>
        <w:t xml:space="preserve">means, at any time, the sum, without duplication, of (a) all Unrestricted cash on hand of the Companies, </w:t>
      </w:r>
      <w:r>
        <w:rPr>
          <w:rFonts w:ascii="Times New Roman;Times;serif" w:hAnsi="Times New Roman;Times;serif"/>
          <w:sz w:val="22"/>
          <w:u w:val="single"/>
        </w:rPr>
        <w:t>plus</w:t>
      </w:r>
      <w:r>
        <w:rPr>
          <w:rFonts w:ascii="Aptos" w:hAnsi="Aptos"/>
          <w:sz w:val="22"/>
        </w:rPr>
        <w:t xml:space="preserve"> </w:t>
      </w:r>
      <w:r>
        <w:rPr>
          <w:rFonts w:ascii="Times New Roman;Times;serif" w:hAnsi="Times New Roman;Times;serif"/>
          <w:sz w:val="22"/>
        </w:rPr>
        <w:t xml:space="preserve">(b) all Unrestricted Cash Equivalents of the Companies that have a maturity of not more than one year from the date of determination, </w:t>
      </w:r>
      <w:r>
        <w:rPr>
          <w:rFonts w:ascii="Times New Roman;Times;serif" w:hAnsi="Times New Roman;Times;serif"/>
          <w:sz w:val="22"/>
          <w:u w:val="single"/>
        </w:rPr>
        <w:t>plus</w:t>
      </w:r>
      <w:r>
        <w:rPr>
          <w:rFonts w:ascii="Aptos" w:hAnsi="Aptos"/>
          <w:sz w:val="22"/>
        </w:rPr>
        <w:t xml:space="preserve"> </w:t>
      </w:r>
      <w:r>
        <w:rPr>
          <w:rFonts w:ascii="Times New Roman;Times;serif" w:hAnsi="Times New Roman;Times;serif"/>
          <w:sz w:val="22"/>
        </w:rPr>
        <w:t xml:space="preserve">(c) the Revolving Credit Availability; </w:t>
      </w:r>
      <w:r>
        <w:rPr>
          <w:rFonts w:ascii="Times New Roman;Times;serif" w:hAnsi="Times New Roman;Times;serif"/>
          <w:sz w:val="22"/>
          <w:u w:val="single"/>
        </w:rPr>
        <w:t>provided</w:t>
      </w:r>
      <w:r>
        <w:rPr>
          <w:rFonts w:ascii="Aptos" w:hAnsi="Aptos"/>
          <w:sz w:val="22"/>
        </w:rPr>
        <w:t xml:space="preserve"> </w:t>
      </w:r>
      <w:r>
        <w:rPr>
          <w:rFonts w:ascii="Times New Roman;Times;serif" w:hAnsi="Times New Roman;Times;serif"/>
          <w:sz w:val="22"/>
        </w:rPr>
        <w:t xml:space="preserve">that, for the purposes of calculating Available Liquidity for </w:t>
      </w:r>
      <w:r>
        <w:rPr>
          <w:rFonts w:ascii="Times New Roman;Times;serif" w:hAnsi="Times New Roman;Times;serif"/>
          <w:sz w:val="22"/>
          <w:u w:val="single"/>
        </w:rPr>
        <w:t>Section 5.7(d)</w:t>
      </w:r>
      <w:r>
        <w:rPr>
          <w:rFonts w:ascii="Aptos" w:hAnsi="Aptos"/>
          <w:sz w:val="22"/>
        </w:rPr>
        <w:t xml:space="preserve"> </w:t>
      </w:r>
      <w:r>
        <w:rPr>
          <w:rFonts w:ascii="Times New Roman;Times;serif" w:hAnsi="Times New Roman;Times;serif"/>
          <w:sz w:val="22"/>
        </w:rPr>
        <w:t>hereof, to the extent that cash needs to be repatriated to a jurisdiction for the payment of all or any part of the Expected Earn-Out Amount, the costs (including taxes and other related costs) of such repatriation shall be subtracted from Available Liquidity.</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Available Tenor</w:t>
      </w:r>
      <w:r>
        <w:rPr>
          <w:rFonts w:ascii="Aptos" w:hAnsi="Aptos"/>
          <w:sz w:val="22"/>
        </w:rPr>
        <w:t xml:space="preserve">” </w:t>
      </w:r>
      <w:r>
        <w:rPr>
          <w:rFonts w:ascii="Times New Roman;Times;serif" w:hAnsi="Times New Roman;Times;serif"/>
          <w:sz w:val="22"/>
        </w:rPr>
        <w:t xml:space="preserve">means, as of any date of determination and with respect to any then-current Benchmark for any Currency,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w:t>
      </w:r>
      <w:r>
        <w:rPr>
          <w:rFonts w:ascii="Times New Roman;Times;serif" w:hAnsi="Times New Roman;Times;serif"/>
          <w:sz w:val="22"/>
          <w:u w:val="single"/>
        </w:rPr>
        <w:t>Section 3.5(c)(iv)</w:t>
      </w:r>
      <w:r>
        <w:rPr>
          <w:rFonts w:ascii="Times New Roman;Times;serif" w:hAnsi="Times New Roman;Times;serif"/>
          <w:sz w:val="22"/>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5</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Bail-In Action</w:t>
      </w:r>
      <w:r>
        <w:rPr>
          <w:rFonts w:ascii="Aptos" w:hAnsi="Aptos"/>
          <w:sz w:val="22"/>
        </w:rPr>
        <w:t xml:space="preserve">” </w:t>
      </w:r>
      <w:r>
        <w:rPr>
          <w:rFonts w:ascii="Times New Roman;Times;serif" w:hAnsi="Times New Roman;Times;serif"/>
          <w:sz w:val="22"/>
        </w:rPr>
        <w:t>means the exercise of any Write-Down and Conversion Powers by the applicable Resolution Authority in respect of any liability of an Affected Financial Institution.</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Bail-In Legislation</w:t>
      </w:r>
      <w:r>
        <w:rPr>
          <w:rFonts w:ascii="Aptos" w:hAnsi="Aptos"/>
          <w:sz w:val="22"/>
        </w:rPr>
        <w:t xml:space="preserve">” </w:t>
      </w:r>
      <w:r>
        <w:rPr>
          <w:rFonts w:ascii="Times New Roman;Times;serif" w:hAnsi="Times New Roman;Times;serif"/>
          <w:sz w:val="22"/>
        </w:rPr>
        <w:t>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Bank Product Agreements</w:t>
      </w:r>
      <w:r>
        <w:rPr>
          <w:rFonts w:ascii="Aptos" w:hAnsi="Aptos"/>
          <w:sz w:val="22"/>
        </w:rPr>
        <w:t xml:space="preserve">” </w:t>
      </w:r>
      <w:r>
        <w:rPr>
          <w:rFonts w:ascii="Times New Roman;Times;serif" w:hAnsi="Times New Roman;Times;serif"/>
          <w:sz w:val="22"/>
        </w:rPr>
        <w:t>means those certain cash management services and other agreements entered into from time to time between a Company and Agent or a Lender (or an affiliate of a Lender) in connection with any of the Bank Products.</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Bank Product Obligations</w:t>
      </w:r>
      <w:r>
        <w:rPr>
          <w:rFonts w:ascii="Aptos" w:hAnsi="Aptos"/>
          <w:sz w:val="22"/>
        </w:rPr>
        <w:t xml:space="preserve">” </w:t>
      </w:r>
      <w:r>
        <w:rPr>
          <w:rFonts w:ascii="Times New Roman;Times;serif" w:hAnsi="Times New Roman;Times;serif"/>
          <w:sz w:val="22"/>
        </w:rPr>
        <w:t>means all obligations, liabilities, contingent reimbursement obligations, fees, and expenses owing by a Company to Agent or any Lender (or an affiliate of a Lender) pursuant to or evidenced by the Bank Product Agreements.</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Bank Products</w:t>
      </w:r>
      <w:r>
        <w:rPr>
          <w:rFonts w:ascii="Aptos" w:hAnsi="Aptos"/>
          <w:sz w:val="22"/>
        </w:rPr>
        <w:t xml:space="preserve">” </w:t>
      </w:r>
      <w:r>
        <w:rPr>
          <w:rFonts w:ascii="Times New Roman;Times;serif" w:hAnsi="Times New Roman;Times;serif"/>
          <w:sz w:val="22"/>
        </w:rPr>
        <w:t>means a service or facility extended to a Company by Agent or any Lender (or an affiliate of a Lender) for (a) credit cards and credit card processing services, (b) debit cards, purchase cards and stored value cards, (c) ACH transactions, and (d) cash management, including controlled disbursement, accounts or services.</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Bankruptcy Code</w:t>
      </w:r>
      <w:r>
        <w:rPr>
          <w:rFonts w:ascii="Aptos" w:hAnsi="Aptos"/>
          <w:sz w:val="22"/>
        </w:rPr>
        <w:t xml:space="preserve">” </w:t>
      </w:r>
      <w:r>
        <w:rPr>
          <w:rFonts w:ascii="Times New Roman;Times;serif" w:hAnsi="Times New Roman;Times;serif"/>
          <w:sz w:val="22"/>
        </w:rPr>
        <w:t>means Title 11 of the United States Code entitled “Bankruptcy”, as now or hereafter in effect, or any successor thereto, as hereafter amended.</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Base Rate</w:t>
      </w:r>
      <w:r>
        <w:rPr>
          <w:rFonts w:ascii="Aptos" w:hAnsi="Aptos"/>
          <w:sz w:val="22"/>
        </w:rPr>
        <w:t xml:space="preserve">” </w:t>
      </w:r>
      <w:r>
        <w:rPr>
          <w:rFonts w:ascii="Times New Roman;Times;serif" w:hAnsi="Times New Roman;Times;serif"/>
          <w:sz w:val="22"/>
        </w:rPr>
        <w:t xml:space="preserve">means, at any time, the highest of (a) the Prime Rate, (b) the Federal Funds Effective Rate </w:t>
      </w:r>
      <w:r>
        <w:rPr>
          <w:rFonts w:ascii="Times New Roman;Times;serif" w:hAnsi="Times New Roman;Times;serif"/>
          <w:sz w:val="22"/>
          <w:u w:val="single"/>
        </w:rPr>
        <w:t>plus</w:t>
      </w:r>
      <w:r>
        <w:rPr>
          <w:rFonts w:ascii="Aptos" w:hAnsi="Aptos"/>
          <w:sz w:val="22"/>
        </w:rPr>
        <w:t xml:space="preserve"> </w:t>
      </w:r>
      <w:r>
        <w:rPr>
          <w:rFonts w:ascii="Times New Roman;Times;serif" w:hAnsi="Times New Roman;Times;serif"/>
          <w:sz w:val="22"/>
        </w:rPr>
        <w:t xml:space="preserve">0.50% and (c)(i) prior to the USD LIBOR Transition Date, the Adjusted Eurodollar Rate for Dollars for a one-month term in effect on such day </w:t>
      </w:r>
      <w:r>
        <w:rPr>
          <w:rFonts w:ascii="Times New Roman;Times;serif" w:hAnsi="Times New Roman;Times;serif"/>
          <w:sz w:val="22"/>
          <w:u w:val="single"/>
        </w:rPr>
        <w:t>plus</w:t>
      </w:r>
      <w:r>
        <w:rPr>
          <w:rFonts w:ascii="Aptos" w:hAnsi="Aptos"/>
          <w:sz w:val="22"/>
        </w:rPr>
        <w:t xml:space="preserve"> </w:t>
      </w:r>
      <w:r>
        <w:rPr>
          <w:rFonts w:ascii="Times New Roman;Times;serif" w:hAnsi="Times New Roman;Times;serif"/>
          <w:sz w:val="22"/>
        </w:rPr>
        <w:t xml:space="preserve">1.00% and (ii) on and after the USD LIBOR Transition Date, Daily Simple RFR for Dollars in effect on such day </w:t>
      </w:r>
      <w:r>
        <w:rPr>
          <w:rFonts w:ascii="Times New Roman;Times;serif" w:hAnsi="Times New Roman;Times;serif"/>
          <w:sz w:val="22"/>
          <w:u w:val="single"/>
        </w:rPr>
        <w:t>plus</w:t>
      </w:r>
      <w:r>
        <w:rPr>
          <w:rFonts w:ascii="Aptos" w:hAnsi="Aptos"/>
          <w:sz w:val="22"/>
        </w:rPr>
        <w:t xml:space="preserve"> </w:t>
      </w:r>
      <w:r>
        <w:rPr>
          <w:rFonts w:ascii="Times New Roman;Times;serif" w:hAnsi="Times New Roman;Times;serif"/>
          <w:sz w:val="22"/>
        </w:rPr>
        <w:t>1.00%.  Each change in the Base Rate shall take effect simultaneously with the corresponding change or changes in the Prime Rate, Federal Funds Effective Rate, Adjusted Eurodollar Rate for Dollars or Daily Simple RFR for Dollars, as the case may be (</w:t>
      </w:r>
      <w:r>
        <w:rPr>
          <w:rFonts w:ascii="Times New Roman;Times;serif" w:hAnsi="Times New Roman;Times;serif"/>
          <w:sz w:val="22"/>
          <w:u w:val="single"/>
        </w:rPr>
        <w:t>provided</w:t>
      </w:r>
      <w:r>
        <w:rPr>
          <w:rFonts w:ascii="Aptos" w:hAnsi="Aptos"/>
          <w:sz w:val="22"/>
        </w:rPr>
        <w:t xml:space="preserve"> </w:t>
      </w:r>
      <w:r>
        <w:rPr>
          <w:rFonts w:ascii="Times New Roman;Times;serif" w:hAnsi="Times New Roman;Times;serif"/>
          <w:sz w:val="22"/>
        </w:rPr>
        <w:t xml:space="preserve">that </w:t>
      </w:r>
      <w:r>
        <w:rPr>
          <w:rFonts w:ascii="Times New Roman;Times;serif" w:hAnsi="Times New Roman;Times;serif"/>
          <w:sz w:val="22"/>
          <w:u w:val="single"/>
        </w:rPr>
        <w:t>clause (c)</w:t>
      </w:r>
      <w:r>
        <w:rPr>
          <w:rFonts w:ascii="Aptos" w:hAnsi="Aptos"/>
          <w:sz w:val="22"/>
        </w:rPr>
        <w:t xml:space="preserve"> </w:t>
      </w:r>
      <w:r>
        <w:rPr>
          <w:rFonts w:ascii="Times New Roman;Times;serif" w:hAnsi="Times New Roman;Times;serif"/>
          <w:sz w:val="22"/>
        </w:rPr>
        <w:t>shall not be applicable during any period in which the Adjusted Eurodollar Rate or Daily Simple RFR, as applicable, is unavailable or unascertainable).</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Base Rate Loan</w:t>
      </w:r>
      <w:r>
        <w:rPr>
          <w:rFonts w:ascii="Aptos" w:hAnsi="Aptos"/>
          <w:sz w:val="22"/>
        </w:rPr>
        <w:t xml:space="preserve">” </w:t>
      </w:r>
      <w:r>
        <w:rPr>
          <w:rFonts w:ascii="Times New Roman;Times;serif" w:hAnsi="Times New Roman;Times;serif"/>
          <w:sz w:val="22"/>
        </w:rPr>
        <w:t xml:space="preserve">means a Revolving Loan described in </w:t>
      </w:r>
      <w:r>
        <w:rPr>
          <w:rFonts w:ascii="Times New Roman;Times;serif" w:hAnsi="Times New Roman;Times;serif"/>
          <w:sz w:val="22"/>
          <w:u w:val="single"/>
        </w:rPr>
        <w:t>Section 2.2(a)</w:t>
      </w:r>
      <w:r>
        <w:rPr>
          <w:rFonts w:ascii="Aptos" w:hAnsi="Aptos"/>
          <w:sz w:val="22"/>
        </w:rPr>
        <w:t xml:space="preserve"> </w:t>
      </w:r>
      <w:r>
        <w:rPr>
          <w:rFonts w:ascii="Times New Roman;Times;serif" w:hAnsi="Times New Roman;Times;serif"/>
          <w:sz w:val="22"/>
        </w:rPr>
        <w:t xml:space="preserve">hereof, which shall be denominated in Dollars and on which Borrowers shall pay interest at a rate based on the Base Rate </w:t>
      </w:r>
      <w:r>
        <w:rPr>
          <w:rFonts w:ascii="Times New Roman;Times;serif" w:hAnsi="Times New Roman;Times;serif"/>
          <w:sz w:val="22"/>
          <w:u w:val="single"/>
        </w:rPr>
        <w:t>plus</w:t>
      </w:r>
      <w:r>
        <w:rPr>
          <w:rFonts w:ascii="Aptos" w:hAnsi="Aptos"/>
          <w:sz w:val="22"/>
        </w:rPr>
        <w:t xml:space="preserve"> </w:t>
      </w:r>
      <w:r>
        <w:rPr>
          <w:rFonts w:ascii="Times New Roman;Times;serif" w:hAnsi="Times New Roman;Times;serif"/>
          <w:sz w:val="22"/>
        </w:rPr>
        <w:t>the Applicable Margin for Base Rate Loans.</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BBSY</w:t>
      </w:r>
      <w:r>
        <w:rPr>
          <w:rFonts w:ascii="Aptos" w:hAnsi="Aptos"/>
          <w:sz w:val="22"/>
        </w:rPr>
        <w:t xml:space="preserve">” </w:t>
      </w:r>
      <w:r>
        <w:rPr>
          <w:rFonts w:ascii="Times New Roman;Times;serif" w:hAnsi="Times New Roman;Times;serif"/>
          <w:sz w:val="22"/>
        </w:rPr>
        <w:t>has the meaning assigned thereto in the definition of “Eurodollar Rate”.</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BBSY Rate</w:t>
      </w:r>
      <w:r>
        <w:rPr>
          <w:rFonts w:ascii="Aptos" w:hAnsi="Aptos"/>
          <w:sz w:val="22"/>
        </w:rPr>
        <w:t xml:space="preserve">” </w:t>
      </w:r>
      <w:r>
        <w:rPr>
          <w:rFonts w:ascii="Times New Roman;Times;serif" w:hAnsi="Times New Roman;Times;serif"/>
          <w:sz w:val="22"/>
        </w:rPr>
        <w:t>has the meaning assigned thereto in the definition of “Eurodollar Rate”.</w:t>
      </w:r>
    </w:p>
    <w:p>
      <w:pPr>
        <w:pStyle w:val="TextBody"/>
        <w:bidi w:val="0"/>
        <w:spacing w:lineRule="auto" w:line="285" w:before="0" w:after="0"/>
        <w:ind w:left="0" w:right="0" w:firstLine="720"/>
        <w:jc w:val="both"/>
        <w:rPr/>
      </w:pPr>
      <w:r>
        <w:rPr/>
        <w:t>“</w:t>
      </w:r>
      <w:r>
        <w:rPr>
          <w:rFonts w:ascii="Times New Roman;Times;serif" w:hAnsi="Times New Roman;Times;serif"/>
          <w:sz w:val="22"/>
          <w:u w:val="single"/>
        </w:rPr>
        <w:t>Benchmark</w:t>
      </w:r>
      <w:r>
        <w:rPr>
          <w:rFonts w:ascii="Aptos" w:hAnsi="Aptos"/>
          <w:sz w:val="22"/>
        </w:rPr>
        <w:t xml:space="preserve">” </w:t>
      </w:r>
      <w:r>
        <w:rPr>
          <w:rFonts w:ascii="Times New Roman;Times;serif" w:hAnsi="Times New Roman;Times;serif"/>
          <w:sz w:val="22"/>
        </w:rPr>
        <w:t xml:space="preserve">means, initially, with respect to any (a) Obligations, interest, fees, commissions or other amounts denominated in, or calculated with respect to, Dollars, the Adjusted Eurodollar Rate for Dollars; </w:t>
      </w:r>
      <w:r>
        <w:rPr>
          <w:rFonts w:ascii="Times New Roman;Times;serif" w:hAnsi="Times New Roman;Times;serif"/>
          <w:sz w:val="22"/>
          <w:u w:val="single"/>
        </w:rPr>
        <w:t>provided</w:t>
      </w:r>
      <w:r>
        <w:rPr>
          <w:rFonts w:ascii="Aptos" w:hAnsi="Aptos"/>
          <w:sz w:val="22"/>
        </w:rPr>
        <w:t xml:space="preserve"> </w:t>
      </w:r>
      <w:r>
        <w:rPr>
          <w:rFonts w:ascii="Times New Roman;Times;serif" w:hAnsi="Times New Roman;Times;serif"/>
          <w:sz w:val="22"/>
        </w:rPr>
        <w:t>that if (i) the USD LIBOR Transition Date has occurred or (ii) a Benchmark Transition Event</w:t>
      </w:r>
      <w:r>
        <w:rPr>
          <w:rFonts w:ascii="Aptos" w:hAnsi="Aptos"/>
          <w:sz w:val="22"/>
        </w:rPr>
        <w:t xml:space="preserve"> </w:t>
      </w:r>
      <w:r>
        <w:rPr>
          <w:rFonts w:ascii="Times New Roman;Times;serif" w:hAnsi="Times New Roman;Times;serif"/>
          <w:sz w:val="22"/>
        </w:rPr>
        <w:t xml:space="preserve">or a Term RFR Transition Event, as applicable, has occurred with respect to the then-current Benchmark for Dollars, then “Benchmark” means, with respect to such Obligations, interest, fees, commissions or other amounts, the applicable Benchmark Replacement to the extent that such Benchmark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6</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Aptos" w:hAnsi="Aptos"/>
          <w:sz w:val="22"/>
        </w:rPr>
      </w:pPr>
      <w:r>
        <w:rPr>
          <w:rFonts w:ascii="Times New Roman;Times;serif" w:hAnsi="Times New Roman;Times;serif"/>
          <w:sz w:val="22"/>
        </w:rPr>
        <w:t xml:space="preserve">Replacement has replaced such prior benchmark rate pursuant to </w:t>
      </w:r>
      <w:r>
        <w:rPr>
          <w:rFonts w:ascii="Times New Roman;Times;serif" w:hAnsi="Times New Roman;Times;serif"/>
          <w:sz w:val="22"/>
          <w:u w:val="single"/>
        </w:rPr>
        <w:t>Section 3.5(c)(i)</w:t>
      </w:r>
      <w:r>
        <w:rPr>
          <w:rFonts w:ascii="Times New Roman;Times;serif" w:hAnsi="Times New Roman;Times;serif"/>
          <w:sz w:val="22"/>
        </w:rPr>
        <w:t xml:space="preserve">, (b) Obligations, interest, fees, commissions or other amounts denominated in, or calculated with respect to, Sterling, the Daily Simple RFR applicable for Sterling; </w:t>
      </w:r>
      <w:r>
        <w:rPr>
          <w:rFonts w:ascii="Times New Roman;Times;serif" w:hAnsi="Times New Roman;Times;serif"/>
          <w:sz w:val="22"/>
          <w:u w:val="single"/>
        </w:rPr>
        <w:t>provided</w:t>
      </w:r>
      <w:r>
        <w:rPr>
          <w:rFonts w:ascii="Aptos" w:hAnsi="Aptos"/>
          <w:sz w:val="22"/>
        </w:rPr>
        <w:t xml:space="preserve"> </w:t>
      </w:r>
      <w:r>
        <w:rPr>
          <w:rFonts w:ascii="Times New Roman;Times;serif" w:hAnsi="Times New Roman;Times;serif"/>
          <w:sz w:val="22"/>
        </w:rPr>
        <w:t xml:space="preserve">that if a Benchmark Transition Event or a Term RFR Transition Event, as applicable, has occurred with respect to such Daily Simple RFR or the then-current Benchmark for Sterling, then “Benchmark” means, with respect to such Obligations, interest, fees, commissions or other amounts, the applicable Benchmark Replacement to the extent that such Benchmark Replacement has replaced such prior benchmark rate pursuant to </w:t>
      </w:r>
      <w:r>
        <w:rPr>
          <w:rFonts w:ascii="Times New Roman;Times;serif" w:hAnsi="Times New Roman;Times;serif"/>
          <w:sz w:val="22"/>
          <w:u w:val="single"/>
        </w:rPr>
        <w:t>Section 3.5(c)(i)</w:t>
      </w:r>
      <w:r>
        <w:rPr>
          <w:rFonts w:ascii="Aptos" w:hAnsi="Aptos"/>
          <w:sz w:val="22"/>
        </w:rPr>
        <w:t xml:space="preserve"> </w:t>
      </w:r>
      <w:r>
        <w:rPr>
          <w:rFonts w:ascii="Times New Roman;Times;serif" w:hAnsi="Times New Roman;Times;serif"/>
          <w:sz w:val="22"/>
        </w:rPr>
        <w:t xml:space="preserve">and (c) Obligations, interest, fees, commissions or other amounts denominated in, or calculated with respect to, Australian Dollars, Euros, New Zealand Dollars or Yen, the Adjusted Eurodollar Rate applicable for such Currency; </w:t>
      </w:r>
      <w:r>
        <w:rPr>
          <w:rFonts w:ascii="Times New Roman;Times;serif" w:hAnsi="Times New Roman;Times;serif"/>
          <w:sz w:val="22"/>
          <w:u w:val="single"/>
        </w:rPr>
        <w:t>provided</w:t>
      </w:r>
      <w:r>
        <w:rPr>
          <w:rFonts w:ascii="Aptos" w:hAnsi="Aptos"/>
          <w:sz w:val="22"/>
        </w:rPr>
        <w:t xml:space="preserve"> </w:t>
      </w:r>
      <w:r>
        <w:rPr>
          <w:rFonts w:ascii="Times New Roman;Times;serif" w:hAnsi="Times New Roman;Times;serif"/>
          <w:sz w:val="22"/>
        </w:rPr>
        <w:t xml:space="preserve">that if a Benchmark Transition Event or a Term RFR Transition Event, as applicable, has occurred with respect to such Adjusted Eurodollar Rate or the then-current Benchmark for such Currency, then “Benchmark” means, with respect to such Obligations, interest, fees, commissions or other amounts, the applicable Benchmark Replacement to the extent that such Benchmark Replacement has replaced such prior benchmark rate pursuant to </w:t>
      </w:r>
      <w:r>
        <w:rPr>
          <w:rFonts w:ascii="Times New Roman;Times;serif" w:hAnsi="Times New Roman;Times;serif"/>
          <w:sz w:val="22"/>
          <w:u w:val="single"/>
        </w:rPr>
        <w:t>Section 3.5(c)(i)</w:t>
      </w:r>
      <w:r>
        <w:rPr>
          <w:rFonts w:ascii="Times New Roman;Times;serif" w:hAnsi="Times New Roman;Times;serif"/>
          <w:sz w:val="22"/>
        </w:rPr>
        <w: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Benchmark Replacement</w:t>
      </w:r>
      <w:r>
        <w:rPr>
          <w:rFonts w:ascii="Aptos" w:hAnsi="Aptos"/>
          <w:sz w:val="22"/>
        </w:rPr>
        <w:t xml:space="preserve">” </w:t>
      </w:r>
      <w:r>
        <w:rPr>
          <w:rFonts w:ascii="Times New Roman;Times;serif" w:hAnsi="Times New Roman;Times;serif"/>
          <w:sz w:val="22"/>
        </w:rPr>
        <w:t>means,</w:t>
      </w:r>
    </w:p>
    <w:p>
      <w:pPr>
        <w:pStyle w:val="TextBody"/>
        <w:bidi w:val="0"/>
        <w:spacing w:lineRule="auto" w:line="285" w:before="0" w:after="0"/>
        <w:ind w:left="0" w:right="0" w:hanging="0"/>
        <w:jc w:val="both"/>
        <w:rPr>
          <w:rFonts w:ascii="Aptos" w:hAnsi="Aptos"/>
          <w:sz w:val="24"/>
        </w:rPr>
      </w:pPr>
      <w:r>
        <w:rPr>
          <w:rFonts w:ascii="Times New Roman;Times;serif" w:hAnsi="Times New Roman;Times;serif"/>
          <w:sz w:val="22"/>
        </w:rPr>
        <w:t>(a)with respect to any Benchmark Transition Event for the then-current Benchmark, the sum of: (i) the alternate benchmark rate that has been selected by the Agent and the Borrowers as the replacement for such Benchmark giving due consideration to (A) any selection or recommendation of a replacement benchmark rate or the mechanism for determining such a rate by the Relevant Governmental Body or (B) any evolving or then-prevailing market convention for determining a benchmark rate as a replacement for such Benchmark for syndicated credit facilities denominated in the applicable Currency at such time and (ii)</w:t>
      </w:r>
      <w:r>
        <w:rPr>
          <w:rFonts w:ascii="Aptos" w:hAnsi="Aptos"/>
          <w:sz w:val="24"/>
        </w:rPr>
        <w:t xml:space="preserve"> </w:t>
      </w:r>
      <w:r>
        <w:rPr>
          <w:rFonts w:ascii="Times New Roman;Times;serif" w:hAnsi="Times New Roman;Times;serif"/>
          <w:sz w:val="22"/>
        </w:rPr>
        <w:t xml:space="preserve">the related Benchmark Replacement Adjustment;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that, if such Benchmark Replacement as so determined would be less than the Floor, such Benchmark Replacement will be deemed to be the Floor</w:t>
      </w:r>
      <w:r>
        <w:rPr>
          <w:rFonts w:ascii="Aptos" w:hAnsi="Aptos"/>
          <w:sz w:val="24"/>
        </w:rPr>
        <w:t xml:space="preserve"> </w:t>
      </w:r>
      <w:r>
        <w:rPr>
          <w:rFonts w:ascii="Times New Roman;Times;serif" w:hAnsi="Times New Roman;Times;serif"/>
          <w:sz w:val="22"/>
        </w:rPr>
        <w:t>for the purposes of this Agreement and the other Loan Documents;</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(b)with respect to the</w:t>
      </w:r>
      <w:r>
        <w:rPr>
          <w:rFonts w:ascii="Aptos" w:hAnsi="Aptos"/>
          <w:sz w:val="24"/>
        </w:rPr>
        <w:t xml:space="preserve"> </w:t>
      </w:r>
      <w:r>
        <w:rPr>
          <w:rFonts w:ascii="Times New Roman;Times;serif" w:hAnsi="Times New Roman;Times;serif"/>
          <w:sz w:val="22"/>
        </w:rPr>
        <w:t>USD</w:t>
      </w:r>
      <w:r>
        <w:rPr>
          <w:rFonts w:ascii="Aptos" w:hAnsi="Aptos"/>
          <w:sz w:val="24"/>
        </w:rPr>
        <w:t xml:space="preserve"> </w:t>
      </w:r>
      <w:r>
        <w:rPr>
          <w:rFonts w:ascii="Times New Roman;Times;serif" w:hAnsi="Times New Roman;Times;serif"/>
          <w:sz w:val="22"/>
        </w:rPr>
        <w:t>LIBOR Transition Date, for any Available Tenor of the Adjusted Eurodollar Rate for Dollars, the first alternative set forth in the order below that can be determined by the Agent for the USD LIBOR Transition Date:</w:t>
      </w:r>
    </w:p>
    <w:p>
      <w:pPr>
        <w:pStyle w:val="TextBody"/>
        <w:bidi w:val="0"/>
        <w:spacing w:lineRule="auto" w:line="285" w:before="0" w:after="240"/>
        <w:ind w:left="720" w:right="0" w:hanging="0"/>
        <w:jc w:val="both"/>
        <w:rPr>
          <w:rFonts w:ascii="Aptos" w:hAnsi="Aptos"/>
          <w:sz w:val="24"/>
        </w:rPr>
      </w:pPr>
      <w:r>
        <w:rPr>
          <w:rFonts w:ascii="Times New Roman;Times;serif" w:hAnsi="Times New Roman;Times;serif"/>
          <w:sz w:val="24"/>
        </w:rPr>
        <w:t>(1)</w:t>
      </w:r>
      <w:r>
        <w:rPr>
          <w:rFonts w:ascii="Times New Roman;Times;serif" w:hAnsi="Times New Roman;Times;serif"/>
          <w:sz w:val="22"/>
        </w:rPr>
        <w:t xml:space="preserve">Term RFR for Dollars; </w:t>
      </w:r>
      <w:r>
        <w:rPr>
          <w:rFonts w:ascii="Times New Roman;Times;serif" w:hAnsi="Times New Roman;Times;serif"/>
          <w:sz w:val="22"/>
          <w:u w:val="single"/>
        </w:rPr>
        <w:t>provided</w:t>
      </w:r>
      <w:r>
        <w:rPr>
          <w:rFonts w:ascii="Times New Roman;Times;serif" w:hAnsi="Times New Roman;Times;serif"/>
          <w:sz w:val="22"/>
        </w:rPr>
        <w:t>, that, if the Borrowers have provided a notification to the Agent in writing on or prior to the USD</w:t>
      </w:r>
      <w:r>
        <w:rPr>
          <w:rFonts w:ascii="Aptos" w:hAnsi="Aptos"/>
          <w:sz w:val="24"/>
        </w:rPr>
        <w:t xml:space="preserve"> </w:t>
      </w:r>
      <w:r>
        <w:rPr>
          <w:rFonts w:ascii="Times New Roman;Times;serif" w:hAnsi="Times New Roman;Times;serif"/>
          <w:sz w:val="22"/>
        </w:rPr>
        <w:t>LIBOR Transition Date</w:t>
      </w:r>
      <w:r>
        <w:rPr>
          <w:rFonts w:ascii="Aptos" w:hAnsi="Aptos"/>
          <w:sz w:val="24"/>
        </w:rPr>
        <w:t xml:space="preserve"> </w:t>
      </w:r>
      <w:r>
        <w:rPr>
          <w:rFonts w:ascii="Times New Roman;Times;serif" w:hAnsi="Times New Roman;Times;serif"/>
          <w:sz w:val="22"/>
        </w:rPr>
        <w:t>that the Borrowers have a Hedge Agreement in place with respect to any of the Loans as of the date of such notice (which such notification the Agent shall be entitled to rely upon and shall have no duty or obligation to ascertain the correctness or completeness of), then the Agent, in its sole discretion, may decide not to determine the Benchmark Replacement pursuant to this clause (b)(1) for the USD</w:t>
      </w:r>
      <w:r>
        <w:rPr>
          <w:rFonts w:ascii="Aptos" w:hAnsi="Aptos"/>
          <w:sz w:val="24"/>
        </w:rPr>
        <w:t xml:space="preserve"> </w:t>
      </w:r>
      <w:r>
        <w:rPr>
          <w:rFonts w:ascii="Times New Roman;Times;serif" w:hAnsi="Times New Roman;Times;serif"/>
          <w:sz w:val="22"/>
        </w:rPr>
        <w:t>LIBOR Transition Date;</w:t>
      </w:r>
    </w:p>
    <w:p>
      <w:pPr>
        <w:pStyle w:val="TextBody"/>
        <w:bidi w:val="0"/>
        <w:spacing w:lineRule="auto" w:line="285" w:before="0" w:after="240"/>
        <w:ind w:left="720" w:right="0" w:hanging="0"/>
        <w:jc w:val="both"/>
        <w:rPr>
          <w:rFonts w:ascii="Aptos" w:hAnsi="Aptos"/>
          <w:sz w:val="24"/>
        </w:rPr>
      </w:pPr>
      <w:r>
        <w:rPr>
          <w:rFonts w:ascii="Times New Roman;Times;serif" w:hAnsi="Times New Roman;Times;serif"/>
          <w:sz w:val="24"/>
        </w:rPr>
        <w:t>(2)</w:t>
      </w:r>
      <w:r>
        <w:rPr>
          <w:rFonts w:ascii="Times New Roman;Times;serif" w:hAnsi="Times New Roman;Times;serif"/>
          <w:sz w:val="22"/>
        </w:rPr>
        <w:t>Daily Simple RFR for Dollars; or</w:t>
      </w:r>
    </w:p>
    <w:p>
      <w:pPr>
        <w:pStyle w:val="TextBody"/>
        <w:bidi w:val="0"/>
        <w:spacing w:lineRule="auto" w:line="285"/>
        <w:ind w:left="720" w:right="0" w:hanging="0"/>
        <w:jc w:val="both"/>
        <w:rPr>
          <w:rFonts w:ascii="Aptos" w:hAnsi="Aptos"/>
          <w:sz w:val="24"/>
        </w:rPr>
      </w:pPr>
      <w:r>
        <w:rPr>
          <w:rFonts w:ascii="Times New Roman;Times;serif" w:hAnsi="Times New Roman;Times;serif"/>
          <w:sz w:val="24"/>
        </w:rPr>
        <w:t>(3)</w:t>
      </w:r>
      <w:r>
        <w:rPr>
          <w:rFonts w:ascii="Times New Roman;Times;serif" w:hAnsi="Times New Roman;Times;serif"/>
          <w:sz w:val="22"/>
        </w:rPr>
        <w:t xml:space="preserve">the sum of: (A) the alternate benchmark rate that has been selected by the Agent and the Borrowers as the replacement for the Adjusted Eurodollar Rate for Dollars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Adjusted Eurodollar Rate for Dollars for syndicated credit facilities denominated in Dollars at such time and (B) the related Benchmark Replacement Adjustment;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that, if such Benchmark Replacement as so determined would be less than the Floor, such Benchmark Replacement will be deemed to be the Floor</w:t>
      </w:r>
      <w:r>
        <w:rPr>
          <w:rFonts w:ascii="Aptos" w:hAnsi="Aptos"/>
          <w:sz w:val="24"/>
        </w:rPr>
        <w:t xml:space="preserve"> </w:t>
      </w:r>
      <w:r>
        <w:rPr>
          <w:rFonts w:ascii="Times New Roman;Times;serif" w:hAnsi="Times New Roman;Times;serif"/>
          <w:sz w:val="22"/>
        </w:rPr>
        <w:t>for the purposes of this Agreement and the other Loan Documents;</w:t>
      </w:r>
      <w:r>
        <w:rPr>
          <w:rFonts w:ascii="Aptos" w:hAnsi="Aptos"/>
          <w:sz w:val="24"/>
        </w:rPr>
        <w:t xml:space="preserve"> </w:t>
      </w:r>
      <w:r>
        <w:rPr>
          <w:rFonts w:ascii="Times New Roman;Times;serif" w:hAnsi="Times New Roman;Times;serif"/>
          <w:sz w:val="22"/>
        </w:rPr>
        <w:t>or</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7</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ind w:left="0" w:right="0" w:hanging="0"/>
        <w:jc w:val="both"/>
        <w:rPr>
          <w:rFonts w:ascii="Times New Roman;Times;serif" w:hAnsi="Times New Roman;Times;serif"/>
          <w:sz w:val="22"/>
        </w:rPr>
      </w:pPr>
      <w:r>
        <w:rPr>
          <w:rFonts w:ascii="Times New Roman;Times;serif" w:hAnsi="Times New Roman;Times;serif"/>
          <w:sz w:val="22"/>
        </w:rPr>
        <w:t>(c)with respect to any Term RFR Transition Event for any Currency, the Term RFR for such Currency.</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Benchmark Replacement Adjustment</w:t>
      </w:r>
      <w:r>
        <w:rPr>
          <w:rFonts w:ascii="Aptos" w:hAnsi="Aptos"/>
          <w:sz w:val="22"/>
        </w:rPr>
        <w:t xml:space="preserve">” </w:t>
      </w:r>
      <w:r>
        <w:rPr>
          <w:rFonts w:ascii="Times New Roman;Times;serif" w:hAnsi="Times New Roman;Times;serif"/>
          <w:sz w:val="22"/>
        </w:rPr>
        <w:t>means, with respect to any replacement of the then-current Benchmark with an Unadjusted Benchmark Replacement for any applicable Interest Period and Available Tenor for any setting of such Unadjusted Benchmark Replacement:</w:t>
      </w:r>
    </w:p>
    <w:p>
      <w:pPr>
        <w:pStyle w:val="TextBody"/>
        <w:bidi w:val="0"/>
        <w:spacing w:lineRule="auto" w:line="285" w:before="0" w:after="24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(1)</w:t>
      </w:r>
      <w:r>
        <w:rPr>
          <w:rFonts w:ascii="Times New Roman;Times;serif" w:hAnsi="Times New Roman;Times;serif"/>
          <w:sz w:val="22"/>
        </w:rPr>
        <w:t>for purposes of clauses (a) and (b)(3) of the definition of “Benchmark Replacement”, the spread adjustment, or method for calculating or determining such spread adjustment, (which may be a positive or negative value or zero) that has been selected by the Agent and the US Borrower giving due consideration to (i) any selection or recommendation of a spread adjustment, or method for calculating or determining such spread adjustment, for the replacement of such Benchmark with the applicable Unadjusted Benchmark Replacement by the Relevant Governmental Body 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w:t>
      </w:r>
    </w:p>
    <w:p>
      <w:pPr>
        <w:pStyle w:val="TextBody"/>
        <w:bidi w:val="0"/>
        <w:spacing w:lineRule="auto" w:line="285" w:before="0" w:after="24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(2)</w:t>
      </w:r>
      <w:r>
        <w:rPr>
          <w:rFonts w:ascii="Times New Roman;Times;serif" w:hAnsi="Times New Roman;Times;serif"/>
          <w:sz w:val="22"/>
        </w:rPr>
        <w:t>for purposes of clauses (b)(1) and (b)(2) of the definition of “Benchmark Replacement,” the first alternative set forth in the order below that can be determined by the Agent:</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(a)the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Available Tenor of such Benchmark with the applicable Unadjusted Benchmark Replacement; and</w:t>
      </w:r>
    </w:p>
    <w:p>
      <w:pPr>
        <w:pStyle w:val="TextBody"/>
        <w:bidi w:val="0"/>
        <w:spacing w:lineRule="auto" w:line="285"/>
        <w:ind w:left="0" w:right="0" w:hanging="0"/>
        <w:jc w:val="both"/>
        <w:rPr>
          <w:rFonts w:ascii="Times New Roman;Times;serif" w:hAnsi="Times New Roman;Times;serif"/>
          <w:sz w:val="22"/>
        </w:rPr>
      </w:pPr>
      <w:r>
        <w:rPr>
          <w:rFonts w:ascii="Times New Roman;Times;serif" w:hAnsi="Times New Roman;Times;serif"/>
          <w:sz w:val="22"/>
        </w:rPr>
        <w:t>(b)the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Available Tenor of such Benchmark;</w:t>
      </w:r>
    </w:p>
    <w:p>
      <w:pPr>
        <w:pStyle w:val="TextBody"/>
        <w:bidi w:val="0"/>
        <w:spacing w:lineRule="auto" w:line="285" w:before="0" w:after="240"/>
        <w:ind w:left="720" w:right="0" w:hanging="0"/>
        <w:jc w:val="both"/>
        <w:rPr>
          <w:rFonts w:ascii="Aptos" w:hAnsi="Aptos"/>
          <w:sz w:val="22"/>
        </w:rPr>
      </w:pPr>
      <w:r>
        <w:rPr>
          <w:rFonts w:ascii="Times New Roman;Times;serif" w:hAnsi="Times New Roman;Times;serif"/>
          <w:sz w:val="22"/>
          <w:u w:val="single"/>
        </w:rPr>
        <w:t>provided</w:t>
      </w:r>
      <w:r>
        <w:rPr>
          <w:rFonts w:ascii="Aptos" w:hAnsi="Aptos"/>
          <w:sz w:val="22"/>
        </w:rPr>
        <w:t xml:space="preserve"> </w:t>
      </w:r>
      <w:r>
        <w:rPr>
          <w:rFonts w:ascii="Times New Roman;Times;serif" w:hAnsi="Times New Roman;Times;serif"/>
          <w:sz w:val="22"/>
        </w:rPr>
        <w:t xml:space="preserve">that, (x) in the case of clause (2) above, such adjustment is displayed on a screen or other information service that publishes such Benchmark Replacement Adjustment from time to time as selected by the Agent in its reasonable discretion and (y) if the then-current Benchmark is a term rate, more than one tenor of such Benchmark is available as of the applicable Benchmark Replacement Date and the applicable Unadjusted Benchmark Replacement that will replace such Benchmark in accordance with </w:t>
      </w:r>
      <w:r>
        <w:rPr>
          <w:rFonts w:ascii="Times New Roman;Times;serif" w:hAnsi="Times New Roman;Times;serif"/>
          <w:sz w:val="22"/>
          <w:u w:val="single"/>
        </w:rPr>
        <w:t>Section 3.5(c)(i)</w:t>
      </w:r>
      <w:r>
        <w:rPr>
          <w:rFonts w:ascii="Aptos" w:hAnsi="Aptos"/>
          <w:sz w:val="22"/>
        </w:rPr>
        <w:t xml:space="preserve"> </w:t>
      </w:r>
      <w:r>
        <w:rPr>
          <w:rFonts w:ascii="Times New Roman;Times;serif" w:hAnsi="Times New Roman;Times;serif"/>
          <w:sz w:val="22"/>
        </w:rPr>
        <w:t>will not be a term rate, the Available Tenor of such Benchmark for purposes of this definition of “Benchmark Replacement Adjustment” shall be deemed to be, with respect to each Unadjusted Benchmark Replacement having a payment period for interest calculated with reference thereto, the Available Tenor that has approximately the same length (disregarding business day adjustments) as such payment period.</w:t>
      </w:r>
    </w:p>
    <w:p>
      <w:pPr>
        <w:pStyle w:val="TextBody"/>
        <w:bidi w:val="0"/>
        <w:spacing w:lineRule="auto" w:line="285" w:before="0" w:after="0"/>
        <w:ind w:left="0" w:right="0" w:firstLine="720"/>
        <w:jc w:val="both"/>
        <w:rPr/>
      </w:pPr>
      <w:r>
        <w:rPr/>
        <w:t>“</w:t>
      </w:r>
      <w:r>
        <w:rPr>
          <w:rFonts w:ascii="Times New Roman;Times;serif" w:hAnsi="Times New Roman;Times;serif"/>
          <w:sz w:val="22"/>
          <w:u w:val="single"/>
        </w:rPr>
        <w:t>Benchmark Replacement Conforming Changes</w:t>
      </w:r>
      <w:r>
        <w:rPr>
          <w:rFonts w:ascii="Aptos" w:hAnsi="Aptos"/>
          <w:sz w:val="22"/>
        </w:rPr>
        <w:t xml:space="preserve">” </w:t>
      </w:r>
      <w:r>
        <w:rPr>
          <w:rFonts w:ascii="Times New Roman;Times;serif" w:hAnsi="Times New Roman;Times;serif"/>
          <w:sz w:val="22"/>
        </w:rPr>
        <w:t xml:space="preserve">means, with respect to any Benchmark Replacement, any technical, administrative or operational changes (including changes to the definition of “Base Rate” (if applicable), the definition of “Business Day,” the definition of “Interest Period” or any similar or analogous definition (or the addition of a concept of “interest period”), the definition of “Eurodollar Banking Day”, the definition of “RFR Business Day”, timing and frequency of determining rates and making payments of interest, timing of borrowing requests or prepayment, conversion or continuation notices, length of lookback periods and other technical, administrative or operational matters) that the Agent decides may be appropriate to reflect the adoption and implementation of such Benchmark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8</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Replacement and to permit the administration thereof by the Agent in a manner substantially consistent with market practice (or, if the Agent decides that adoption of any portion of such market practice is not administratively feasible or if the Agent determines that no market practice for the administration of such Benchmark Replacement exists, in such other manner of administration as the Agent decides is reasonably necessary in connection with the administration of this Agreement and the other Loan Documents).</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Benchmark Replacement Date</w:t>
      </w:r>
      <w:r>
        <w:rPr>
          <w:rFonts w:ascii="Aptos" w:hAnsi="Aptos"/>
          <w:sz w:val="22"/>
        </w:rPr>
        <w:t xml:space="preserve">” </w:t>
      </w:r>
      <w:r>
        <w:rPr>
          <w:rFonts w:ascii="Times New Roman;Times;serif" w:hAnsi="Times New Roman;Times;serif"/>
          <w:sz w:val="22"/>
        </w:rPr>
        <w:t>means the earliest to occur of the following events with respect to the then-current Benchmark for any Currency:</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(a)in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(b)in the case of clause (c) of the definition of “Benchmark Transition Event”, the first date on which such Benchmark (or the published component used in the calculation thereof) has been determined and announced by the regulatory supervisor for the administrator of such Benchmark</w:t>
      </w:r>
      <w:r>
        <w:rPr>
          <w:rFonts w:ascii="Aptos" w:hAnsi="Aptos"/>
          <w:sz w:val="24"/>
        </w:rPr>
        <w:t xml:space="preserve"> </w:t>
      </w:r>
      <w:r>
        <w:rPr>
          <w:rFonts w:ascii="Times New Roman;Times;serif" w:hAnsi="Times New Roman;Times;serif"/>
          <w:sz w:val="22"/>
        </w:rPr>
        <w:t>(or such component thereof) to be no longer representative; provided, that such non-representativeness will be determined by reference to the most recent statement or publication referenced in such clause (c) and even if any Available Tenor of such Benchmark (or such component thereof) continues to be provided on such date; or</w:t>
      </w:r>
    </w:p>
    <w:p>
      <w:pPr>
        <w:pStyle w:val="TextBody"/>
        <w:bidi w:val="0"/>
        <w:spacing w:lineRule="auto" w:line="285"/>
        <w:ind w:left="0" w:right="0" w:hanging="0"/>
        <w:jc w:val="both"/>
        <w:rPr>
          <w:rFonts w:ascii="Times New Roman;Times;serif" w:hAnsi="Times New Roman;Times;serif"/>
          <w:sz w:val="22"/>
        </w:rPr>
      </w:pPr>
      <w:r>
        <w:rPr>
          <w:rFonts w:ascii="Times New Roman;Times;serif" w:hAnsi="Times New Roman;Times;serif"/>
          <w:sz w:val="22"/>
        </w:rPr>
        <w:t>(c)in the case of a Term RFR Transition Event for such Currency, the Term RFR Transition Date applicable thereto.</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For the avoidance of doubt, (A) if the Reference Time for the applicable Benchmark refers to a specific time of day and the event giving rise to the Benchmark Replacement Date for any Benchmark occurs on the same day as, but earlier than, the Reference Time in respect of any determination, the Benchmark Replacement Date will be deemed to have occurred prior to the Reference Time for such Benchmark and for such determination and (B)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Benchmark Transition Event</w:t>
      </w:r>
      <w:r>
        <w:rPr>
          <w:rFonts w:ascii="Aptos" w:hAnsi="Aptos"/>
          <w:sz w:val="22"/>
        </w:rPr>
        <w:t xml:space="preserve">” </w:t>
      </w:r>
      <w:r>
        <w:rPr>
          <w:rFonts w:ascii="Times New Roman;Times;serif" w:hAnsi="Times New Roman;Times;serif"/>
          <w:sz w:val="22"/>
        </w:rPr>
        <w:t>means, with respect to the then-current Benchmark for any Currency (other than Adjusted Eurodollar Rate for Dollars), the occurrence of one or more of the following events with respect to such Benchmark:</w:t>
      </w:r>
    </w:p>
    <w:p>
      <w:pPr>
        <w:pStyle w:val="TextBody"/>
        <w:bidi w:val="0"/>
        <w:spacing w:lineRule="auto" w:line="285" w:before="0" w:after="0"/>
        <w:ind w:left="0" w:right="0" w:hanging="0"/>
        <w:jc w:val="both"/>
        <w:rPr>
          <w:rFonts w:ascii="Aptos" w:hAnsi="Aptos"/>
          <w:sz w:val="24"/>
        </w:rPr>
      </w:pPr>
      <w:r>
        <w:rPr>
          <w:rFonts w:ascii="Times New Roman;Times;serif" w:hAnsi="Times New Roman;Times;serif"/>
          <w:sz w:val="22"/>
        </w:rPr>
        <w:t>(a)a public statement or publication of information by or on behalf of the administrator of such Benchmark (or the published component used in the calculation thereof)</w:t>
      </w:r>
      <w:r>
        <w:rPr>
          <w:rFonts w:ascii="Aptos" w:hAnsi="Aptos"/>
          <w:sz w:val="24"/>
        </w:rPr>
        <w:t xml:space="preserve"> </w:t>
      </w:r>
      <w:r>
        <w:rPr>
          <w:rFonts w:ascii="Times New Roman;Times;serif" w:hAnsi="Times New Roman;Times;serif"/>
          <w:sz w:val="22"/>
        </w:rPr>
        <w:t xml:space="preserve">announcing that such administrator has ceased or will cease to provide all Available Tenors of such Benchmark (or such component thereof), permanently or indefinitely,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that, at the time of such statement or publication, there is no successor administrator that will continue to provide any Available Tenor of such Benchmark (or such component thereof);</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 xml:space="preserve">(b)a public statement or publication of information by the regulatory supervisor for the administrator of such Benchmark (or the published component used in the calculation thereof), the FRB, the Federal Reserve Bank of New York, the central bank for the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9</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(or such component), which states that the administrator of such Benchmark (or such component) has ceased or will cease to provide all Available Tenors of such Benchmark</w:t>
      </w:r>
      <w:r>
        <w:rPr>
          <w:rFonts w:ascii="Aptos" w:hAnsi="Aptos"/>
          <w:sz w:val="24"/>
        </w:rPr>
        <w:t xml:space="preserve"> </w:t>
      </w:r>
      <w:r>
        <w:rPr>
          <w:rFonts w:ascii="Times New Roman;Times;serif" w:hAnsi="Times New Roman;Times;serif"/>
          <w:sz w:val="22"/>
        </w:rPr>
        <w:t xml:space="preserve">(or such component thereof) permanently or indefinitely,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that, at the time of such statement or publication, there is no successor administrator that will continue to provide any Available Tenor of such Benchmark (or such component thereof); or</w:t>
      </w:r>
    </w:p>
    <w:p>
      <w:pPr>
        <w:pStyle w:val="TextBody"/>
        <w:bidi w:val="0"/>
        <w:spacing w:lineRule="auto" w:line="285"/>
        <w:ind w:left="0" w:right="0" w:hanging="0"/>
        <w:jc w:val="both"/>
        <w:rPr>
          <w:rFonts w:ascii="Aptos" w:hAnsi="Aptos"/>
          <w:sz w:val="24"/>
        </w:rPr>
      </w:pPr>
      <w:r>
        <w:rPr>
          <w:rFonts w:ascii="Times New Roman;Times;serif" w:hAnsi="Times New Roman;Times;serif"/>
          <w:sz w:val="22"/>
        </w:rPr>
        <w:t>(c)a public statement or publication of information by the regulatory supervisor for the administrator of such Benchmark</w:t>
      </w:r>
      <w:r>
        <w:rPr>
          <w:rFonts w:ascii="Aptos" w:hAnsi="Aptos"/>
          <w:sz w:val="24"/>
        </w:rPr>
        <w:t xml:space="preserve"> </w:t>
      </w:r>
      <w:r>
        <w:rPr>
          <w:rFonts w:ascii="Times New Roman;Times;serif" w:hAnsi="Times New Roman;Times;serif"/>
          <w:sz w:val="22"/>
        </w:rPr>
        <w:t>(or the published component used in the calculation thereof) announcing that all Available Tenors of such Benchmark (or such component thereof) are no longer, or as of a specified future date will no longer be, representative.</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Benchmark Transition Start Date</w:t>
      </w:r>
      <w:r>
        <w:rPr>
          <w:rFonts w:ascii="Aptos" w:hAnsi="Aptos"/>
          <w:sz w:val="22"/>
        </w:rPr>
        <w:t xml:space="preserve">” </w:t>
      </w:r>
      <w:r>
        <w:rPr>
          <w:rFonts w:ascii="Times New Roman;Times;serif" w:hAnsi="Times New Roman;Times;serif"/>
          <w:sz w:val="22"/>
        </w:rPr>
        <w:t>means, with respect to any Benchmark,</w:t>
      </w:r>
      <w:r>
        <w:rPr>
          <w:rFonts w:ascii="Aptos" w:hAnsi="Aptos"/>
          <w:sz w:val="22"/>
        </w:rPr>
        <w:t xml:space="preserve"> </w:t>
      </w:r>
      <w:r>
        <w:rPr>
          <w:rFonts w:ascii="Times New Roman;Times;serif" w:hAnsi="Times New Roman;Times;serif"/>
          <w:sz w:val="22"/>
        </w:rPr>
        <w:t>in the case of a Benchmark Transition Event, the earlier of (a) the applicable Benchmark Replacement Date and (b) if such Benchmark Transition Event is a public statement or publication of information of a prospective event, the 90</w:t>
      </w:r>
      <w:r>
        <w:rPr>
          <w:rFonts w:ascii="Times New Roman;Times;serif" w:hAnsi="Times New Roman;Times;serif"/>
          <w:sz w:val="17"/>
        </w:rPr>
        <w:t>th</w:t>
      </w:r>
      <w:r>
        <w:rPr>
          <w:rFonts w:ascii="Aptos" w:hAnsi="Aptos"/>
          <w:sz w:val="22"/>
        </w:rPr>
        <w:t xml:space="preserve"> </w:t>
      </w:r>
      <w:r>
        <w:rPr>
          <w:rFonts w:ascii="Times New Roman;Times;serif" w:hAnsi="Times New Roman;Times;serif"/>
          <w:sz w:val="22"/>
        </w:rPr>
        <w:t>day prior to the expected date of such event as of such public statement or publication of information (or if the expected date of such prospective event is fewer than 90 days after such statement or publication, the date of such statement or publication).</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Benchmark Unavailability Period</w:t>
      </w:r>
      <w:r>
        <w:rPr>
          <w:rFonts w:ascii="Aptos" w:hAnsi="Aptos"/>
          <w:sz w:val="22"/>
        </w:rPr>
        <w:t xml:space="preserve">” </w:t>
      </w:r>
      <w:r>
        <w:rPr>
          <w:rFonts w:ascii="Times New Roman;Times;serif" w:hAnsi="Times New Roman;Times;serif"/>
          <w:sz w:val="22"/>
        </w:rPr>
        <w:t>means, with respect to (a) the Adjusted Eurodollar Rate for Dollars, the period (if any) (i) beginning at the time that the USD LIBOR Transition Date has occurred pursuant to clause (a) of that definition if, at such time, no Benchmark Replacement</w:t>
      </w:r>
      <w:r>
        <w:rPr>
          <w:rFonts w:ascii="Aptos" w:hAnsi="Aptos"/>
          <w:sz w:val="22"/>
        </w:rPr>
        <w:t xml:space="preserve"> </w:t>
      </w:r>
      <w:r>
        <w:rPr>
          <w:rFonts w:ascii="Times New Roman;Times;serif" w:hAnsi="Times New Roman;Times;serif"/>
          <w:sz w:val="22"/>
        </w:rPr>
        <w:t xml:space="preserve">has replaced the Adjusted Eurodollar Rate for Dollars for all purposes hereunder and under any Loan Document in accordance with </w:t>
      </w:r>
      <w:r>
        <w:rPr>
          <w:rFonts w:ascii="Times New Roman;Times;serif" w:hAnsi="Times New Roman;Times;serif"/>
          <w:sz w:val="22"/>
          <w:u w:val="single"/>
        </w:rPr>
        <w:t>Section</w:t>
      </w:r>
      <w:r>
        <w:rPr>
          <w:rFonts w:ascii="Aptos" w:hAnsi="Aptos"/>
          <w:sz w:val="22"/>
          <w:u w:val="single"/>
        </w:rPr>
        <w:t xml:space="preserve"> </w:t>
      </w:r>
      <w:r>
        <w:rPr>
          <w:rFonts w:ascii="Times New Roman;Times;serif" w:hAnsi="Times New Roman;Times;serif"/>
          <w:sz w:val="22"/>
          <w:u w:val="single"/>
        </w:rPr>
        <w:t>3.5(c)(i)</w:t>
      </w:r>
      <w:r>
        <w:rPr>
          <w:rFonts w:ascii="Aptos" w:hAnsi="Aptos"/>
          <w:sz w:val="22"/>
        </w:rPr>
        <w:t xml:space="preserve"> </w:t>
      </w:r>
      <w:r>
        <w:rPr>
          <w:rFonts w:ascii="Times New Roman;Times;serif" w:hAnsi="Times New Roman;Times;serif"/>
          <w:sz w:val="22"/>
        </w:rPr>
        <w:t>and (ii) ending at the time that a Benchmark Replacement has replaced the Adjusted Eurodollar Rate for Dollars</w:t>
      </w:r>
      <w:r>
        <w:rPr>
          <w:rFonts w:ascii="Aptos" w:hAnsi="Aptos"/>
          <w:sz w:val="22"/>
        </w:rPr>
        <w:t xml:space="preserve"> </w:t>
      </w:r>
      <w:r>
        <w:rPr>
          <w:rFonts w:ascii="Times New Roman;Times;serif" w:hAnsi="Times New Roman;Times;serif"/>
          <w:sz w:val="22"/>
        </w:rPr>
        <w:t xml:space="preserve">for all purposes hereunder and under any Loan Document in accordance with </w:t>
      </w:r>
      <w:r>
        <w:rPr>
          <w:rFonts w:ascii="Times New Roman;Times;serif" w:hAnsi="Times New Roman;Times;serif"/>
          <w:sz w:val="22"/>
          <w:u w:val="single"/>
        </w:rPr>
        <w:t>Section</w:t>
      </w:r>
      <w:r>
        <w:rPr>
          <w:rFonts w:ascii="Aptos" w:hAnsi="Aptos"/>
          <w:sz w:val="22"/>
          <w:u w:val="single"/>
        </w:rPr>
        <w:t xml:space="preserve"> </w:t>
      </w:r>
      <w:r>
        <w:rPr>
          <w:rFonts w:ascii="Times New Roman;Times;serif" w:hAnsi="Times New Roman;Times;serif"/>
          <w:sz w:val="22"/>
          <w:u w:val="single"/>
        </w:rPr>
        <w:t>3.5(c)(i)</w:t>
      </w:r>
      <w:r>
        <w:rPr>
          <w:rFonts w:ascii="Aptos" w:hAnsi="Aptos"/>
          <w:sz w:val="22"/>
        </w:rPr>
        <w:t xml:space="preserve"> </w:t>
      </w:r>
      <w:r>
        <w:rPr>
          <w:rFonts w:ascii="Times New Roman;Times;serif" w:hAnsi="Times New Roman;Times;serif"/>
          <w:sz w:val="22"/>
        </w:rPr>
        <w:t>and (b) any then-current Benchmark for any Currency other than the Adjusted Eurodollar Rate for Dollars, the period (if any) (i) beginning at the time that a</w:t>
      </w:r>
      <w:r>
        <w:rPr>
          <w:rFonts w:ascii="Aptos" w:hAnsi="Aptos"/>
          <w:sz w:val="22"/>
        </w:rPr>
        <w:t xml:space="preserve"> </w:t>
      </w:r>
      <w:r>
        <w:rPr>
          <w:rFonts w:ascii="Times New Roman;Times;serif" w:hAnsi="Times New Roman;Times;serif"/>
          <w:sz w:val="22"/>
        </w:rPr>
        <w:t>Benchmark Replacement Date with respect to such Benchmark pursuant to clauses (a) or (b) of that definition has occurred if, at such time, no Benchmark Replacement</w:t>
      </w:r>
      <w:r>
        <w:rPr>
          <w:rFonts w:ascii="Aptos" w:hAnsi="Aptos"/>
          <w:sz w:val="22"/>
        </w:rPr>
        <w:t xml:space="preserve"> </w:t>
      </w:r>
      <w:r>
        <w:rPr>
          <w:rFonts w:ascii="Times New Roman;Times;serif" w:hAnsi="Times New Roman;Times;serif"/>
          <w:sz w:val="22"/>
        </w:rPr>
        <w:t>has replaced such Benchmark</w:t>
      </w:r>
      <w:r>
        <w:rPr>
          <w:rFonts w:ascii="Aptos" w:hAnsi="Aptos"/>
          <w:sz w:val="22"/>
        </w:rPr>
        <w:t xml:space="preserve"> </w:t>
      </w:r>
      <w:r>
        <w:rPr>
          <w:rFonts w:ascii="Times New Roman;Times;serif" w:hAnsi="Times New Roman;Times;serif"/>
          <w:sz w:val="22"/>
        </w:rPr>
        <w:t xml:space="preserve">for all purposes hereunder and under any Loan Document in accordance with </w:t>
      </w:r>
      <w:r>
        <w:rPr>
          <w:rFonts w:ascii="Times New Roman;Times;serif" w:hAnsi="Times New Roman;Times;serif"/>
          <w:sz w:val="22"/>
          <w:u w:val="single"/>
        </w:rPr>
        <w:t>Section</w:t>
      </w:r>
      <w:r>
        <w:rPr>
          <w:rFonts w:ascii="Aptos" w:hAnsi="Aptos"/>
          <w:sz w:val="22"/>
          <w:u w:val="single"/>
        </w:rPr>
        <w:t xml:space="preserve"> </w:t>
      </w:r>
      <w:r>
        <w:rPr>
          <w:rFonts w:ascii="Times New Roman;Times;serif" w:hAnsi="Times New Roman;Times;serif"/>
          <w:sz w:val="22"/>
          <w:u w:val="single"/>
        </w:rPr>
        <w:t>3.5(c)(i)</w:t>
      </w:r>
      <w:r>
        <w:rPr>
          <w:rFonts w:ascii="Aptos" w:hAnsi="Aptos"/>
          <w:sz w:val="22"/>
        </w:rPr>
        <w:t xml:space="preserve"> </w:t>
      </w:r>
      <w:r>
        <w:rPr>
          <w:rFonts w:ascii="Times New Roman;Times;serif" w:hAnsi="Times New Roman;Times;serif"/>
          <w:sz w:val="22"/>
        </w:rPr>
        <w:t>and (ii) ending at the time that a Benchmark Replacement has replaced such Benchmark</w:t>
      </w:r>
      <w:r>
        <w:rPr>
          <w:rFonts w:ascii="Aptos" w:hAnsi="Aptos"/>
          <w:sz w:val="22"/>
        </w:rPr>
        <w:t xml:space="preserve"> </w:t>
      </w:r>
      <w:r>
        <w:rPr>
          <w:rFonts w:ascii="Times New Roman;Times;serif" w:hAnsi="Times New Roman;Times;serif"/>
          <w:sz w:val="22"/>
        </w:rPr>
        <w:t>for all purposes hereunder and under any Loan Document in accordance with</w:t>
      </w:r>
      <w:r>
        <w:rPr>
          <w:rFonts w:ascii="Aptos" w:hAnsi="Aptos"/>
          <w:sz w:val="22"/>
        </w:rPr>
        <w:t xml:space="preserve"> </w:t>
      </w:r>
      <w:r>
        <w:rPr>
          <w:rFonts w:ascii="Times New Roman;Times;serif" w:hAnsi="Times New Roman;Times;serif"/>
          <w:sz w:val="22"/>
          <w:u w:val="single"/>
        </w:rPr>
        <w:t>Section</w:t>
      </w:r>
      <w:r>
        <w:rPr>
          <w:rFonts w:ascii="Aptos" w:hAnsi="Aptos"/>
          <w:sz w:val="22"/>
          <w:u w:val="single"/>
        </w:rPr>
        <w:t xml:space="preserve"> </w:t>
      </w:r>
      <w:r>
        <w:rPr>
          <w:rFonts w:ascii="Times New Roman;Times;serif" w:hAnsi="Times New Roman;Times;serif"/>
          <w:sz w:val="22"/>
          <w:u w:val="single"/>
        </w:rPr>
        <w:t>3.5(c)(i)</w:t>
      </w:r>
      <w:r>
        <w:rPr>
          <w:rFonts w:ascii="Times New Roman;Times;serif" w:hAnsi="Times New Roman;Times;serif"/>
          <w:sz w:val="22"/>
        </w:rPr>
        <w: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Beneficial Ownership Certification</w:t>
      </w:r>
      <w:r>
        <w:rPr>
          <w:rFonts w:ascii="Aptos" w:hAnsi="Aptos"/>
          <w:sz w:val="22"/>
        </w:rPr>
        <w:t xml:space="preserve">” </w:t>
      </w:r>
      <w:r>
        <w:rPr>
          <w:rFonts w:ascii="Times New Roman;Times;serif" w:hAnsi="Times New Roman;Times;serif"/>
          <w:sz w:val="22"/>
        </w:rPr>
        <w:t>means a certification regarding beneficial ownership as required by the Beneficial Ownership Regulation.</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Beneficial Ownership Regulation</w:t>
      </w:r>
      <w:r>
        <w:rPr>
          <w:rFonts w:ascii="Aptos" w:hAnsi="Aptos"/>
          <w:sz w:val="22"/>
        </w:rPr>
        <w:t xml:space="preserve">” </w:t>
      </w:r>
      <w:r>
        <w:rPr>
          <w:rFonts w:ascii="Times New Roman;Times;serif" w:hAnsi="Times New Roman;Times;serif"/>
          <w:sz w:val="22"/>
        </w:rPr>
        <w:t>means 31 CFR § 1010.230.</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Benefit Plan</w:t>
      </w:r>
      <w:r>
        <w:rPr>
          <w:rFonts w:ascii="Aptos" w:hAnsi="Aptos"/>
          <w:sz w:val="22"/>
        </w:rPr>
        <w:t xml:space="preserve">” </w:t>
      </w:r>
      <w:r>
        <w:rPr>
          <w:rFonts w:ascii="Times New Roman;Times;serif" w:hAnsi="Times New Roman;Times;serif"/>
          <w:sz w:val="22"/>
        </w:rPr>
        <w:t>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BKBM</w:t>
      </w:r>
      <w:r>
        <w:rPr>
          <w:rFonts w:ascii="Aptos" w:hAnsi="Aptos"/>
          <w:sz w:val="22"/>
        </w:rPr>
        <w:t xml:space="preserve">” </w:t>
      </w:r>
      <w:r>
        <w:rPr>
          <w:rFonts w:ascii="Times New Roman;Times;serif" w:hAnsi="Times New Roman;Times;serif"/>
          <w:sz w:val="22"/>
        </w:rPr>
        <w:t>has the meaning assigned thereto in the definition of “Eurodollar Rate”.</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BKBM Rate</w:t>
      </w:r>
      <w:r>
        <w:rPr>
          <w:rFonts w:ascii="Aptos" w:hAnsi="Aptos"/>
          <w:sz w:val="22"/>
        </w:rPr>
        <w:t xml:space="preserve">” </w:t>
      </w:r>
      <w:r>
        <w:rPr>
          <w:rFonts w:ascii="Times New Roman;Times;serif" w:hAnsi="Times New Roman;Times;serif"/>
          <w:sz w:val="22"/>
        </w:rPr>
        <w:t>has the meaning assigned thereto in the definition of “Eurodollar Rate”.</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10</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BMO Factoring Facility</w:t>
      </w:r>
      <w:r>
        <w:rPr>
          <w:rFonts w:ascii="Aptos" w:hAnsi="Aptos"/>
          <w:sz w:val="22"/>
        </w:rPr>
        <w:t xml:space="preserve">” </w:t>
      </w:r>
      <w:r>
        <w:rPr>
          <w:rFonts w:ascii="Times New Roman;Times;serif" w:hAnsi="Times New Roman;Times;serif"/>
          <w:sz w:val="22"/>
        </w:rPr>
        <w:t>means that certain Uncommitted Receivables Purchase Agreement, dated as of March 5, 2019, among BMO Bank N.A., US Borrower, TTEC Services Corporation, TTEC Healthcare Solutions, Inc., TTEC@HOME, LLC, TTEC Financial Services Management, LLC and TTEC Digital, LLC, as amended, restated, supplemented, assigned or otherwise modified from time to time.</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Borrower</w:t>
      </w:r>
      <w:r>
        <w:rPr>
          <w:rFonts w:ascii="Aptos" w:hAnsi="Aptos"/>
          <w:sz w:val="22"/>
        </w:rPr>
        <w:t xml:space="preserve">” </w:t>
      </w:r>
      <w:r>
        <w:rPr>
          <w:rFonts w:ascii="Times New Roman;Times;serif" w:hAnsi="Times New Roman;Times;serif"/>
          <w:sz w:val="22"/>
        </w:rPr>
        <w:t>means that term as defined in the first paragraph hereof.</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Borrower Investment Policy</w:t>
      </w:r>
      <w:r>
        <w:rPr>
          <w:rFonts w:ascii="Aptos" w:hAnsi="Aptos"/>
          <w:sz w:val="22"/>
        </w:rPr>
        <w:t xml:space="preserve">” </w:t>
      </w:r>
      <w:r>
        <w:rPr>
          <w:rFonts w:ascii="Times New Roman;Times;serif" w:hAnsi="Times New Roman;Times;serif"/>
          <w:sz w:val="22"/>
        </w:rPr>
        <w:t>means the investment policy of US Borrower in effect as of the Closing Date, together with such modifications as approved from time to time by the chief financial officer of US Borrower.</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Borrower Materials</w:t>
      </w:r>
      <w:r>
        <w:rPr>
          <w:rFonts w:ascii="Aptos" w:hAnsi="Aptos"/>
          <w:sz w:val="22"/>
        </w:rPr>
        <w:t xml:space="preserve">” </w:t>
      </w:r>
      <w:r>
        <w:rPr>
          <w:rFonts w:ascii="Times New Roman;Times;serif" w:hAnsi="Times New Roman;Times;serif"/>
          <w:sz w:val="22"/>
        </w:rPr>
        <w:t xml:space="preserve">means that term as described in </w:t>
      </w:r>
      <w:r>
        <w:rPr>
          <w:rFonts w:ascii="Times New Roman;Times;serif" w:hAnsi="Times New Roman;Times;serif"/>
          <w:sz w:val="22"/>
          <w:u w:val="single"/>
        </w:rPr>
        <w:t>Section 5.3</w:t>
      </w:r>
      <w:r>
        <w:rPr>
          <w:rFonts w:ascii="Aptos" w:hAnsi="Aptos"/>
          <w:sz w:val="22"/>
        </w:rPr>
        <w:t xml:space="preserve"> </w:t>
      </w:r>
      <w:r>
        <w:rPr>
          <w:rFonts w:ascii="Times New Roman;Times;serif" w:hAnsi="Times New Roman;Times;serif"/>
          <w:sz w:val="22"/>
        </w:rPr>
        <w:t>hereof.</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Borrowers</w:t>
      </w:r>
      <w:r>
        <w:rPr>
          <w:rFonts w:ascii="Aptos" w:hAnsi="Aptos"/>
          <w:sz w:val="22"/>
        </w:rPr>
        <w:t xml:space="preserve">” </w:t>
      </w:r>
      <w:r>
        <w:rPr>
          <w:rFonts w:ascii="Times New Roman;Times;serif" w:hAnsi="Times New Roman;Times;serif"/>
          <w:sz w:val="22"/>
        </w:rPr>
        <w:t>means that term as defined in the first paragraph hereof.</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Business Day</w:t>
      </w:r>
      <w:r>
        <w:rPr>
          <w:rFonts w:ascii="Aptos" w:hAnsi="Aptos"/>
          <w:sz w:val="22"/>
        </w:rPr>
        <w:t xml:space="preserve">” </w:t>
      </w:r>
      <w:r>
        <w:rPr>
          <w:rFonts w:ascii="Times New Roman;Times;serif" w:hAnsi="Times New Roman;Times;serif"/>
          <w:sz w:val="22"/>
        </w:rPr>
        <w:t>means a day that is not a Saturday, a Sunday or another day of the year on which national banks are authorized or required to close, and, in addition, (a) [intentionally omitted], (b) if the applicable Business Day relates to an Alternate Currency Loan denominated in Euros, any fundings, disbursements, settlements and payments in Euros in respect of any such Alternate Currency Loan, or any other dealings in Euros to be carried out pursuant to this Agreement in respect of any such Alternate Currency Loan, is day on which the Trans-European Automated Real-time Gross Settlement Express Transfer (TARGET) payment system (or, if such payment system ceases to be operative, such other payment system (if any) determined by Agent to be a suitable replacement) is open for the settlement of payments in Euros and (c) if the applicable Business Day relates to an Alternate Currency Loan denominated in an Alternate Currency other than Euros, is a day on which dealings in deposits are carried on in the relevant Alternate Currency.</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Calculation Date</w:t>
      </w:r>
      <w:r>
        <w:rPr>
          <w:rFonts w:ascii="Aptos" w:hAnsi="Aptos"/>
          <w:sz w:val="22"/>
        </w:rPr>
        <w:t xml:space="preserve">” </w:t>
      </w:r>
      <w:r>
        <w:rPr>
          <w:rFonts w:ascii="Times New Roman;Times;serif" w:hAnsi="Times New Roman;Times;serif"/>
          <w:sz w:val="22"/>
        </w:rPr>
        <w:t>has the meaning set forth in the definition of “Applicable Commitment Fee Rate”.</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Canadian Dollar</w:t>
      </w:r>
      <w:r>
        <w:rPr>
          <w:rFonts w:ascii="Aptos" w:hAnsi="Aptos"/>
          <w:sz w:val="22"/>
        </w:rPr>
        <w:t xml:space="preserve">” </w:t>
      </w:r>
      <w:r>
        <w:rPr>
          <w:rFonts w:ascii="Times New Roman;Times;serif" w:hAnsi="Times New Roman;Times;serif"/>
          <w:sz w:val="22"/>
        </w:rPr>
        <w:t>means the lawful currency of Canada.</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Canadian Reference Bank</w:t>
      </w:r>
      <w:r>
        <w:rPr>
          <w:rFonts w:ascii="Aptos" w:hAnsi="Aptos"/>
          <w:sz w:val="22"/>
        </w:rPr>
        <w:t xml:space="preserve">” </w:t>
      </w:r>
      <w:r>
        <w:rPr>
          <w:rFonts w:ascii="Times New Roman;Times;serif" w:hAnsi="Times New Roman;Times;serif"/>
          <w:sz w:val="22"/>
        </w:rPr>
        <w:t>means any one or more of The Bank of Nova Scotia, Bank of Montreal, Royal Bank of Canada, The Toronto-Dominion Bank, Canadian Imperial Bank of Commerce or National Bank of Canada, as the Agent may determine.</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Capital Distribution</w:t>
      </w:r>
      <w:r>
        <w:rPr>
          <w:rFonts w:ascii="Aptos" w:hAnsi="Aptos"/>
          <w:sz w:val="22"/>
        </w:rPr>
        <w:t xml:space="preserve">” </w:t>
      </w:r>
      <w:r>
        <w:rPr>
          <w:rFonts w:ascii="Times New Roman;Times;serif" w:hAnsi="Times New Roman;Times;serif"/>
          <w:sz w:val="22"/>
        </w:rPr>
        <w:t>means a payment made, liability incurred or other consideration given by a Company to any Person that is not a Company, (a) for the purchase, acquisition, redemption, repurchase, payment or retirement of any capital stock or other equity interest of such Company, or (b) as a dividend, return of capital or other distribution (other than any stock dividend, stock split or other equity distribution payable only in capital stock or other equity of such Company) in respect of such Company’s capital stock or other equity interest.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Capitalized Lease Obligations</w:t>
      </w:r>
      <w:r>
        <w:rPr>
          <w:rFonts w:ascii="Aptos" w:hAnsi="Aptos"/>
          <w:sz w:val="22"/>
        </w:rPr>
        <w:t xml:space="preserve">” </w:t>
      </w:r>
      <w:r>
        <w:rPr>
          <w:rFonts w:ascii="Times New Roman;Times;serif" w:hAnsi="Times New Roman;Times;serif"/>
          <w:sz w:val="22"/>
        </w:rPr>
        <w:t xml:space="preserve">means obligations of the Companies for the payment of rent for any real or personal property under leases or agreements to lease that, in accordance with GAAP, have been or should be capitalized on the books of the lessee and, for purposes hereof, the amount of any such obligation shall be the capitalized amount thereof determined in accordance with GAAP, subject to the terms of </w:t>
      </w:r>
      <w:r>
        <w:rPr>
          <w:rFonts w:ascii="Times New Roman;Times;serif" w:hAnsi="Times New Roman;Times;serif"/>
          <w:sz w:val="22"/>
          <w:u w:val="single"/>
        </w:rPr>
        <w:t>Section 1.2(c)</w:t>
      </w:r>
      <w:r>
        <w:rPr>
          <w:rFonts w:ascii="Times New Roman;Times;serif" w:hAnsi="Times New Roman;Times;serif"/>
          <w:sz w:val="22"/>
        </w:rPr>
        <w:t xml:space="preserve">;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“Capitalized Lease Obligations” shall exclude Facility-Related Leases.</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11</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Cash Collateralize</w:t>
      </w:r>
      <w:r>
        <w:rPr>
          <w:rFonts w:ascii="Aptos" w:hAnsi="Aptos"/>
          <w:sz w:val="22"/>
        </w:rPr>
        <w:t xml:space="preserve">” </w:t>
      </w:r>
      <w:r>
        <w:rPr>
          <w:rFonts w:ascii="Times New Roman;Times;serif" w:hAnsi="Times New Roman;Times;serif"/>
          <w:sz w:val="22"/>
        </w:rPr>
        <w:t>means, to pledge and deposit with, or deliver to Agent, or directly to the applicable Fronting Lender (with notice thereof to Agent), for the benefit of one or more of the Fronting Lenders, the Swing Line Lender or the Lenders, as collateral for outstanding Letters of Credit or obligations of the Lenders to fund participations in respect of Letters of Credit or Swing Loans, cash or deposit account balances or, if Agent and the applicable Fronting Lender and the Swing Line Lender shall agree, in their sole discretion, other credit support, in each case pursuant to documentation in form and substance reasonably satisfactory to Agent, such Fronting Lender and the Swing Line Lender, as applicable.  “</w:t>
      </w:r>
      <w:r>
        <w:rPr>
          <w:rFonts w:ascii="Times New Roman;Times;serif" w:hAnsi="Times New Roman;Times;serif"/>
          <w:sz w:val="22"/>
          <w:u w:val="single"/>
        </w:rPr>
        <w:t>Cash Collateral</w:t>
      </w:r>
      <w:r>
        <w:rPr>
          <w:rFonts w:ascii="Aptos" w:hAnsi="Aptos"/>
          <w:sz w:val="22"/>
        </w:rPr>
        <w:t xml:space="preserve">” </w:t>
      </w:r>
      <w:r>
        <w:rPr>
          <w:rFonts w:ascii="Times New Roman;Times;serif" w:hAnsi="Times New Roman;Times;serif"/>
          <w:sz w:val="22"/>
        </w:rPr>
        <w:t>shall have a meaning correlative to the definition of Cash Collateralize and shall include the proceeds of such cash collateral and other credit support.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Cash Equivalents</w:t>
      </w:r>
      <w:r>
        <w:rPr>
          <w:rFonts w:ascii="Aptos" w:hAnsi="Aptos"/>
          <w:sz w:val="22"/>
        </w:rPr>
        <w:t xml:space="preserve">” </w:t>
      </w:r>
      <w:r>
        <w:rPr>
          <w:rFonts w:ascii="Times New Roman;Times;serif" w:hAnsi="Times New Roman;Times;serif"/>
          <w:sz w:val="22"/>
        </w:rPr>
        <w:t>means those securities and other investments described in the Borrower Investment Policy.</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CDOR Rate</w:t>
      </w:r>
      <w:r>
        <w:rPr>
          <w:rFonts w:ascii="Aptos" w:hAnsi="Aptos"/>
          <w:sz w:val="22"/>
        </w:rPr>
        <w:t xml:space="preserve">” </w:t>
      </w:r>
      <w:r>
        <w:rPr>
          <w:rFonts w:ascii="Times New Roman;Times;serif" w:hAnsi="Times New Roman;Times;serif"/>
          <w:sz w:val="22"/>
        </w:rPr>
        <w:t xml:space="preserve">means the rate of interest per annum determined by the Agent on the basis of the rate applicable to Canadian Dollar bankers’ acceptances for the applicable Interest Period (or if such Interest Period is not equal to a number of months, for a term equivalent to the number of months closest to such Interest Period) appearing on the “CDOR Page”, or any successor page of Reuters Monitor Money Rates Service (or such other page or commercially available source displaying Canadian interbank bid rates for Canadian Dollar bankers’ acceptances as may be designated by the Agent from time to time), as of 10:00 a.m. (Toronto, Ontario time) on the Rate Determination Date.  If, for any reason, such rate does not appear on the “CDOR Page” on such day as contemplated, then the “CDOR Rate” on such day shall be calculated as the arithmetic average of the rates for a one month interest period applicable to Canadian Dollar bankers’ acceptances quoted by the banks listed in Schedule I of the </w:t>
      </w:r>
      <w:r>
        <w:rPr>
          <w:rFonts w:ascii="Times New Roman;Times;serif" w:hAnsi="Times New Roman;Times;serif"/>
          <w:i/>
          <w:sz w:val="22"/>
        </w:rPr>
        <w:t>Bank Act</w:t>
      </w:r>
      <w:r>
        <w:rPr>
          <w:rFonts w:ascii="Aptos" w:hAnsi="Aptos"/>
          <w:sz w:val="22"/>
        </w:rPr>
        <w:t xml:space="preserve"> </w:t>
      </w:r>
      <w:r>
        <w:rPr>
          <w:rFonts w:ascii="Times New Roman;Times;serif" w:hAnsi="Times New Roman;Times;serif"/>
          <w:sz w:val="22"/>
        </w:rPr>
        <w:t xml:space="preserve">(Canada) which are also Revolving Lenders (or, if there are no such Lenders, then the Canadian Reference Bank) as of 10:00 a.m. on the Rate Determination Date.  Each calculation by the Agent of the CDOR Rate shall be conclusive and binding for all purposes, absent manifest error.  Notwithstanding the foregoing, if the CDOR Rate shall be less than zero, such rate shall be deemed to be zero for purposes of this Agreement. </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CFC</w:t>
      </w:r>
      <w:r>
        <w:rPr>
          <w:rFonts w:ascii="Aptos" w:hAnsi="Aptos"/>
          <w:sz w:val="22"/>
        </w:rPr>
        <w:t xml:space="preserve">” </w:t>
      </w:r>
      <w:r>
        <w:rPr>
          <w:rFonts w:ascii="Times New Roman;Times;serif" w:hAnsi="Times New Roman;Times;serif"/>
          <w:sz w:val="22"/>
        </w:rPr>
        <w:t>means any Foreign Subsidiary that is a “controlled foreign corporation” within the meaning of Section 957 of the Code.</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CFC Holding Company</w:t>
      </w:r>
      <w:r>
        <w:rPr>
          <w:rFonts w:ascii="Aptos" w:hAnsi="Aptos"/>
          <w:sz w:val="22"/>
        </w:rPr>
        <w:t xml:space="preserve">” </w:t>
      </w:r>
      <w:r>
        <w:rPr>
          <w:rFonts w:ascii="Times New Roman;Times;serif" w:hAnsi="Times New Roman;Times;serif"/>
          <w:sz w:val="22"/>
        </w:rPr>
        <w:t>means, as of any time of determination, a Domestic Subsidiary that at such time has no material assets other than the equity interests in one or more CFCs.  For the avoidance of doubt, US Borrower shall not be treated as a CFC Holding Company.</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Change in Control</w:t>
      </w:r>
      <w:r>
        <w:rPr>
          <w:rFonts w:ascii="Aptos" w:hAnsi="Aptos"/>
          <w:sz w:val="22"/>
        </w:rPr>
        <w:t xml:space="preserve">” </w:t>
      </w:r>
      <w:r>
        <w:rPr>
          <w:rFonts w:ascii="Times New Roman;Times;serif" w:hAnsi="Times New Roman;Times;serif"/>
          <w:sz w:val="22"/>
        </w:rPr>
        <w:t>means (a) the acquisition of, or, if earlier, the shareholder or director approval of the acquisition of, ownership or voting control, directly or indirectly, beneficially (within the meaning of Rules 13d-3 and 13d-5 of the Exchange Act) or of record, on or after the Closing Date, by any Person (other than Kenneth D. Tuchman, his spouse, any of his lineal descendants or any trustees or trusts established for his benefit or the benefit of his spouse or any of his lineal descendants) or group (within the meaning of Sections 13d-3 and 14d of the Exchange Act), of shares representing more than forty percent (40%) of the aggregate ordinary Voting Power represented by the issued and outstanding equity interests of US Borrower; (b) the occupation of a majority of the seats (other than vacant seats) on the board of directors or other governing body of US Borrower by Persons who were neither (i) nominated or approved by the board of directors or other governing body of US Borrower nor (ii) appointed or approved by directors so nominated or approved; (c) if US Borrower shall cease to own, directly or indirectly, seventy-five percent (75%) of the aggregate ordinary Voting Power represented by the issued and outstanding equity interests of each Foreign Borrower; or (d) the occurrence of a change in control, or other term of similar import used therein, as defined in any Material Indebtedness Agreement.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12</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Change in Law</w:t>
      </w:r>
      <w:r>
        <w:rPr>
          <w:rFonts w:ascii="Aptos" w:hAnsi="Aptos"/>
          <w:sz w:val="22"/>
        </w:rPr>
        <w:t xml:space="preserve">” </w:t>
      </w:r>
      <w:r>
        <w:rPr>
          <w:rFonts w:ascii="Times New Roman;Times;serif" w:hAnsi="Times New Roman;Times;serif"/>
          <w:sz w:val="22"/>
        </w:rPr>
        <w:t xml:space="preserve">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Times;serif" w:hAnsi="Times New Roman;Times;serif"/>
          <w:sz w:val="22"/>
          <w:u w:val="single"/>
        </w:rPr>
        <w:t>provided</w:t>
      </w:r>
      <w:r>
        <w:rPr>
          <w:rFonts w:ascii="Aptos" w:hAnsi="Aptos"/>
          <w:sz w:val="22"/>
        </w:rPr>
        <w:t xml:space="preserve"> </w:t>
      </w:r>
      <w:r>
        <w:rPr>
          <w:rFonts w:ascii="Times New Roman;Times;serif" w:hAnsi="Times New Roman;Times;serif"/>
          <w:sz w:val="22"/>
        </w:rPr>
        <w:t xml:space="preserve">that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 </w:t>
      </w:r>
      <w:r>
        <w:rPr>
          <w:rFonts w:ascii="Times New Roman;Times;serif" w:hAnsi="Times New Roman;Times;serif"/>
          <w:sz w:val="22"/>
          <w:u w:val="single"/>
        </w:rPr>
        <w:t>provided</w:t>
      </w:r>
      <w:r>
        <w:rPr>
          <w:rFonts w:ascii="Aptos" w:hAnsi="Aptos"/>
          <w:sz w:val="22"/>
        </w:rPr>
        <w:t xml:space="preserve"> </w:t>
      </w:r>
      <w:r>
        <w:rPr>
          <w:rFonts w:ascii="Times New Roman;Times;serif" w:hAnsi="Times New Roman;Times;serif"/>
          <w:sz w:val="22"/>
          <w:u w:val="single"/>
        </w:rPr>
        <w:t>further</w:t>
      </w:r>
      <w:r>
        <w:rPr>
          <w:rFonts w:ascii="Times New Roman;Times;serif" w:hAnsi="Times New Roman;Times;serif"/>
          <w:sz w:val="22"/>
        </w:rPr>
        <w:t xml:space="preserve">, that solely for the purposes of </w:t>
      </w:r>
      <w:r>
        <w:rPr>
          <w:rFonts w:ascii="Times New Roman;Times;serif" w:hAnsi="Times New Roman;Times;serif"/>
          <w:sz w:val="22"/>
          <w:u w:val="single"/>
        </w:rPr>
        <w:t>Section 3.1</w:t>
      </w:r>
      <w:r>
        <w:rPr>
          <w:rFonts w:ascii="Aptos" w:hAnsi="Aptos"/>
          <w:sz w:val="22"/>
        </w:rPr>
        <w:t xml:space="preserve"> </w:t>
      </w:r>
      <w:r>
        <w:rPr>
          <w:rFonts w:ascii="Times New Roman;Times;serif" w:hAnsi="Times New Roman;Times;serif"/>
          <w:sz w:val="22"/>
        </w:rPr>
        <w:t xml:space="preserve">hereof, any increased costs associated with a Change in Law based on the foregoing clauses (i) and (ii) may only be imposed to the extent the applicable Lender or Recipient is generally seeking such costs from other similarly situated borrowers that are similarly affected by the circumstances giving rise to such costs under credit facilities that such Lender or Recipient reasonably deems to afford such Lender or Recipient the legal right to impose such costs, but no such Lender or Recipient shall be required to disclose any proprietary or confidential information in exercising its rights under </w:t>
      </w:r>
      <w:r>
        <w:rPr>
          <w:rFonts w:ascii="Times New Roman;Times;serif" w:hAnsi="Times New Roman;Times;serif"/>
          <w:sz w:val="22"/>
          <w:u w:val="single"/>
        </w:rPr>
        <w:t>Section 3.1</w:t>
      </w:r>
      <w:r>
        <w:rPr>
          <w:rFonts w:ascii="Aptos" w:hAnsi="Aptos"/>
          <w:sz w:val="22"/>
        </w:rPr>
        <w:t xml:space="preserve"> </w:t>
      </w:r>
      <w:r>
        <w:rPr>
          <w:rFonts w:ascii="Times New Roman;Times;serif" w:hAnsi="Times New Roman;Times;serif"/>
          <w:sz w:val="22"/>
        </w:rPr>
        <w:t>hereof.</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Closing Date</w:t>
      </w:r>
      <w:r>
        <w:rPr>
          <w:rFonts w:ascii="Aptos" w:hAnsi="Aptos"/>
          <w:sz w:val="22"/>
        </w:rPr>
        <w:t xml:space="preserve">” </w:t>
      </w:r>
      <w:r>
        <w:rPr>
          <w:rFonts w:ascii="Times New Roman;Times;serif" w:hAnsi="Times New Roman;Times;serif"/>
          <w:sz w:val="22"/>
        </w:rPr>
        <w:t>means the effective date of this Agreement as set forth in the first paragraph of this Agreement.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Code</w:t>
      </w:r>
      <w:r>
        <w:rPr>
          <w:rFonts w:ascii="Aptos" w:hAnsi="Aptos"/>
          <w:sz w:val="22"/>
        </w:rPr>
        <w:t xml:space="preserve">” </w:t>
      </w:r>
      <w:r>
        <w:rPr>
          <w:rFonts w:ascii="Times New Roman;Times;serif" w:hAnsi="Times New Roman;Times;serif"/>
          <w:sz w:val="22"/>
        </w:rPr>
        <w:t>means the Internal Revenue Code of 1986, as amended, together with the rules and regulations promulgated thereunder.</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Collateral</w:t>
      </w:r>
      <w:r>
        <w:rPr>
          <w:rFonts w:ascii="Aptos" w:hAnsi="Aptos"/>
          <w:sz w:val="22"/>
        </w:rPr>
        <w:t xml:space="preserve">” </w:t>
      </w:r>
      <w:r>
        <w:rPr>
          <w:rFonts w:ascii="Times New Roman;Times;serif" w:hAnsi="Times New Roman;Times;serif"/>
          <w:sz w:val="22"/>
        </w:rPr>
        <w:t>means the Collateral, as defined in the Security Documents from time to time.</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Commitment</w:t>
      </w:r>
      <w:r>
        <w:rPr>
          <w:rFonts w:ascii="Aptos" w:hAnsi="Aptos"/>
          <w:sz w:val="22"/>
        </w:rPr>
        <w:t xml:space="preserve">” </w:t>
      </w:r>
      <w:r>
        <w:rPr>
          <w:rFonts w:ascii="Times New Roman;Times;serif" w:hAnsi="Times New Roman;Times;serif"/>
          <w:sz w:val="22"/>
        </w:rPr>
        <w:t>means, collectively, as to all Lenders, the Revolving Credit Commitments of such Lenders.</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Commitment Increase Period</w:t>
      </w:r>
      <w:r>
        <w:rPr>
          <w:rFonts w:ascii="Aptos" w:hAnsi="Aptos"/>
          <w:sz w:val="22"/>
        </w:rPr>
        <w:t xml:space="preserve">” </w:t>
      </w:r>
      <w:r>
        <w:rPr>
          <w:rFonts w:ascii="Times New Roman;Times;serif" w:hAnsi="Times New Roman;Times;serif"/>
          <w:sz w:val="22"/>
        </w:rPr>
        <w:t>means the period from the Closing Date to the date that is three (3) months prior to the Revolving Credit Maturity Date, or such later date (prior to the Revolving Credit Maturity Date) as shall be agreed to in writing by Agent.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Commitment Percentage</w:t>
      </w:r>
      <w:r>
        <w:rPr>
          <w:rFonts w:ascii="Aptos" w:hAnsi="Aptos"/>
          <w:sz w:val="22"/>
        </w:rPr>
        <w:t xml:space="preserve">” </w:t>
      </w:r>
      <w:r>
        <w:rPr>
          <w:rFonts w:ascii="Times New Roman;Times;serif" w:hAnsi="Times New Roman;Times;serif"/>
          <w:sz w:val="22"/>
        </w:rPr>
        <w:t xml:space="preserve">means, for each Lender, with respect to the Revolving Credit Commitment, the percentage set forth opposite such Lender’s name under the column headed “Revolving Credit Commitment Percentage”, as listed in </w:t>
      </w:r>
      <w:r>
        <w:rPr>
          <w:rFonts w:ascii="Times New Roman;Times;serif" w:hAnsi="Times New Roman;Times;serif"/>
          <w:sz w:val="22"/>
          <w:u w:val="single"/>
        </w:rPr>
        <w:t>Schedule 1</w:t>
      </w:r>
      <w:r>
        <w:rPr>
          <w:rFonts w:ascii="Aptos" w:hAnsi="Aptos"/>
          <w:sz w:val="22"/>
        </w:rPr>
        <w:t xml:space="preserve"> </w:t>
      </w:r>
      <w:r>
        <w:rPr>
          <w:rFonts w:ascii="Times New Roman;Times;serif" w:hAnsi="Times New Roman;Times;serif"/>
          <w:sz w:val="22"/>
        </w:rPr>
        <w:t xml:space="preserve">hereto as of the Tenth Amendment Effective Date (taking into account any assignments pursuant to </w:t>
      </w:r>
      <w:r>
        <w:rPr>
          <w:rFonts w:ascii="Times New Roman;Times;serif" w:hAnsi="Times New Roman;Times;serif"/>
          <w:sz w:val="22"/>
          <w:u w:val="single"/>
        </w:rPr>
        <w:t>Section 11.10</w:t>
      </w:r>
      <w:r>
        <w:rPr>
          <w:rFonts w:ascii="Aptos" w:hAnsi="Aptos"/>
          <w:sz w:val="22"/>
        </w:rPr>
        <w:t xml:space="preserve"> </w:t>
      </w:r>
      <w:r>
        <w:rPr>
          <w:rFonts w:ascii="Times New Roman;Times;serif" w:hAnsi="Times New Roman;Times;serif"/>
          <w:sz w:val="22"/>
        </w:rPr>
        <w:t>hereof).</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Commitment Period</w:t>
      </w:r>
      <w:r>
        <w:rPr>
          <w:rFonts w:ascii="Aptos" w:hAnsi="Aptos"/>
          <w:sz w:val="22"/>
        </w:rPr>
        <w:t xml:space="preserve">” </w:t>
      </w:r>
      <w:r>
        <w:rPr>
          <w:rFonts w:ascii="Times New Roman;Times;serif" w:hAnsi="Times New Roman;Times;serif"/>
          <w:sz w:val="22"/>
        </w:rPr>
        <w:t>means the period from the Sixth Amendment Effective Date to the Revolving Credit Maturity Date.</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Commodity Exchange Act</w:t>
      </w:r>
      <w:r>
        <w:rPr>
          <w:rFonts w:ascii="Aptos" w:hAnsi="Aptos"/>
          <w:sz w:val="22"/>
        </w:rPr>
        <w:t xml:space="preserve">” </w:t>
      </w:r>
      <w:r>
        <w:rPr>
          <w:rFonts w:ascii="Times New Roman;Times;serif" w:hAnsi="Times New Roman;Times;serif"/>
          <w:sz w:val="22"/>
        </w:rPr>
        <w:t xml:space="preserve">means the Commodity Exchange Act (7 U.S.C. § 1 </w:t>
      </w:r>
      <w:r>
        <w:rPr>
          <w:rFonts w:ascii="Times New Roman;Times;serif" w:hAnsi="Times New Roman;Times;serif"/>
          <w:i/>
          <w:sz w:val="22"/>
        </w:rPr>
        <w:t>et seq.</w:t>
      </w:r>
      <w:r>
        <w:rPr>
          <w:rFonts w:ascii="Times New Roman;Times;serif" w:hAnsi="Times New Roman;Times;serif"/>
          <w:sz w:val="22"/>
        </w:rPr>
        <w:t>), as amended from time to time, and any successor statute.</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Companies</w:t>
      </w:r>
      <w:r>
        <w:rPr>
          <w:rFonts w:ascii="Aptos" w:hAnsi="Aptos"/>
          <w:sz w:val="22"/>
        </w:rPr>
        <w:t xml:space="preserve">” </w:t>
      </w:r>
      <w:r>
        <w:rPr>
          <w:rFonts w:ascii="Times New Roman;Times;serif" w:hAnsi="Times New Roman;Times;serif"/>
          <w:sz w:val="22"/>
        </w:rPr>
        <w:t>means all Borrowers and all Subsidiaries of all Borrowers.</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Company</w:t>
      </w:r>
      <w:r>
        <w:rPr>
          <w:rFonts w:ascii="Aptos" w:hAnsi="Aptos"/>
          <w:sz w:val="22"/>
        </w:rPr>
        <w:t xml:space="preserve">” </w:t>
      </w:r>
      <w:r>
        <w:rPr>
          <w:rFonts w:ascii="Times New Roman;Times;serif" w:hAnsi="Times New Roman;Times;serif"/>
          <w:sz w:val="22"/>
        </w:rPr>
        <w:t>means a Borrower or a Subsidiary of a Borrower.</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Compliance Certificate</w:t>
      </w:r>
      <w:r>
        <w:rPr>
          <w:rFonts w:ascii="Aptos" w:hAnsi="Aptos"/>
          <w:sz w:val="22"/>
        </w:rPr>
        <w:t xml:space="preserve">” </w:t>
      </w:r>
      <w:r>
        <w:rPr>
          <w:rFonts w:ascii="Times New Roman;Times;serif" w:hAnsi="Times New Roman;Times;serif"/>
          <w:sz w:val="22"/>
        </w:rPr>
        <w:t xml:space="preserve">means a Compliance Certificate in the form of the attached </w:t>
      </w:r>
      <w:r>
        <w:rPr>
          <w:rFonts w:ascii="Times New Roman;Times;serif" w:hAnsi="Times New Roman;Times;serif"/>
          <w:sz w:val="22"/>
          <w:u w:val="single"/>
        </w:rPr>
        <w:t>Exhibit E</w:t>
      </w:r>
      <w:r>
        <w:rPr>
          <w:rFonts w:ascii="Times New Roman;Times;serif" w:hAnsi="Times New Roman;Times;serif"/>
          <w:sz w:val="22"/>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13</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Connection Income Taxes</w:t>
      </w:r>
      <w:r>
        <w:rPr>
          <w:rFonts w:ascii="Aptos" w:hAnsi="Aptos"/>
          <w:sz w:val="22"/>
        </w:rPr>
        <w:t xml:space="preserve">” </w:t>
      </w:r>
      <w:r>
        <w:rPr>
          <w:rFonts w:ascii="Times New Roman;Times;serif" w:hAnsi="Times New Roman;Times;serif"/>
          <w:sz w:val="22"/>
        </w:rPr>
        <w:t>means Other Connection Taxes that are imposed on or measured by net income (however denominated) or that are franchise Taxes or branch profit Taxes.</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Consent Deadline</w:t>
      </w:r>
      <w:r>
        <w:rPr>
          <w:rFonts w:ascii="Aptos" w:hAnsi="Aptos"/>
          <w:sz w:val="22"/>
        </w:rPr>
        <w:t xml:space="preserve">” </w:t>
      </w:r>
      <w:r>
        <w:rPr>
          <w:rFonts w:ascii="Times New Roman;Times;serif" w:hAnsi="Times New Roman;Times;serif"/>
          <w:sz w:val="22"/>
        </w:rPr>
        <w:t xml:space="preserve">means that term as defined in </w:t>
      </w:r>
      <w:r>
        <w:rPr>
          <w:rFonts w:ascii="Times New Roman;Times;serif" w:hAnsi="Times New Roman;Times;serif"/>
          <w:sz w:val="22"/>
          <w:u w:val="single"/>
        </w:rPr>
        <w:t>Section 2.15(a)</w:t>
      </w:r>
      <w:r>
        <w:rPr>
          <w:rFonts w:ascii="Aptos" w:hAnsi="Aptos"/>
          <w:sz w:val="22"/>
        </w:rPr>
        <w:t xml:space="preserve"> </w:t>
      </w:r>
      <w:r>
        <w:rPr>
          <w:rFonts w:ascii="Times New Roman;Times;serif" w:hAnsi="Times New Roman;Times;serif"/>
          <w:sz w:val="22"/>
        </w:rPr>
        <w:t xml:space="preserve">hereof. </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Consideration</w:t>
      </w:r>
      <w:r>
        <w:rPr>
          <w:rFonts w:ascii="Aptos" w:hAnsi="Aptos"/>
          <w:sz w:val="22"/>
        </w:rPr>
        <w:t xml:space="preserve">” </w:t>
      </w:r>
      <w:r>
        <w:rPr>
          <w:rFonts w:ascii="Times New Roman;Times;serif" w:hAnsi="Times New Roman;Times;serif"/>
          <w:sz w:val="22"/>
        </w:rPr>
        <w:t>means, in connection with an Acquisition, the aggregate consideration paid or to be paid, including borrowed funds, cash, deferred payments, the issuance of securities or notes, the assumption or incurring of liabilities (direct or contingent), the payment of consulting fees or fees for a covenant not to compete and any other consideration paid or to be paid for such Acquisition, but in all cases excluding earn-outs in respect of such Acquisition, so long as such cash earn-outs (which may be roughly quantified) are not in excess of twenty percent (20%) of the purchase price.</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Consolidated</w:t>
      </w:r>
      <w:r>
        <w:rPr>
          <w:rFonts w:ascii="Aptos" w:hAnsi="Aptos"/>
          <w:sz w:val="22"/>
        </w:rPr>
        <w:t xml:space="preserve">” </w:t>
      </w:r>
      <w:r>
        <w:rPr>
          <w:rFonts w:ascii="Times New Roman;Times;serif" w:hAnsi="Times New Roman;Times;serif"/>
          <w:sz w:val="22"/>
        </w:rPr>
        <w:t xml:space="preserve">means the resultant consolidation of the financial statements of US Borrower and its Subsidiaries in accordance with GAAP, including principles of consolidation consistent with those applied in preparation of the consolidated financial statements referred to in </w:t>
      </w:r>
      <w:r>
        <w:rPr>
          <w:rFonts w:ascii="Times New Roman;Times;serif" w:hAnsi="Times New Roman;Times;serif"/>
          <w:sz w:val="22"/>
          <w:u w:val="single"/>
        </w:rPr>
        <w:t>Section 6.14</w:t>
      </w:r>
      <w:r>
        <w:rPr>
          <w:rFonts w:ascii="Aptos" w:hAnsi="Aptos"/>
          <w:sz w:val="22"/>
        </w:rPr>
        <w:t xml:space="preserve"> </w:t>
      </w:r>
      <w:r>
        <w:rPr>
          <w:rFonts w:ascii="Times New Roman;Times;serif" w:hAnsi="Times New Roman;Times;serif"/>
          <w:sz w:val="22"/>
        </w:rPr>
        <w:t>hereof.</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Consolidated Depreciation and Amortization Charges</w:t>
      </w:r>
      <w:r>
        <w:rPr>
          <w:rFonts w:ascii="Aptos" w:hAnsi="Aptos"/>
          <w:sz w:val="22"/>
        </w:rPr>
        <w:t xml:space="preserve">” </w:t>
      </w:r>
      <w:r>
        <w:rPr>
          <w:rFonts w:ascii="Times New Roman;Times;serif" w:hAnsi="Times New Roman;Times;serif"/>
          <w:sz w:val="22"/>
        </w:rPr>
        <w:t>means, for any period, the aggregate of all depreciation and amortization charges for fixed assets, leasehold improvements and general intangibles (specifically including goodwill) of US Borrower for such period, as determined on a Consolidated basis.</w:t>
      </w:r>
    </w:p>
    <w:p>
      <w:pPr>
        <w:pStyle w:val="TextBody"/>
        <w:bidi w:val="0"/>
        <w:spacing w:lineRule="auto" w:line="285" w:before="0" w:after="0"/>
        <w:ind w:left="0" w:right="0" w:firstLine="720"/>
        <w:jc w:val="both"/>
        <w:rPr/>
      </w:pPr>
      <w:r>
        <w:rPr/>
        <w:t>“</w:t>
      </w:r>
      <w:r>
        <w:rPr>
          <w:rFonts w:ascii="Times New Roman;Times;serif" w:hAnsi="Times New Roman;Times;serif"/>
          <w:sz w:val="22"/>
          <w:u w:val="single"/>
        </w:rPr>
        <w:t>Consolidated EBITDA</w:t>
      </w:r>
      <w:r>
        <w:rPr>
          <w:rFonts w:ascii="Aptos" w:hAnsi="Aptos"/>
          <w:sz w:val="22"/>
        </w:rPr>
        <w:t xml:space="preserve">” </w:t>
      </w:r>
      <w:r>
        <w:rPr>
          <w:rFonts w:ascii="Times New Roman;Times;serif" w:hAnsi="Times New Roman;Times;serif"/>
          <w:sz w:val="22"/>
        </w:rPr>
        <w:t xml:space="preserve">means, for any period, as determined on a Consolidated basis, Consolidated Net Earnings for such period </w:t>
      </w:r>
      <w:r>
        <w:rPr>
          <w:rFonts w:ascii="Times New Roman;Times;serif" w:hAnsi="Times New Roman;Times;serif"/>
          <w:sz w:val="22"/>
          <w:u w:val="single"/>
        </w:rPr>
        <w:t>plus</w:t>
      </w:r>
      <w:r>
        <w:rPr>
          <w:rFonts w:ascii="Times New Roman;Times;serif" w:hAnsi="Times New Roman;Times;serif"/>
          <w:sz w:val="22"/>
        </w:rPr>
        <w:t xml:space="preserve">, without duplication, the aggregate amounts deducted in determining such Consolidated Net Earnings in respect of (a) Consolidated Interest Expense, (b) Consolidated Income Tax Expense, (c) Consolidated Depreciation and Amortization Charges (and, in addition, current and future amortization charges relating to the capitalized costs incurred by the Companies in connection with the execution and closing of this Agreement and the other Loan Documents (and future costs directly related to the amendment, from time to time, of the foregoing documents)), (d) one-time, non-recurring cash charges, including severance and other restructuring-related expenses, up to an aggregate amount of Twenty Million Dollars ($20,000,000) in any fiscal year of the US Borrower, (e) (i) non-cash charges or expenses incurred in accordance with GAAP (but excluding any non-cash charges related to receivables impairment), </w:t>
      </w:r>
      <w:r>
        <w:rPr>
          <w:rFonts w:ascii="Times New Roman;Times;serif" w:hAnsi="Times New Roman;Times;serif"/>
          <w:sz w:val="22"/>
          <w:u w:val="single"/>
        </w:rPr>
        <w:t>minus</w:t>
      </w:r>
      <w:r>
        <w:rPr>
          <w:rFonts w:ascii="Aptos" w:hAnsi="Aptos"/>
          <w:sz w:val="22"/>
        </w:rPr>
        <w:t xml:space="preserve"> </w:t>
      </w:r>
      <w:r>
        <w:rPr>
          <w:rFonts w:ascii="Times New Roman;Times;serif" w:hAnsi="Times New Roman;Times;serif"/>
          <w:sz w:val="22"/>
        </w:rPr>
        <w:t xml:space="preserve">(ii) extraordinary or unusual non-cash gains not incurred in the ordinary course of business but that were included in the calculation of Consolidated Net Earnings for such period; </w:t>
      </w:r>
      <w:r>
        <w:rPr>
          <w:rFonts w:ascii="Times New Roman;Times;serif" w:hAnsi="Times New Roman;Times;serif"/>
          <w:sz w:val="22"/>
          <w:u w:val="single"/>
        </w:rPr>
        <w:t>provided</w:t>
      </w:r>
      <w:r>
        <w:rPr>
          <w:rFonts w:ascii="Aptos" w:hAnsi="Aptos"/>
          <w:sz w:val="22"/>
        </w:rPr>
        <w:t xml:space="preserve"> </w:t>
      </w:r>
      <w:r>
        <w:rPr>
          <w:rFonts w:ascii="Times New Roman;Times;serif" w:hAnsi="Times New Roman;Times;serif"/>
          <w:sz w:val="22"/>
        </w:rPr>
        <w:t xml:space="preserve">that, for purposes of calculating the Net Leverage Ratio, the Secured Net Leverage Ratio and the Interest Coverage Ratio, (1) a pro forma calculation of Consolidated EBITDA shall be made for Significant Positive EBITDA Dispositions for any fiscal year of US Borrower if Significant Positive EBITDA Dispositions are made, during such fiscal year, in excess of the aggregate amount of Twenty Million Dollars ($20,000,000), (2) a pro forma calculation of Consolidated EBITDA shall be made for Significant Positive EBITDA Acquisitions made during such period, and (3) to the extent that any changes to GAAP pursuant to FASB ASC 842 require the reclassification or recharacterization of Operating Leases as capital leases, changes to Consolidated EBITDA that result from such reclassification or recharacterization shall be excluded from the calculation of Consolidated EBITDA, (f) synergies resulting from Acquisitions (to be achieved within eighteen (18) months of the consummation of such Acquisition and are not anticipated to be incurred on an ongoing basis following the consummation thereof), to the extent the synergies included in this clause (f) (1) are certified by a Financial Officer in form and substance reasonably satisfactory to Agent, (2) are reasonably acceptable to Agent and (3) do not exceed ten percent (10%) of Consolidated EBITDA (determined without reference to this clause (f) but including the EBITDA of the Person or assets to be acquired pursuant to such Acquisition or potential Acquisition, on a pro forma basis, for the most recent consecutive four quarter period prior to the closing of such Acquisition for which financial statements are available), (g) reasonable legal, due diligence and other customary advisory and transaction costs and expenses incurred in connection with this Agreement, any Acquisition or potential Acquisition, any Disposition, issuance or redemption of capital stock or other equity interests, or any incurrence, amendment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14</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Aptos" w:hAnsi="Aptos"/>
          <w:sz w:val="22"/>
        </w:rPr>
      </w:pPr>
      <w:r>
        <w:rPr>
          <w:rFonts w:ascii="Times New Roman;Times;serif" w:hAnsi="Times New Roman;Times;serif"/>
          <w:sz w:val="22"/>
        </w:rPr>
        <w:t xml:space="preserve">or waiver of any Indebtedness (in each case, whether or not consummated) permitted under this Agreement, in each case, so long as, such costs and expenses are incurred no later than six months from either the consummation of such Acquisition, the termination of such potential Acquisition, or the effectiveness of the applicable event, as applicable and (h) any charge or expense attributable solely to the obligations set forth in </w:t>
      </w:r>
      <w:r>
        <w:rPr>
          <w:rFonts w:ascii="Times New Roman;Times;serif" w:hAnsi="Times New Roman;Times;serif"/>
          <w:sz w:val="22"/>
          <w:u w:val="single"/>
        </w:rPr>
        <w:t>Section 2.8(c)</w:t>
      </w:r>
      <w:r>
        <w:rPr>
          <w:rFonts w:ascii="Aptos" w:hAnsi="Aptos"/>
          <w:sz w:val="22"/>
        </w:rPr>
        <w:t xml:space="preserve"> </w:t>
      </w:r>
      <w:r>
        <w:rPr>
          <w:rFonts w:ascii="Times New Roman;Times;serif" w:hAnsi="Times New Roman;Times;serif"/>
          <w:sz w:val="22"/>
        </w:rPr>
        <w:t>hereof in respect of the extension fee described therein.</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Consolidated Funded Indebtedness</w:t>
      </w:r>
      <w:r>
        <w:rPr>
          <w:rFonts w:ascii="Aptos" w:hAnsi="Aptos"/>
          <w:sz w:val="22"/>
        </w:rPr>
        <w:t xml:space="preserve">” </w:t>
      </w:r>
      <w:r>
        <w:rPr>
          <w:rFonts w:ascii="Times New Roman;Times;serif" w:hAnsi="Times New Roman;Times;serif"/>
          <w:sz w:val="22"/>
        </w:rPr>
        <w:t>means, at any date, solely with respect to Indebtedness and other obligations owing by the Companies to Persons other than the Companies and without duplication, the sum of (a) all Indebtedness for borrowed money, (b) all obligations evidenced by bonds, debentures, notes or similar instruments, or upon which interest payments are customarily made, (c) all guaranties of Indebtedness of the type described in this definition, (d) all obligations created under any conditional sale or other title retention agreements, (e) all Capitalized Lease Obligations, Synthetic Lease and asset securitization obligations (</w:t>
      </w:r>
      <w:r>
        <w:rPr>
          <w:rFonts w:ascii="Times New Roman;Times;serif" w:hAnsi="Times New Roman;Times;serif"/>
          <w:sz w:val="22"/>
          <w:u w:val="single"/>
        </w:rPr>
        <w:t>provided</w:t>
      </w:r>
      <w:r>
        <w:rPr>
          <w:rFonts w:ascii="Aptos" w:hAnsi="Aptos"/>
          <w:sz w:val="22"/>
        </w:rPr>
        <w:t xml:space="preserve"> </w:t>
      </w:r>
      <w:r>
        <w:rPr>
          <w:rFonts w:ascii="Times New Roman;Times;serif" w:hAnsi="Times New Roman;Times;serif"/>
          <w:sz w:val="22"/>
        </w:rPr>
        <w:t>that the Companies may exclude Synthetic Leases of aircraft up to the aggregate amount of Ten Million Dollars ($10,000,000)), (f) all obligations (contingent or otherwise) with respect to letters of credit (other than a letter of credit or similar form of credit enhancement issued as a Performance Guaranty), and (g) all obligations for the deferred purchase price of capital assets as determined on a Consolidated basis.  Notwithstanding anything in this definition to the contrary (i) all deferred payment obligations (that are not based on performance) that are part of the total Consideration for an Acquisition shall be considered to be Consolidated Funded Indebtedness, (ii) no performance based contingent obligation that is part of the total Consideration for any Acquisition shall be considered to be Consolidated Funded Indebtedness, (iii) no Permitted Factoring Transaction shall be considered to be Consolidated Funded Indebtedness, and (iv) up to an aggregate amount of Fifteen Million Dollars ($15,000,000) in economic incentives or grants provided by third parties, which may be recorded as liabilities until certain conditions are met, shall be excluded from Consolidated Funded Indebtedness, so long as the Companies remain in material compliance with the terms of such economic incentives and grants.  In addition, for the avoidance of doubt, the net obligations under any currency swap agreement, interest rate swap, cap, collar or floor agreement or other interest rate management device or any Hedge Agreement shall not be considered Consolidated Funded Indebtedness.</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Consolidated Income Tax Expense</w:t>
      </w:r>
      <w:r>
        <w:rPr>
          <w:rFonts w:ascii="Aptos" w:hAnsi="Aptos"/>
          <w:sz w:val="22"/>
        </w:rPr>
        <w:t xml:space="preserve">” </w:t>
      </w:r>
      <w:r>
        <w:rPr>
          <w:rFonts w:ascii="Times New Roman;Times;serif" w:hAnsi="Times New Roman;Times;serif"/>
          <w:sz w:val="22"/>
        </w:rPr>
        <w:t>means, for any period, all provisions for taxes based on the gross or net income of US Borrower (including, without limitation, any additions to such taxes, and any penalties and interest with respect thereto), as determined on a Consolidated basis.</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Consolidated Interest Expense</w:t>
      </w:r>
      <w:r>
        <w:rPr>
          <w:rFonts w:ascii="Aptos" w:hAnsi="Aptos"/>
          <w:sz w:val="22"/>
        </w:rPr>
        <w:t xml:space="preserve">” </w:t>
      </w:r>
      <w:r>
        <w:rPr>
          <w:rFonts w:ascii="Times New Roman;Times;serif" w:hAnsi="Times New Roman;Times;serif"/>
          <w:sz w:val="22"/>
        </w:rPr>
        <w:t>means, for any period, the interest expense of US Borrower, paid in cash, on Consolidated Funded Indebtedness for such period, as determined on a Consolidated basis.</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Consolidated Net Earnings</w:t>
      </w:r>
      <w:r>
        <w:rPr>
          <w:rFonts w:ascii="Aptos" w:hAnsi="Aptos"/>
          <w:sz w:val="22"/>
        </w:rPr>
        <w:t xml:space="preserve">” </w:t>
      </w:r>
      <w:r>
        <w:rPr>
          <w:rFonts w:ascii="Times New Roman;Times;serif" w:hAnsi="Times New Roman;Times;serif"/>
          <w:sz w:val="22"/>
        </w:rPr>
        <w:t>means, for any period, the net income (loss) of US Borrower for such period, as determined on a Consolidated basis.</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Consolidated Net Worth</w:t>
      </w:r>
      <w:r>
        <w:rPr>
          <w:rFonts w:ascii="Aptos" w:hAnsi="Aptos"/>
          <w:sz w:val="22"/>
        </w:rPr>
        <w:t xml:space="preserve">” </w:t>
      </w:r>
      <w:r>
        <w:rPr>
          <w:rFonts w:ascii="Times New Roman;Times;serif" w:hAnsi="Times New Roman;Times;serif"/>
          <w:sz w:val="22"/>
        </w:rPr>
        <w:t>means, at any date, the stockholders’ equity of US Borrower, determined as of such date on a Consolidated basis.</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Consolidated Total Assets</w:t>
      </w:r>
      <w:r>
        <w:rPr>
          <w:rFonts w:ascii="Aptos" w:hAnsi="Aptos"/>
          <w:sz w:val="22"/>
        </w:rPr>
        <w:t xml:space="preserve">” </w:t>
      </w:r>
      <w:r>
        <w:rPr>
          <w:rFonts w:ascii="Times New Roman;Times;serif" w:hAnsi="Times New Roman;Times;serif"/>
          <w:sz w:val="22"/>
        </w:rPr>
        <w:t>means, at any time, all of the assets of the Companies, as determined on a Consolidated basis.</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Control Agreement</w:t>
      </w:r>
      <w:r>
        <w:rPr>
          <w:rFonts w:ascii="Aptos" w:hAnsi="Aptos"/>
          <w:sz w:val="22"/>
        </w:rPr>
        <w:t xml:space="preserve">” </w:t>
      </w:r>
      <w:r>
        <w:rPr>
          <w:rFonts w:ascii="Times New Roman;Times;serif" w:hAnsi="Times New Roman;Times;serif"/>
          <w:sz w:val="22"/>
        </w:rPr>
        <w:t>means a Deposit Account Control Agreement or a Securities Account Control Agreement.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Controlled Group</w:t>
      </w:r>
      <w:r>
        <w:rPr>
          <w:rFonts w:ascii="Aptos" w:hAnsi="Aptos"/>
          <w:sz w:val="22"/>
        </w:rPr>
        <w:t xml:space="preserve">” </w:t>
      </w:r>
      <w:r>
        <w:rPr>
          <w:rFonts w:ascii="Times New Roman;Times;serif" w:hAnsi="Times New Roman;Times;serif"/>
          <w:sz w:val="22"/>
        </w:rPr>
        <w:t>means a Company and each Person required to be aggregated with a Company under Code Section 414(b), (c), (m) or (o).</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15</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Convertible Indebtedness</w:t>
      </w:r>
      <w:r>
        <w:rPr>
          <w:rFonts w:ascii="Aptos" w:hAnsi="Aptos"/>
          <w:sz w:val="22"/>
        </w:rPr>
        <w:t xml:space="preserve">” </w:t>
      </w:r>
      <w:r>
        <w:rPr>
          <w:rFonts w:ascii="Times New Roman;Times;serif" w:hAnsi="Times New Roman;Times;serif"/>
          <w:sz w:val="22"/>
        </w:rPr>
        <w:t>means (a) senior, unsecured Indebtedness of the US Borrower that is convertible into shares of common stock of the US Borrower (or other securities or property following a merger event, reclassification or other change of the common stock of the US Borrower), cash or a combination thereof (such amount of cash determined by reference to the price of the US Borrower’s common stock or such other securities or property), and cash in lieu of fractional shares of common stock of the US Borrower and (b) any guarantee by any Credit Party of Indebtedness of the US Borrower described in clause (a).</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Covenant Adjustment Period</w:t>
      </w:r>
      <w:r>
        <w:rPr>
          <w:rFonts w:ascii="Aptos" w:hAnsi="Aptos"/>
          <w:sz w:val="22"/>
        </w:rPr>
        <w:t xml:space="preserve">” </w:t>
      </w:r>
      <w:r>
        <w:rPr>
          <w:rFonts w:ascii="Times New Roman;Times;serif" w:hAnsi="Times New Roman;Times;serif"/>
          <w:sz w:val="22"/>
        </w:rPr>
        <w:t>means the period commencing with the fiscal quarter ending September 30, 2024 and ending on the Maturity Date.</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Credit Event</w:t>
      </w:r>
      <w:r>
        <w:rPr>
          <w:rFonts w:ascii="Aptos" w:hAnsi="Aptos"/>
          <w:sz w:val="22"/>
        </w:rPr>
        <w:t xml:space="preserve">” </w:t>
      </w:r>
      <w:r>
        <w:rPr>
          <w:rFonts w:ascii="Times New Roman;Times;serif" w:hAnsi="Times New Roman;Times;serif"/>
          <w:sz w:val="22"/>
        </w:rPr>
        <w:t>means the making by the Lenders of a Loan, the conversion by the Lenders of a Base Rate Loan to a Transitioned RFR Loan, the continuation by the Lenders of a Transitioned RFR Loan after the end of the applicable Interest Period, the making by the Swing Line Lender of a Swing Loan, or the issuance (or amendment or renewal) by the Fronting Lender of a Letter of Credit.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Credit Party</w:t>
      </w:r>
      <w:r>
        <w:rPr>
          <w:rFonts w:ascii="Aptos" w:hAnsi="Aptos"/>
          <w:sz w:val="22"/>
        </w:rPr>
        <w:t xml:space="preserve">” </w:t>
      </w:r>
      <w:r>
        <w:rPr>
          <w:rFonts w:ascii="Times New Roman;Times;serif" w:hAnsi="Times New Roman;Times;serif"/>
          <w:sz w:val="22"/>
        </w:rPr>
        <w:t>means a Borrower and any Subsidiary or other Affiliate that is a Guarantor of Payment.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Currencies</w:t>
      </w:r>
      <w:r>
        <w:rPr>
          <w:rFonts w:ascii="Aptos" w:hAnsi="Aptos"/>
          <w:sz w:val="22"/>
        </w:rPr>
        <w:t xml:space="preserve">” </w:t>
      </w:r>
      <w:r>
        <w:rPr>
          <w:rFonts w:ascii="Times New Roman;Times;serif" w:hAnsi="Times New Roman;Times;serif"/>
          <w:sz w:val="22"/>
        </w:rPr>
        <w:t>means Dollars and each Alternate Currency, and “Currency” means any of such Currencies.</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Customary Setoffs</w:t>
      </w:r>
      <w:r>
        <w:rPr>
          <w:rFonts w:ascii="Aptos" w:hAnsi="Aptos"/>
          <w:sz w:val="22"/>
        </w:rPr>
        <w:t xml:space="preserve">” </w:t>
      </w:r>
      <w:r>
        <w:rPr>
          <w:rFonts w:ascii="Times New Roman;Times;serif" w:hAnsi="Times New Roman;Times;serif"/>
          <w:sz w:val="22"/>
        </w:rPr>
        <w:t>means, as to any Securities Intermediary or depository institution, as applicable, with respect to any Securities Account or Deposit Account, as applicable, maintained with such Person, setoffs and chargebacks by such Person against such Securities Account or Deposit Account, as applicable, that directly relate to the maintenance and administration thereof, including, without limitation, for the following purposes: (a) administrative and maintenance fees and expenses; (b) items deposited in or credited to the account and returned unpaid or otherwise uncollected or subject to an adjustment entry; (c) for adjustments or corrections of posting or encoding errors; (d) for any ACH credit or similar entries that are subsequently returned thereafter; (e) for items subject to a claim against the depository bank/securities intermediary for breach of transfer, presentment, encoding, retention or other warranty under Federal Reserve Regulations or Operating Circulars, ACH or other clearing house rules, or applicable law (including, without limitation, Articles 3, 4 and 4A of the U.C.C.); and (f) for chargebacks in connection with merchant card transactions.</w:t>
      </w:r>
    </w:p>
    <w:p>
      <w:pPr>
        <w:pStyle w:val="TextBody"/>
        <w:bidi w:val="0"/>
        <w:spacing w:lineRule="auto" w:line="285" w:before="0" w:after="0"/>
        <w:ind w:left="0" w:right="0" w:firstLine="720"/>
        <w:jc w:val="both"/>
        <w:rPr/>
      </w:pPr>
      <w:r>
        <w:rPr/>
        <w:t>“</w:t>
      </w:r>
      <w:r>
        <w:rPr>
          <w:rFonts w:ascii="Times New Roman;Times;serif" w:hAnsi="Times New Roman;Times;serif"/>
          <w:sz w:val="22"/>
          <w:u w:val="single"/>
        </w:rPr>
        <w:t>Daily Simple RFR</w:t>
      </w:r>
      <w:r>
        <w:rPr>
          <w:rFonts w:ascii="Aptos" w:hAnsi="Aptos"/>
          <w:sz w:val="22"/>
        </w:rPr>
        <w:t xml:space="preserve">” </w:t>
      </w:r>
      <w:r>
        <w:rPr>
          <w:rFonts w:ascii="Times New Roman;Times;serif" w:hAnsi="Times New Roman;Times;serif"/>
          <w:sz w:val="22"/>
        </w:rPr>
        <w:t>means, for any day (an “</w:t>
      </w:r>
      <w:r>
        <w:rPr>
          <w:rFonts w:ascii="Times New Roman;Times;serif" w:hAnsi="Times New Roman;Times;serif"/>
          <w:sz w:val="22"/>
          <w:u w:val="single"/>
        </w:rPr>
        <w:t>RFR Rate Day</w:t>
      </w:r>
      <w:r>
        <w:rPr>
          <w:rFonts w:ascii="Aptos" w:hAnsi="Aptos"/>
          <w:sz w:val="22"/>
        </w:rPr>
        <w:t>”</w:t>
      </w:r>
      <w:r>
        <w:rPr>
          <w:rFonts w:ascii="Times New Roman;Times;serif" w:hAnsi="Times New Roman;Times;serif"/>
          <w:sz w:val="22"/>
        </w:rPr>
        <w:t>), a rate per annum equal to, for any Obligations, interest, fees, commissions or other amounts denominated in, or calculated with respect to, (a) Dollars, on and after the USD LIBOR Transition Date, the greater of (i) Spread Adjusted SOFR for the day (such day, an “</w:t>
      </w:r>
      <w:r>
        <w:rPr>
          <w:rFonts w:ascii="Times New Roman;Times;serif" w:hAnsi="Times New Roman;Times;serif"/>
          <w:sz w:val="22"/>
          <w:u w:val="single"/>
        </w:rPr>
        <w:t>RFR Determination Day</w:t>
      </w:r>
      <w:r>
        <w:rPr>
          <w:rFonts w:ascii="Aptos" w:hAnsi="Aptos"/>
          <w:sz w:val="22"/>
        </w:rPr>
        <w:t>”</w:t>
      </w:r>
      <w:r>
        <w:rPr>
          <w:rFonts w:ascii="Times New Roman;Times;serif" w:hAnsi="Times New Roman;Times;serif"/>
          <w:sz w:val="22"/>
        </w:rPr>
        <w:t>) that is five (5) RFR Business Days prior to (A) if such RFR Rate Day is an RFR Business Day, such RFR Rate Day or (B) if such RFR Rate Day is not an RFR Business Day, the RFR Business Day immediately preceding such RFR Rate Day, in each case, utilizing the SOFR component of such Spread Adjusted SOFR that is published by the SOFR Administrator on the SOFR Administrator’s Website, and (ii) the Floor and (b) Sterling, the greater of (i) SONIA for the day (such day, an “</w:t>
      </w:r>
      <w:r>
        <w:rPr>
          <w:rFonts w:ascii="Times New Roman;Times;serif" w:hAnsi="Times New Roman;Times;serif"/>
          <w:sz w:val="22"/>
          <w:u w:val="single"/>
        </w:rPr>
        <w:t>RFR Determination Day</w:t>
      </w:r>
      <w:r>
        <w:rPr>
          <w:rFonts w:ascii="Aptos" w:hAnsi="Aptos"/>
          <w:sz w:val="22"/>
        </w:rPr>
        <w:t>”</w:t>
      </w:r>
      <w:r>
        <w:rPr>
          <w:rFonts w:ascii="Times New Roman;Times;serif" w:hAnsi="Times New Roman;Times;serif"/>
          <w:sz w:val="22"/>
        </w:rPr>
        <w:t>)</w:t>
      </w:r>
      <w:r>
        <w:rPr>
          <w:rFonts w:ascii="Aptos" w:hAnsi="Aptos"/>
          <w:sz w:val="22"/>
        </w:rPr>
        <w:t xml:space="preserve"> </w:t>
      </w:r>
      <w:r>
        <w:rPr>
          <w:rFonts w:ascii="Times New Roman;Times;serif" w:hAnsi="Times New Roman;Times;serif"/>
          <w:sz w:val="22"/>
        </w:rPr>
        <w:t>that is five (5)</w:t>
      </w:r>
      <w:r>
        <w:rPr>
          <w:rFonts w:ascii="Aptos" w:hAnsi="Aptos"/>
          <w:sz w:val="22"/>
        </w:rPr>
        <w:t xml:space="preserve"> </w:t>
      </w:r>
      <w:r>
        <w:rPr>
          <w:rFonts w:ascii="Times New Roman;Times;serif" w:hAnsi="Times New Roman;Times;serif"/>
          <w:sz w:val="22"/>
        </w:rPr>
        <w:t>RFR Business Days prior to (A) if such RFR Rate Day is an RFR Business Day, such RFR Rate Day or (B) if such RFR Rate Day is not an RFR Business Day, the RFR Business Day immediately preceding such RFR Rate Day, in each case, as such SONIA is published by the SONIA Administrator on the SONIA Administrator’s Website, and (ii) the Floor.</w:t>
      </w:r>
      <w:r>
        <w:rPr>
          <w:rFonts w:ascii="Aptos" w:hAnsi="Aptos"/>
          <w:sz w:val="22"/>
        </w:rPr>
        <w:t xml:space="preserve">  </w:t>
      </w:r>
      <w:r>
        <w:rPr>
          <w:rFonts w:ascii="Times New Roman;Times;serif" w:hAnsi="Times New Roman;Times;serif"/>
          <w:sz w:val="22"/>
        </w:rPr>
        <w:t>If by 5:00 pm (local time for the applicable RFR) on the second (2</w:t>
      </w:r>
      <w:r>
        <w:rPr>
          <w:rFonts w:ascii="Times New Roman;Times;serif" w:hAnsi="Times New Roman;Times;serif"/>
          <w:sz w:val="17"/>
        </w:rPr>
        <w:t>nd</w:t>
      </w:r>
      <w:r>
        <w:rPr>
          <w:rFonts w:ascii="Times New Roman;Times;serif" w:hAnsi="Times New Roman;Times;serif"/>
          <w:sz w:val="22"/>
        </w:rPr>
        <w:t>) RFR Business Day immediately following any</w:t>
      </w:r>
      <w:r>
        <w:rPr>
          <w:rFonts w:ascii="Aptos" w:hAnsi="Aptos"/>
          <w:sz w:val="22"/>
        </w:rPr>
        <w:t xml:space="preserve"> </w:t>
      </w:r>
      <w:r>
        <w:rPr>
          <w:rFonts w:ascii="Times New Roman;Times;serif" w:hAnsi="Times New Roman;Times;serif"/>
          <w:sz w:val="22"/>
        </w:rPr>
        <w:t>RFR Determination Day, the RFR in respect of such RFR Determination Day</w:t>
      </w:r>
      <w:r>
        <w:rPr>
          <w:rFonts w:ascii="Aptos" w:hAnsi="Aptos"/>
          <w:sz w:val="22"/>
        </w:rPr>
        <w:t xml:space="preserve"> </w:t>
      </w:r>
      <w:r>
        <w:rPr>
          <w:rFonts w:ascii="Times New Roman;Times;serif" w:hAnsi="Times New Roman;Times;serif"/>
          <w:sz w:val="22"/>
        </w:rPr>
        <w:t>has not been published on the applicable RFR Administrator’s Website and a Benchmark Replacement Date with respect to the applicable Daily Simple RFR has not occurred, then the RFR for such</w:t>
      </w:r>
      <w:r>
        <w:rPr>
          <w:rFonts w:ascii="Aptos" w:hAnsi="Aptos"/>
          <w:sz w:val="22"/>
        </w:rPr>
        <w:t xml:space="preserve"> </w:t>
      </w:r>
      <w:r>
        <w:rPr>
          <w:rFonts w:ascii="Times New Roman;Times;serif" w:hAnsi="Times New Roman;Times;serif"/>
          <w:sz w:val="22"/>
        </w:rPr>
        <w:t>RFR Determination Day</w:t>
      </w:r>
      <w:r>
        <w:rPr>
          <w:rFonts w:ascii="Aptos" w:hAnsi="Aptos"/>
          <w:sz w:val="22"/>
        </w:rPr>
        <w:t xml:space="preserve"> </w:t>
      </w:r>
      <w:r>
        <w:rPr>
          <w:rFonts w:ascii="Times New Roman;Times;serif" w:hAnsi="Times New Roman;Times;serif"/>
          <w:sz w:val="22"/>
        </w:rPr>
        <w:t xml:space="preserve">will be the RFR as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16</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Aptos" w:hAnsi="Aptos"/>
          <w:sz w:val="22"/>
        </w:rPr>
      </w:pPr>
      <w:r>
        <w:rPr>
          <w:rFonts w:ascii="Times New Roman;Times;serif" w:hAnsi="Times New Roman;Times;serif"/>
          <w:sz w:val="22"/>
        </w:rPr>
        <w:t xml:space="preserve">published in respect of the first preceding RFR Business Day for which such RFR was published on the RFR Administrator’s Website; </w:t>
      </w:r>
      <w:r>
        <w:rPr>
          <w:rFonts w:ascii="Times New Roman;Times;serif" w:hAnsi="Times New Roman;Times;serif"/>
          <w:sz w:val="22"/>
          <w:u w:val="single"/>
        </w:rPr>
        <w:t>provided</w:t>
      </w:r>
      <w:r>
        <w:rPr>
          <w:rFonts w:ascii="Aptos" w:hAnsi="Aptos"/>
          <w:sz w:val="22"/>
        </w:rPr>
        <w:t xml:space="preserve"> </w:t>
      </w:r>
      <w:r>
        <w:rPr>
          <w:rFonts w:ascii="Times New Roman;Times;serif" w:hAnsi="Times New Roman;Times;serif"/>
          <w:sz w:val="22"/>
        </w:rPr>
        <w:t>that any RFR determined pursuant to this sentence shall be utilized for purposes of calculation of Daily Simple RFR for no more than three (3) consecutive RFR Rate Days. Any change in Daily Simple RFR due to a change in the applicable RFR shall be effective from and including the effective date of such change in the RFR</w:t>
      </w:r>
      <w:r>
        <w:rPr>
          <w:rFonts w:ascii="Aptos" w:hAnsi="Aptos"/>
          <w:sz w:val="22"/>
        </w:rPr>
        <w:t xml:space="preserve"> </w:t>
      </w:r>
      <w:r>
        <w:rPr>
          <w:rFonts w:ascii="Times New Roman;Times;serif" w:hAnsi="Times New Roman;Times;serif"/>
          <w:sz w:val="22"/>
        </w:rPr>
        <w:t>without notice to the Borrower.</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Daily Simple RFR Loan</w:t>
      </w:r>
      <w:r>
        <w:rPr>
          <w:rFonts w:ascii="Aptos" w:hAnsi="Aptos"/>
          <w:sz w:val="22"/>
        </w:rPr>
        <w:t xml:space="preserve">” </w:t>
      </w:r>
      <w:r>
        <w:rPr>
          <w:rFonts w:ascii="Times New Roman;Times;serif" w:hAnsi="Times New Roman;Times;serif"/>
          <w:sz w:val="22"/>
        </w:rPr>
        <w:t>means a Loan that bears interest at a rate based on Daily Simple RFR other than pursuant to clause (c) of the definition of “Base Rate”.</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Debt Issuance</w:t>
      </w:r>
      <w:r>
        <w:rPr>
          <w:rFonts w:ascii="Aptos" w:hAnsi="Aptos"/>
          <w:sz w:val="22"/>
        </w:rPr>
        <w:t xml:space="preserve">” </w:t>
      </w:r>
      <w:r>
        <w:rPr>
          <w:rFonts w:ascii="Times New Roman;Times;serif" w:hAnsi="Times New Roman;Times;serif"/>
          <w:sz w:val="22"/>
        </w:rPr>
        <w:t>means the issuance of any Indebtedness for borrowed money by any Company.</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Debtor Relief Laws</w:t>
      </w:r>
      <w:r>
        <w:rPr>
          <w:rFonts w:ascii="Aptos" w:hAnsi="Aptos"/>
          <w:sz w:val="22"/>
        </w:rPr>
        <w:t xml:space="preserve">” </w:t>
      </w:r>
      <w:r>
        <w:rPr>
          <w:rFonts w:ascii="Times New Roman;Times;serif" w:hAnsi="Times New Roman;Times;serif"/>
          <w:sz w:val="22"/>
        </w:rPr>
        <w:t>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Default</w:t>
      </w:r>
      <w:r>
        <w:rPr>
          <w:rFonts w:ascii="Aptos" w:hAnsi="Aptos"/>
          <w:sz w:val="22"/>
        </w:rPr>
        <w:t xml:space="preserve">” </w:t>
      </w:r>
      <w:r>
        <w:rPr>
          <w:rFonts w:ascii="Times New Roman;Times;serif" w:hAnsi="Times New Roman;Times;serif"/>
          <w:sz w:val="22"/>
        </w:rPr>
        <w:t>means an event or condition that constitutes, or with the lapse of any applicable grace period or the giving of notice or both would constitute, an Event of Default, and that has not been waived by the Required Lenders (or, if required hereunder, all of the Lenders) in writing.</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Default Rate</w:t>
      </w:r>
      <w:r>
        <w:rPr>
          <w:rFonts w:ascii="Aptos" w:hAnsi="Aptos"/>
          <w:sz w:val="22"/>
        </w:rPr>
        <w:t xml:space="preserve">” </w:t>
      </w:r>
      <w:r>
        <w:rPr>
          <w:rFonts w:ascii="Times New Roman;Times;serif" w:hAnsi="Times New Roman;Times;serif"/>
          <w:sz w:val="22"/>
        </w:rPr>
        <w:t>means (a) with respect to any Loan or other Obligation for which a rate is specified, a rate per annum equal to two percent (2%) in excess of the rate otherwise applicable thereto, and (b) with respect to any other amount, if no rate is specified or available, a rate per annum equal to two percent (2%) in excess of the Base Rate plus the Applicable Margin for Base Rate Loans from time to time in effect.</w:t>
      </w:r>
    </w:p>
    <w:p>
      <w:pPr>
        <w:pStyle w:val="TextBody"/>
        <w:bidi w:val="0"/>
        <w:spacing w:lineRule="auto" w:line="285" w:before="0" w:after="0"/>
        <w:ind w:left="0" w:right="0" w:firstLine="720"/>
        <w:jc w:val="both"/>
        <w:rPr/>
      </w:pPr>
      <w:r>
        <w:rPr/>
        <w:t>“</w:t>
      </w:r>
      <w:r>
        <w:rPr>
          <w:rFonts w:ascii="Times New Roman;Times;serif" w:hAnsi="Times New Roman;Times;serif"/>
          <w:sz w:val="22"/>
          <w:u w:val="single"/>
        </w:rPr>
        <w:t>Defaulting Lender</w:t>
      </w:r>
      <w:r>
        <w:rPr>
          <w:rFonts w:ascii="Aptos" w:hAnsi="Aptos"/>
          <w:sz w:val="22"/>
        </w:rPr>
        <w:t xml:space="preserve">” </w:t>
      </w:r>
      <w:r>
        <w:rPr>
          <w:rFonts w:ascii="Times New Roman;Times;serif" w:hAnsi="Times New Roman;Times;serif"/>
          <w:sz w:val="22"/>
        </w:rPr>
        <w:t xml:space="preserve">means, subject to </w:t>
      </w:r>
      <w:r>
        <w:rPr>
          <w:rFonts w:ascii="Times New Roman;Times;serif" w:hAnsi="Times New Roman;Times;serif"/>
          <w:sz w:val="22"/>
          <w:u w:val="single"/>
        </w:rPr>
        <w:t>Section 3.8(b)</w:t>
      </w:r>
      <w:r>
        <w:rPr>
          <w:rFonts w:ascii="Aptos" w:hAnsi="Aptos"/>
          <w:sz w:val="22"/>
        </w:rPr>
        <w:t xml:space="preserve"> </w:t>
      </w:r>
      <w:r>
        <w:rPr>
          <w:rFonts w:ascii="Times New Roman;Times;serif" w:hAnsi="Times New Roman;Times;serif"/>
          <w:sz w:val="22"/>
        </w:rPr>
        <w:t>hereof, any Lender that (a) has failed to (i) fund all or any portion of any Loan or any participations in Letters of Credit or participations in Swing Loans required to be funded by it hereunder within two Business Days of the date such Loans or participations were required to be funded hereunder unless such Lender notifies Agent and the Administrative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Agent, any Fronting Lender, the Swing Line Lender or any other Lender any other amount required to be paid by it hereunder (including in respect of its participation in Letters of Credit or Swing Loans) within two Business Days of the date when due, (b) has notified the Administrative Borrower, Agent, any Fronting Lender or the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Agent or the Administrative Borrower, to confirm in writing to Agent and the Administrative Borrower that it will comply with its prospective funding obligations hereunder (</w:t>
      </w:r>
      <w:r>
        <w:rPr>
          <w:rFonts w:ascii="Times New Roman;Times;serif" w:hAnsi="Times New Roman;Times;serif"/>
          <w:sz w:val="22"/>
          <w:u w:val="single"/>
        </w:rPr>
        <w:t>provided</w:t>
      </w:r>
      <w:r>
        <w:rPr>
          <w:rFonts w:ascii="Aptos" w:hAnsi="Aptos"/>
          <w:sz w:val="22"/>
        </w:rPr>
        <w:t xml:space="preserve"> </w:t>
      </w:r>
      <w:r>
        <w:rPr>
          <w:rFonts w:ascii="Times New Roman;Times;serif" w:hAnsi="Times New Roman;Times;serif"/>
          <w:sz w:val="22"/>
        </w:rPr>
        <w:t xml:space="preserve">that such Lender shall cease to be a Defaulting Lender pursuant to this clause (c) upon receipt of such written confirmation by Agent and the Administrative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unless in the case of any Lender subject to this clause (d), the Administrative Borrower, Agent, each Fronting Lender and the Swing Line Lender shall each have determined that such Lender intends, and has all approvals required to enable it (in form and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17</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Aptos" w:hAnsi="Aptos"/>
          <w:sz w:val="22"/>
        </w:rPr>
      </w:pPr>
      <w:r>
        <w:rPr>
          <w:rFonts w:ascii="Times New Roman;Times;serif" w:hAnsi="Times New Roman;Times;serif"/>
          <w:sz w:val="22"/>
        </w:rPr>
        <w:t xml:space="preserve">substance satisfactory to each of the Administrative Borrower, Agent, each Fronting Lender and the Swing Line Lender), to continue to perform its obligations as a Lender hereunder; </w:t>
      </w:r>
      <w:r>
        <w:rPr>
          <w:rFonts w:ascii="Times New Roman;Times;serif" w:hAnsi="Times New Roman;Times;serif"/>
          <w:sz w:val="22"/>
          <w:u w:val="single"/>
        </w:rPr>
        <w:t>provided</w:t>
      </w:r>
      <w:r>
        <w:rPr>
          <w:rFonts w:ascii="Aptos" w:hAnsi="Aptos"/>
          <w:sz w:val="22"/>
        </w:rPr>
        <w:t xml:space="preserve"> </w:t>
      </w:r>
      <w:r>
        <w:rPr>
          <w:rFonts w:ascii="Times New Roman;Times;serif" w:hAnsi="Times New Roman;Times;serif"/>
          <w:sz w:val="22"/>
        </w:rPr>
        <w:t xml:space="preserve">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Agent that a Lender is a Defaulting Lender under any one or more of clauses (a) through (d) above shall be conclusive and binding absent manifest error.  Such Lender shall be deemed to be a Defaulting Lender (subject to </w:t>
      </w:r>
      <w:r>
        <w:rPr>
          <w:rFonts w:ascii="Times New Roman;Times;serif" w:hAnsi="Times New Roman;Times;serif"/>
          <w:sz w:val="22"/>
          <w:u w:val="single"/>
        </w:rPr>
        <w:t>Section 3.8(b)</w:t>
      </w:r>
      <w:r>
        <w:rPr>
          <w:rFonts w:ascii="Aptos" w:hAnsi="Aptos"/>
          <w:sz w:val="22"/>
        </w:rPr>
        <w:t xml:space="preserve"> </w:t>
      </w:r>
      <w:r>
        <w:rPr>
          <w:rFonts w:ascii="Times New Roman;Times;serif" w:hAnsi="Times New Roman;Times;serif"/>
          <w:sz w:val="22"/>
        </w:rPr>
        <w:t>hereof) (x) immediately in the case of clause (a)(i) and (b) or (c) (if notified by the Administrative Borrower) or (d) above and (y) upon delivery of written notice of such determination to the Administrative Borrower, each Fronting Lender, the Swing Line Lender and each Lender in the case of clause (a)(ii) and (b) or (c) (if notified to Agent or any Lender).</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Deposit Account</w:t>
      </w:r>
      <w:r>
        <w:rPr>
          <w:rFonts w:ascii="Aptos" w:hAnsi="Aptos"/>
          <w:sz w:val="22"/>
        </w:rPr>
        <w:t xml:space="preserve">” </w:t>
      </w:r>
      <w:r>
        <w:rPr>
          <w:rFonts w:ascii="Times New Roman;Times;serif" w:hAnsi="Times New Roman;Times;serif"/>
          <w:sz w:val="22"/>
        </w:rPr>
        <w:t>means a deposit account, as that term is defined in the U.C.C.</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Deposit Account Control Agreement</w:t>
      </w:r>
      <w:r>
        <w:rPr>
          <w:rFonts w:ascii="Aptos" w:hAnsi="Aptos"/>
          <w:sz w:val="22"/>
        </w:rPr>
        <w:t xml:space="preserve">” </w:t>
      </w:r>
      <w:r>
        <w:rPr>
          <w:rFonts w:ascii="Times New Roman;Times;serif" w:hAnsi="Times New Roman;Times;serif"/>
          <w:sz w:val="22"/>
        </w:rPr>
        <w:t>means each Deposit Account Control Agreement among US Borrower or a Domestic Guarantor of Payment, Agent and a depository institution, dated on or after the Closing Date, to be in form and substance reasonably satisfactory to Agent, as the same may from time to time be amended, restated or otherwise modified.</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Disposition</w:t>
      </w:r>
      <w:r>
        <w:rPr>
          <w:rFonts w:ascii="Aptos" w:hAnsi="Aptos"/>
          <w:sz w:val="22"/>
        </w:rPr>
        <w:t xml:space="preserve">” </w:t>
      </w:r>
      <w:r>
        <w:rPr>
          <w:rFonts w:ascii="Times New Roman;Times;serif" w:hAnsi="Times New Roman;Times;serif"/>
          <w:sz w:val="22"/>
        </w:rPr>
        <w:t xml:space="preserve">means the lease, transfer or other disposition (including by statutory division) of assets (including, without limitation, equity interests in subsidiary companies) by a Company (whether in one or more than one transaction), other than a sale, lease, transfer or other disposition made by a Company pursuant to </w:t>
      </w:r>
      <w:r>
        <w:rPr>
          <w:rFonts w:ascii="Times New Roman;Times;serif" w:hAnsi="Times New Roman;Times;serif"/>
          <w:sz w:val="22"/>
          <w:u w:val="single"/>
        </w:rPr>
        <w:t>Section 5.12(b)</w:t>
      </w:r>
      <w:r>
        <w:rPr>
          <w:rFonts w:ascii="Times New Roman;Times;serif" w:hAnsi="Times New Roman;Times;serif"/>
          <w:sz w:val="22"/>
        </w:rPr>
        <w:t xml:space="preserve">, </w:t>
      </w:r>
      <w:r>
        <w:rPr>
          <w:rFonts w:ascii="Times New Roman;Times;serif" w:hAnsi="Times New Roman;Times;serif"/>
          <w:sz w:val="22"/>
          <w:u w:val="single"/>
        </w:rPr>
        <w:t>(c)</w:t>
      </w:r>
      <w:r>
        <w:rPr>
          <w:rFonts w:ascii="Aptos" w:hAnsi="Aptos"/>
          <w:sz w:val="22"/>
        </w:rPr>
        <w:t xml:space="preserve"> </w:t>
      </w:r>
      <w:r>
        <w:rPr>
          <w:rFonts w:ascii="Times New Roman;Times;serif" w:hAnsi="Times New Roman;Times;serif"/>
          <w:sz w:val="22"/>
        </w:rPr>
        <w:t xml:space="preserve">or </w:t>
      </w:r>
      <w:r>
        <w:rPr>
          <w:rFonts w:ascii="Times New Roman;Times;serif" w:hAnsi="Times New Roman;Times;serif"/>
          <w:sz w:val="22"/>
          <w:u w:val="single"/>
        </w:rPr>
        <w:t>(g)</w:t>
      </w:r>
      <w:r>
        <w:rPr>
          <w:rFonts w:ascii="Aptos" w:hAnsi="Aptos"/>
          <w:sz w:val="22"/>
        </w:rPr>
        <w:t xml:space="preserve"> </w:t>
      </w:r>
      <w:r>
        <w:rPr>
          <w:rFonts w:ascii="Times New Roman;Times;serif" w:hAnsi="Times New Roman;Times;serif"/>
          <w:sz w:val="22"/>
        </w:rPr>
        <w:t>hereof or in the ordinary course of business.  For the avoidance of doubt, none of (x) the sale of any Permitted Convertible Indebtedness by the US Borrower, (y) the sale of any Permitted Warrant Transaction by the US Borrower nor (z) the performance by the US Borrower of its obligations under any Permitted Convertible Indebtedness or any Permitted Warrant Transaction, shall constitute a “Disposition”.</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Disqualifying Event</w:t>
      </w:r>
      <w:r>
        <w:rPr>
          <w:rFonts w:ascii="Aptos" w:hAnsi="Aptos"/>
          <w:sz w:val="22"/>
        </w:rPr>
        <w:t xml:space="preserve">” </w:t>
      </w:r>
      <w:r>
        <w:rPr>
          <w:rFonts w:ascii="Times New Roman;Times;serif" w:hAnsi="Times New Roman;Times;serif"/>
          <w:sz w:val="22"/>
        </w:rPr>
        <w:t xml:space="preserve">has the meaning set forth in </w:t>
      </w:r>
      <w:r>
        <w:rPr>
          <w:rFonts w:ascii="Times New Roman;Times;serif" w:hAnsi="Times New Roman;Times;serif"/>
          <w:sz w:val="22"/>
          <w:u w:val="single"/>
        </w:rPr>
        <w:t>Section 3.5(e)</w:t>
      </w:r>
      <w:r>
        <w:rPr>
          <w:rFonts w:ascii="Times New Roman;Times;serif" w:hAnsi="Times New Roman;Times;serif"/>
          <w:sz w:val="22"/>
        </w:rPr>
        <w: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Dollar</w:t>
      </w:r>
      <w:r>
        <w:rPr>
          <w:rFonts w:ascii="Aptos" w:hAnsi="Aptos"/>
          <w:sz w:val="22"/>
        </w:rPr>
        <w:t xml:space="preserve">” </w:t>
      </w:r>
      <w:r>
        <w:rPr>
          <w:rFonts w:ascii="Times New Roman;Times;serif" w:hAnsi="Times New Roman;Times;serif"/>
          <w:sz w:val="22"/>
        </w:rPr>
        <w:t>or “</w:t>
      </w:r>
      <w:r>
        <w:rPr>
          <w:rFonts w:ascii="Times New Roman;Times;serif" w:hAnsi="Times New Roman;Times;serif"/>
          <w:sz w:val="22"/>
          <w:u w:val="single"/>
        </w:rPr>
        <w:t>$</w:t>
      </w:r>
      <w:r>
        <w:rPr>
          <w:rFonts w:ascii="Aptos" w:hAnsi="Aptos"/>
          <w:sz w:val="22"/>
        </w:rPr>
        <w:t xml:space="preserve">” </w:t>
      </w:r>
      <w:r>
        <w:rPr>
          <w:rFonts w:ascii="Times New Roman;Times;serif" w:hAnsi="Times New Roman;Times;serif"/>
          <w:sz w:val="22"/>
        </w:rPr>
        <w:t>means lawful money of the United States of America.</w:t>
      </w:r>
    </w:p>
    <w:p>
      <w:pPr>
        <w:pStyle w:val="TextBody"/>
        <w:bidi w:val="0"/>
        <w:spacing w:lineRule="auto" w:line="285" w:before="0" w:after="0"/>
        <w:ind w:left="0" w:right="0" w:firstLine="720"/>
        <w:jc w:val="both"/>
        <w:rPr/>
      </w:pPr>
      <w:r>
        <w:rPr/>
        <w:t>“</w:t>
      </w:r>
      <w:r>
        <w:rPr>
          <w:rFonts w:ascii="Times New Roman;Times;serif" w:hAnsi="Times New Roman;Times;serif"/>
          <w:sz w:val="22"/>
          <w:u w:val="single"/>
        </w:rPr>
        <w:t>Dollar Equivalent</w:t>
      </w:r>
      <w:r>
        <w:rPr>
          <w:rFonts w:ascii="Aptos" w:hAnsi="Aptos"/>
          <w:sz w:val="22"/>
        </w:rPr>
        <w:t xml:space="preserve">” </w:t>
      </w:r>
      <w:r>
        <w:rPr>
          <w:rFonts w:ascii="Times New Roman;Times;serif" w:hAnsi="Times New Roman;Times;serif"/>
          <w:sz w:val="22"/>
        </w:rPr>
        <w:t xml:space="preserve">means (a) with respect to an Alternate Currency Loan or Letter of Credit denominated in an Alternate Currency, the Dollar equivalent of the amount of such Alternate Currency Loan or Letter of Credit denominated in such Alternate Currency, determined by Agent on the basis of its spot rate at approximately 11:00 A.M. (London time) on the date two Business Days before the date of such Alternate Currency Loan or issuance of such Letter of Credit denominated in such Alternate Currency, for the purchase of the relevant Alternate Currency with Dollars for delivery on the date of such Alternate Currency Loan or Letter of Credit, and (b) with respect to any other amount, if such amount is denominated in Dollars, then such amount in Dollars and, otherwise the Dollar equivalent of such amount, determined by Agent on the basis of its spot rate at approximately 11:00 A.M. (London time) on the date for which the Dollar equivalent amount of such amount is being determined, for the purchase of the relevant Alternate Currency with Dollars for delivery on such date; </w:t>
      </w:r>
      <w:r>
        <w:rPr>
          <w:rFonts w:ascii="Times New Roman;Times;serif" w:hAnsi="Times New Roman;Times;serif"/>
          <w:sz w:val="22"/>
          <w:u w:val="single"/>
        </w:rPr>
        <w:t>provided</w:t>
      </w:r>
      <w:r>
        <w:rPr>
          <w:rFonts w:ascii="Aptos" w:hAnsi="Aptos"/>
          <w:sz w:val="22"/>
        </w:rPr>
        <w:t xml:space="preserve"> </w:t>
      </w:r>
      <w:r>
        <w:rPr>
          <w:rFonts w:ascii="Times New Roman;Times;serif" w:hAnsi="Times New Roman;Times;serif"/>
          <w:sz w:val="22"/>
        </w:rPr>
        <w:t xml:space="preserve">that, in calculating the Dollar Equivalent for purposes of determining (i) a Borrower’s obligation to prepay Revolving Loans, Swing Loans and Letters of Credit pursuant to </w:t>
      </w:r>
      <w:r>
        <w:rPr>
          <w:rFonts w:ascii="Times New Roman;Times;serif" w:hAnsi="Times New Roman;Times;serif"/>
          <w:sz w:val="22"/>
          <w:u w:val="single"/>
        </w:rPr>
        <w:t>Section 2.11(a)</w:t>
      </w:r>
      <w:r>
        <w:rPr>
          <w:rFonts w:ascii="Aptos" w:hAnsi="Aptos"/>
          <w:sz w:val="22"/>
        </w:rPr>
        <w:t xml:space="preserve"> </w:t>
      </w:r>
      <w:r>
        <w:rPr>
          <w:rFonts w:ascii="Times New Roman;Times;serif" w:hAnsi="Times New Roman;Times;serif"/>
          <w:sz w:val="22"/>
        </w:rPr>
        <w:t xml:space="preserve">hereof, or (ii) a Borrower’s ability to request additional Loans or Letters of Credit pursuant to the Commitment, Agent may, in its discretion, on any Business Day selected by Agent (prior to payment in full of the Obligations), calculate the Dollar Equivalent of each such Loan or Letter of Credit.  (Note that for purposes of repayment of an Alternate Currency Loan at the end of an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18</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Interest Period, the amount of the Alternate Currency borrowed (as opposed to the Dollar Equivalent of such amount) is the amount required to be repaid.)  Agent shall notify Administrative Borrower of the Dollar Equivalent of such Alternate Currency Loan or any other amount, at the time that such Dollar Equivalent shall have been determined.</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Domestic Guarantor of Payment</w:t>
      </w:r>
      <w:r>
        <w:rPr>
          <w:rFonts w:ascii="Aptos" w:hAnsi="Aptos"/>
          <w:sz w:val="22"/>
        </w:rPr>
        <w:t xml:space="preserve">” </w:t>
      </w:r>
      <w:r>
        <w:rPr>
          <w:rFonts w:ascii="Times New Roman;Times;serif" w:hAnsi="Times New Roman;Times;serif"/>
          <w:sz w:val="22"/>
        </w:rPr>
        <w:t xml:space="preserve">means each of the Companies designated a “Domestic Guarantor of Payment” on </w:t>
      </w:r>
      <w:r>
        <w:rPr>
          <w:rFonts w:ascii="Times New Roman;Times;serif" w:hAnsi="Times New Roman;Times;serif"/>
          <w:sz w:val="22"/>
          <w:u w:val="single"/>
        </w:rPr>
        <w:t>Schedule 3</w:t>
      </w:r>
      <w:r>
        <w:rPr>
          <w:rFonts w:ascii="Aptos" w:hAnsi="Aptos"/>
          <w:sz w:val="22"/>
        </w:rPr>
        <w:t xml:space="preserve"> </w:t>
      </w:r>
      <w:r>
        <w:rPr>
          <w:rFonts w:ascii="Times New Roman;Times;serif" w:hAnsi="Times New Roman;Times;serif"/>
          <w:sz w:val="22"/>
        </w:rPr>
        <w:t>hereto as of the Ninth Amendment Effective Date, each of which is executing and delivering a Guaranty of Payment, and any other Domestic Subsidiary that shall deliver a Guaranty of Payment to Agent subsequent to the Ninth Amendment Effective Date.</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Domestic Subsidiary</w:t>
      </w:r>
      <w:r>
        <w:rPr>
          <w:rFonts w:ascii="Aptos" w:hAnsi="Aptos"/>
          <w:sz w:val="22"/>
        </w:rPr>
        <w:t xml:space="preserve">” </w:t>
      </w:r>
      <w:r>
        <w:rPr>
          <w:rFonts w:ascii="Times New Roman;Times;serif" w:hAnsi="Times New Roman;Times;serif"/>
          <w:sz w:val="22"/>
        </w:rPr>
        <w:t>means a Subsidiary that is not a Foreign Subsidiary.</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Dormant Subsidiary</w:t>
      </w:r>
      <w:r>
        <w:rPr>
          <w:rFonts w:ascii="Aptos" w:hAnsi="Aptos"/>
          <w:sz w:val="22"/>
        </w:rPr>
        <w:t xml:space="preserve">” </w:t>
      </w:r>
      <w:r>
        <w:rPr>
          <w:rFonts w:ascii="Times New Roman;Times;serif" w:hAnsi="Times New Roman;Times;serif"/>
          <w:sz w:val="22"/>
        </w:rPr>
        <w:t>means a Company that (a) is not a Credit Party or the direct or indirect equity holder of a Credit Party and (b) together with its direct or indirect Subsidiaries, has Consolidated Total Assets of less than the greater of (i) Thirty-Five Million Dollars ($35,000,000) and (ii) one and three-quarter percent (1.75%) of Consolidated Total Assets of the US Borrower and its Subsidiaries.</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Early Opt-in Effective Date</w:t>
      </w:r>
      <w:r>
        <w:rPr>
          <w:rFonts w:ascii="Aptos" w:hAnsi="Aptos"/>
          <w:sz w:val="22"/>
        </w:rPr>
        <w:t xml:space="preserve">” </w:t>
      </w:r>
      <w:r>
        <w:rPr>
          <w:rFonts w:ascii="Times New Roman;Times;serif" w:hAnsi="Times New Roman;Times;serif"/>
          <w:sz w:val="22"/>
        </w:rPr>
        <w:t>means, with respect to any Early Opt-in Election, the sixth (6</w:t>
      </w:r>
      <w:r>
        <w:rPr>
          <w:rFonts w:ascii="Times New Roman;Times;serif" w:hAnsi="Times New Roman;Times;serif"/>
          <w:sz w:val="17"/>
        </w:rPr>
        <w:t>th</w:t>
      </w:r>
      <w:r>
        <w:rPr>
          <w:rFonts w:ascii="Times New Roman;Times;serif" w:hAnsi="Times New Roman;Times;serif"/>
          <w:sz w:val="22"/>
        </w:rPr>
        <w:t>) Business Day after the date notice of such Early Opt-in Election is provided to the Lenders, so long as the Agent has not received, by 5:00 p.m. on the fifth (5</w:t>
      </w:r>
      <w:r>
        <w:rPr>
          <w:rFonts w:ascii="Times New Roman;Times;serif" w:hAnsi="Times New Roman;Times;serif"/>
          <w:sz w:val="17"/>
        </w:rPr>
        <w:t>th</w:t>
      </w:r>
      <w:r>
        <w:rPr>
          <w:rFonts w:ascii="Times New Roman;Times;serif" w:hAnsi="Times New Roman;Times;serif"/>
          <w:sz w:val="22"/>
        </w:rPr>
        <w:t>) Business Day after the date notice of such Early Opt-in Election is provided to the Lenders, written notice of objection to such Early Opt-in Election from Lenders comprising the Required Lenders.</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Early Opt-in Election</w:t>
      </w:r>
      <w:r>
        <w:rPr>
          <w:rFonts w:ascii="Aptos" w:hAnsi="Aptos"/>
          <w:sz w:val="22"/>
        </w:rPr>
        <w:t xml:space="preserve">” </w:t>
      </w:r>
      <w:r>
        <w:rPr>
          <w:rFonts w:ascii="Times New Roman;Times;serif" w:hAnsi="Times New Roman;Times;serif"/>
          <w:sz w:val="22"/>
        </w:rPr>
        <w:t>means the occurrence of: (a) a notification by the Agent to (or the request by the Administrative Borrower to the Agent to notify) each of the other parties hereto that at least five currently outstanding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 (b) the joint election by the Agent and the Administrative Borrower to trigger a fallback from the Adjusted Eurodollar Rate for Dollars and the provision by the Agent of written notice of such election to the Lenders.</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EBITDA</w:t>
      </w:r>
      <w:r>
        <w:rPr>
          <w:rFonts w:ascii="Aptos" w:hAnsi="Aptos"/>
          <w:sz w:val="22"/>
        </w:rPr>
        <w:t xml:space="preserve">” </w:t>
      </w:r>
      <w:r>
        <w:rPr>
          <w:rFonts w:ascii="Times New Roman;Times;serif" w:hAnsi="Times New Roman;Times;serif"/>
          <w:sz w:val="22"/>
        </w:rPr>
        <w:t>means, for any period, the net earnings of a Person (without giving effect to extraordinary losses or gains) for such period, plus the aggregate amounts deducted in determining such net earnings in respect of (a) interest expense of such Person, (b) income taxes of such Person and (c) the aggregate of all depreciation and amortization charges of such Person for fixed assets, leasehold improvements and general intangibles (specifically including goodwill).</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EEA Financial Institution</w:t>
      </w:r>
      <w:r>
        <w:rPr>
          <w:rFonts w:ascii="Aptos" w:hAnsi="Aptos"/>
          <w:sz w:val="22"/>
        </w:rPr>
        <w:t xml:space="preserve">” </w:t>
      </w:r>
      <w:r>
        <w:rPr>
          <w:rFonts w:ascii="Times New Roman;Times;serif" w:hAnsi="Times New Roman;Times;serif"/>
          <w:sz w:val="22"/>
        </w:rPr>
        <w:t>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EEA Member Country</w:t>
      </w:r>
      <w:r>
        <w:rPr>
          <w:rFonts w:ascii="Aptos" w:hAnsi="Aptos"/>
          <w:sz w:val="22"/>
        </w:rPr>
        <w:t xml:space="preserve">” </w:t>
      </w:r>
      <w:r>
        <w:rPr>
          <w:rFonts w:ascii="Times New Roman;Times;serif" w:hAnsi="Times New Roman;Times;serif"/>
          <w:sz w:val="22"/>
        </w:rPr>
        <w:t>means any of the member states of the European Union, Iceland, Liechtenstein, and Norway.</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EEA Resolution Authority</w:t>
      </w:r>
      <w:r>
        <w:rPr>
          <w:rFonts w:ascii="Aptos" w:hAnsi="Aptos"/>
          <w:sz w:val="22"/>
        </w:rPr>
        <w:t xml:space="preserve">” </w:t>
      </w:r>
      <w:r>
        <w:rPr>
          <w:rFonts w:ascii="Times New Roman;Times;serif" w:hAnsi="Times New Roman;Times;serif"/>
          <w:sz w:val="22"/>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19</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Eighth Amendment Effective Date</w:t>
      </w:r>
      <w:r>
        <w:rPr>
          <w:rFonts w:ascii="Aptos" w:hAnsi="Aptos"/>
          <w:sz w:val="22"/>
        </w:rPr>
        <w:t xml:space="preserve">” </w:t>
      </w:r>
      <w:r>
        <w:rPr>
          <w:rFonts w:ascii="Times New Roman;Times;serif" w:hAnsi="Times New Roman;Times;serif"/>
          <w:sz w:val="22"/>
        </w:rPr>
        <w:t>means February 26, 2024.</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Eleventh Amendment Effective Dat</w:t>
      </w:r>
      <w:r>
        <w:rPr>
          <w:rFonts w:ascii="Times New Roman;Times;serif" w:hAnsi="Times New Roman;Times;serif"/>
          <w:sz w:val="22"/>
        </w:rPr>
        <w:t>e” means August 7, 2026.</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Electronic Record</w:t>
      </w:r>
      <w:r>
        <w:rPr>
          <w:rFonts w:ascii="Aptos" w:hAnsi="Aptos"/>
          <w:sz w:val="22"/>
        </w:rPr>
        <w:t xml:space="preserve">” </w:t>
      </w:r>
      <w:r>
        <w:rPr>
          <w:rFonts w:ascii="Times New Roman;Times;serif" w:hAnsi="Times New Roman;Times;serif"/>
          <w:sz w:val="22"/>
        </w:rPr>
        <w:t>has the meaning assigned to that term in, and shall be interpreted in accordance with, 15 U.S.C. 7006.</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Electronic Signature</w:t>
      </w:r>
      <w:r>
        <w:rPr>
          <w:rFonts w:ascii="Aptos" w:hAnsi="Aptos"/>
          <w:sz w:val="22"/>
        </w:rPr>
        <w:t xml:space="preserve">” </w:t>
      </w:r>
      <w:r>
        <w:rPr>
          <w:rFonts w:ascii="Times New Roman;Times;serif" w:hAnsi="Times New Roman;Times;serif"/>
          <w:sz w:val="22"/>
        </w:rPr>
        <w:t>has the meaning assigned to that term in, and shall be interpreted in accordance with, 15 U.S.C. 7006.</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Eligible Transferee</w:t>
      </w:r>
      <w:r>
        <w:rPr>
          <w:rFonts w:ascii="Aptos" w:hAnsi="Aptos"/>
          <w:sz w:val="22"/>
        </w:rPr>
        <w:t xml:space="preserve">” </w:t>
      </w:r>
      <w:r>
        <w:rPr>
          <w:rFonts w:ascii="Times New Roman;Times;serif" w:hAnsi="Times New Roman;Times;serif"/>
          <w:sz w:val="22"/>
        </w:rPr>
        <w:t xml:space="preserve">means any Person that meets the requirements to be an assignee under </w:t>
      </w:r>
      <w:r>
        <w:rPr>
          <w:rFonts w:ascii="Times New Roman;Times;serif" w:hAnsi="Times New Roman;Times;serif"/>
          <w:sz w:val="22"/>
          <w:u w:val="single"/>
        </w:rPr>
        <w:t>Section 11.10(a)(iii)</w:t>
      </w:r>
      <w:r>
        <w:rPr>
          <w:rFonts w:ascii="Times New Roman;Times;serif" w:hAnsi="Times New Roman;Times;serif"/>
          <w:sz w:val="22"/>
        </w:rPr>
        <w:t xml:space="preserve">, </w:t>
      </w:r>
      <w:r>
        <w:rPr>
          <w:rFonts w:ascii="Times New Roman;Times;serif" w:hAnsi="Times New Roman;Times;serif"/>
          <w:sz w:val="22"/>
          <w:u w:val="single"/>
        </w:rPr>
        <w:t>(v)</w:t>
      </w:r>
      <w:r>
        <w:rPr>
          <w:rFonts w:ascii="Aptos" w:hAnsi="Aptos"/>
          <w:sz w:val="22"/>
        </w:rPr>
        <w:t xml:space="preserve"> </w:t>
      </w:r>
      <w:r>
        <w:rPr>
          <w:rFonts w:ascii="Times New Roman;Times;serif" w:hAnsi="Times New Roman;Times;serif"/>
          <w:sz w:val="22"/>
        </w:rPr>
        <w:t xml:space="preserve">and </w:t>
      </w:r>
      <w:r>
        <w:rPr>
          <w:rFonts w:ascii="Times New Roman;Times;serif" w:hAnsi="Times New Roman;Times;serif"/>
          <w:sz w:val="22"/>
          <w:u w:val="single"/>
        </w:rPr>
        <w:t>(vi)</w:t>
      </w:r>
      <w:r>
        <w:rPr>
          <w:rFonts w:ascii="Aptos" w:hAnsi="Aptos"/>
          <w:sz w:val="22"/>
        </w:rPr>
        <w:t xml:space="preserve"> </w:t>
      </w:r>
      <w:r>
        <w:rPr>
          <w:rFonts w:ascii="Times New Roman;Times;serif" w:hAnsi="Times New Roman;Times;serif"/>
          <w:sz w:val="22"/>
        </w:rPr>
        <w:t xml:space="preserve">hereof (subject to such consents, if any, as may be required under </w:t>
      </w:r>
      <w:r>
        <w:rPr>
          <w:rFonts w:ascii="Times New Roman;Times;serif" w:hAnsi="Times New Roman;Times;serif"/>
          <w:sz w:val="22"/>
          <w:u w:val="single"/>
        </w:rPr>
        <w:t>Section 11.10(a)(iii)</w:t>
      </w:r>
      <w:r>
        <w:rPr>
          <w:rFonts w:ascii="Aptos" w:hAnsi="Aptos"/>
          <w:sz w:val="22"/>
        </w:rPr>
        <w:t xml:space="preserve"> </w:t>
      </w:r>
      <w:r>
        <w:rPr>
          <w:rFonts w:ascii="Times New Roman;Times;serif" w:hAnsi="Times New Roman;Times;serif"/>
          <w:sz w:val="22"/>
        </w:rPr>
        <w:t>hereof).</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EMU Legislation</w:t>
      </w:r>
      <w:r>
        <w:rPr>
          <w:rFonts w:ascii="Aptos" w:hAnsi="Aptos"/>
          <w:sz w:val="22"/>
        </w:rPr>
        <w:t xml:space="preserve">” </w:t>
      </w:r>
      <w:r>
        <w:rPr>
          <w:rFonts w:ascii="Times New Roman;Times;serif" w:hAnsi="Times New Roman;Times;serif"/>
          <w:sz w:val="22"/>
        </w:rPr>
        <w:t>means the legislative measures of the European Council for the introduction of changeover to or operation of a single or unified European currency.</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Environmental Laws</w:t>
      </w:r>
      <w:r>
        <w:rPr>
          <w:rFonts w:ascii="Aptos" w:hAnsi="Aptos"/>
          <w:sz w:val="22"/>
        </w:rPr>
        <w:t xml:space="preserve">” </w:t>
      </w:r>
      <w:r>
        <w:rPr>
          <w:rFonts w:ascii="Times New Roman;Times;serif" w:hAnsi="Times New Roman;Times;serif"/>
          <w:sz w:val="22"/>
        </w:rPr>
        <w:t>means all provisions of law (including the common law), statutes, ordinances, codes, rules, guidelines, policies, procedures, orders-in-council, regulations, permits, licenses, judgments, writs, injunctions, decrees, orders, awards and standards promulgated by a Governmental Authority or by any court, agency, instrumentality, regulatory authority or commission of any of the foregoing concerning environmental health or safety and protection of, or regulation of the discharge of substances into, the environment.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Environmental Permits</w:t>
      </w:r>
      <w:r>
        <w:rPr>
          <w:rFonts w:ascii="Aptos" w:hAnsi="Aptos"/>
          <w:sz w:val="22"/>
        </w:rPr>
        <w:t xml:space="preserve">” </w:t>
      </w:r>
      <w:r>
        <w:rPr>
          <w:rFonts w:ascii="Times New Roman;Times;serif" w:hAnsi="Times New Roman;Times;serif"/>
          <w:sz w:val="22"/>
        </w:rPr>
        <w:t>means all permits, licenses, authorizations, certificates, approvals or registrations required by any Governmental Authority under any Environmental Laws.</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Equity Issuance</w:t>
      </w:r>
      <w:r>
        <w:rPr>
          <w:rFonts w:ascii="Aptos" w:hAnsi="Aptos"/>
          <w:sz w:val="22"/>
        </w:rPr>
        <w:t xml:space="preserve">” </w:t>
      </w:r>
      <w:r>
        <w:rPr>
          <w:rFonts w:ascii="Times New Roman;Times;serif" w:hAnsi="Times New Roman;Times;serif"/>
          <w:sz w:val="22"/>
        </w:rPr>
        <w:t>means (a) any issuance by the US Borrower</w:t>
      </w:r>
      <w:r>
        <w:rPr>
          <w:rFonts w:ascii="Aptos" w:hAnsi="Aptos"/>
          <w:sz w:val="22"/>
        </w:rPr>
        <w:t xml:space="preserve"> </w:t>
      </w:r>
      <w:r>
        <w:rPr>
          <w:rFonts w:ascii="Times New Roman;Times;serif" w:hAnsi="Times New Roman;Times;serif"/>
          <w:sz w:val="22"/>
        </w:rPr>
        <w:t>of shares of its equity interests to any Person that is not a Credit Party (including in connection with the exercise of options or warrants or the conversion of any debt securities to equity) and (b) any capital contribution from any Person that is not a Credit Party into any Credit Party or any Subsidiary thereof (other than by one Subsidiary that is not a Credit Party into another Subsidiary that is not a Credit Party).</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ERISA</w:t>
      </w:r>
      <w:r>
        <w:rPr>
          <w:rFonts w:ascii="Aptos" w:hAnsi="Aptos"/>
          <w:sz w:val="22"/>
        </w:rPr>
        <w:t xml:space="preserve">” </w:t>
      </w:r>
      <w:r>
        <w:rPr>
          <w:rFonts w:ascii="Times New Roman;Times;serif" w:hAnsi="Times New Roman;Times;serif"/>
          <w:sz w:val="22"/>
        </w:rPr>
        <w:t>means the Employee Retirement Income Security Act of 1974, as amended from time to time, and the regulations promulgated pursuant thereto.</w:t>
      </w:r>
    </w:p>
    <w:p>
      <w:pPr>
        <w:pStyle w:val="TextBody"/>
        <w:bidi w:val="0"/>
        <w:spacing w:lineRule="auto" w:line="285" w:before="0" w:after="0"/>
        <w:ind w:left="0" w:right="0" w:firstLine="720"/>
        <w:jc w:val="both"/>
        <w:rPr/>
      </w:pPr>
      <w:r>
        <w:rPr/>
        <w:t>“</w:t>
      </w:r>
      <w:r>
        <w:rPr>
          <w:rFonts w:ascii="Times New Roman;Times;serif" w:hAnsi="Times New Roman;Times;serif"/>
          <w:sz w:val="22"/>
          <w:u w:val="single"/>
        </w:rPr>
        <w:t>ERISA Event</w:t>
      </w:r>
      <w:r>
        <w:rPr>
          <w:rFonts w:ascii="Aptos" w:hAnsi="Aptos"/>
          <w:sz w:val="22"/>
        </w:rPr>
        <w:t xml:space="preserve">” </w:t>
      </w:r>
      <w:r>
        <w:rPr>
          <w:rFonts w:ascii="Times New Roman;Times;serif" w:hAnsi="Times New Roman;Times;serif"/>
          <w:sz w:val="22"/>
        </w:rPr>
        <w:t xml:space="preserve">means (a) the existence of a condition or event with respect to an ERISA Plan that is reasonably likely to result in the imposition of a material excise tax or any other material liability on a Company or of the imposition of a Lien on the assets of a Company; (b) the engagement by a Controlled Group member in a non-exempt “prohibited transaction” (as defined under ERISA Section 406 or Code Section 4975) or a breach of a fiduciary duty under ERISA that is reasonably likely to result in a material liability to a Company; (c) the application by a Controlled Group member for a waiver from the minimum funding requirements of Code Section 412 or ERISA Section 302 or a Controlled Group member is required to provide security under Code Section 401(a)(29) or Code Section 436; (d) the occurrence of a Reportable Event with respect to any Pension Plan that is reasonably likely to result in a material liability to a Company; (e) the withdrawal by a Controlled Group member from a Multiemployer Plan in a “complete withdrawal” or a “partial withdrawal” (as such terms are defined in ERISA Sections 4203 and 4205, respectively) or the withdrawal of any Controlled Group member from any Pension Plan subject to ERISA Section 4063 during a plan year in which such entity was a “substantial employer” as defined in ERISA Section 4001(a)(2) or a cessation of operations that is treated as such a withdrawal under ERISA Section 4062(e), which is reasonably likely to result in a material liability to a Company; (f) the failure of an ERISA Plan (and any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20</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Aptos" w:hAnsi="Aptos"/>
          <w:sz w:val="22"/>
        </w:rPr>
      </w:pPr>
      <w:r>
        <w:rPr>
          <w:rFonts w:ascii="Times New Roman;Times;serif" w:hAnsi="Times New Roman;Times;serif"/>
          <w:sz w:val="22"/>
        </w:rPr>
        <w:t xml:space="preserve">related trust) that is intended to be qualified under Code Sections 401 and 501 to be so qualified or the failure of any “cash or deferred arrangement” under any such ERISA Plan to meet the requirements of Code Section 401(k); (g) the taking by the PBGC of any steps to terminate a Pension Plan or Multiemployer Plan or appoint a trustee to administer a Pension Plan or Multiemployer Plan, or the taking by a Controlled Group member of any steps to terminate a Pension Plan in a distress termination under ERISA Section 4041(c) or a Multiemployer Plan under ERISA Section 4041A; (h) the failure by a Controlled Group member or an ERISA Plan to satisfy any requirements of law applicable to an ERISA Plan which is reasonably likely to result in a material liability to a Company; (i) the commencement, existence or threatening of a claim, action, suit, audit or investigation with respect to an ERISA Plan (other than a routine claim for benefits) which is reasonably likely to result in a liability to a Company; (j) any incurrence by or any expectation of the incurrence by a Controlled Group member of a material increase in the liability for post-retirement benefits under any Welfare Plan, other than as required by ERISA Section 601, </w:t>
      </w:r>
      <w:r>
        <w:rPr>
          <w:rFonts w:ascii="Times New Roman;Times;serif" w:hAnsi="Times New Roman;Times;serif"/>
          <w:sz w:val="22"/>
          <w:u w:val="single"/>
        </w:rPr>
        <w:t>et</w:t>
      </w:r>
      <w:r>
        <w:rPr>
          <w:rFonts w:ascii="Aptos" w:hAnsi="Aptos"/>
          <w:sz w:val="22"/>
        </w:rPr>
        <w:t xml:space="preserve"> </w:t>
      </w:r>
      <w:r>
        <w:rPr>
          <w:rFonts w:ascii="Times New Roman;Times;serif" w:hAnsi="Times New Roman;Times;serif"/>
          <w:sz w:val="22"/>
          <w:u w:val="single"/>
        </w:rPr>
        <w:t>seq</w:t>
      </w:r>
      <w:r>
        <w:rPr>
          <w:rFonts w:ascii="Times New Roman;Times;serif" w:hAnsi="Times New Roman;Times;serif"/>
          <w:sz w:val="22"/>
        </w:rPr>
        <w:t>. or Code Section 4980B; (k) the determination that any Pension Plan or Multiemployer Plan is considered an at-risk plan or a plan in endangered or critical status within the meaning of Code Sections 430, 431 and 432 or ERISA Sections 303, 304 and 305; or (l) a Reportable Event with respect to a Pension Plan or a Multiemployer Plan.</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ERISA Plan</w:t>
      </w:r>
      <w:r>
        <w:rPr>
          <w:rFonts w:ascii="Aptos" w:hAnsi="Aptos"/>
          <w:sz w:val="22"/>
        </w:rPr>
        <w:t xml:space="preserve">” </w:t>
      </w:r>
      <w:r>
        <w:rPr>
          <w:rFonts w:ascii="Times New Roman;Times;serif" w:hAnsi="Times New Roman;Times;serif"/>
          <w:sz w:val="22"/>
        </w:rPr>
        <w:t>means an “employee benefit plan” (within the meaning of ERISA Section 3(3)) that a Controlled Group member at any time sponsors or sponsored, maintains or maintained, contributes to or contributed to, has liability contingent or otherwise with respect to or has an obligation to contribute to such plan, and which is not excluded from the coverage of ERISA pursuant to Section 4(b)(4) of ERISA.</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EU Bail-In Legislation Schedule</w:t>
      </w:r>
      <w:r>
        <w:rPr>
          <w:rFonts w:ascii="Aptos" w:hAnsi="Aptos"/>
          <w:sz w:val="22"/>
        </w:rPr>
        <w:t xml:space="preserve">” </w:t>
      </w:r>
      <w:r>
        <w:rPr>
          <w:rFonts w:ascii="Times New Roman;Times;serif" w:hAnsi="Times New Roman;Times;serif"/>
          <w:sz w:val="22"/>
        </w:rPr>
        <w:t>means the EU Bail-In Legislation Schedule published by the Loan Market Association (or any successor person), as in effect from time to time.</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EURIBOR</w:t>
      </w:r>
      <w:r>
        <w:rPr>
          <w:rFonts w:ascii="Aptos" w:hAnsi="Aptos"/>
          <w:sz w:val="22"/>
        </w:rPr>
        <w:t xml:space="preserve">” </w:t>
      </w:r>
      <w:r>
        <w:rPr>
          <w:rFonts w:ascii="Times New Roman;Times;serif" w:hAnsi="Times New Roman;Times;serif"/>
          <w:sz w:val="22"/>
        </w:rPr>
        <w:t>has the meaning assigned thereto in the definition of “Eurodollar Rate”.</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EURIBOR Rate</w:t>
      </w:r>
      <w:r>
        <w:rPr>
          <w:rFonts w:ascii="Aptos" w:hAnsi="Aptos"/>
          <w:sz w:val="22"/>
        </w:rPr>
        <w:t xml:space="preserve">” </w:t>
      </w:r>
      <w:r>
        <w:rPr>
          <w:rFonts w:ascii="Times New Roman;Times;serif" w:hAnsi="Times New Roman;Times;serif"/>
          <w:sz w:val="22"/>
        </w:rPr>
        <w:t>has the meaning assigned thereto in the definition of “Eurodollar Rate”.</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Euro</w:t>
      </w:r>
      <w:r>
        <w:rPr>
          <w:rFonts w:ascii="Aptos" w:hAnsi="Aptos"/>
          <w:sz w:val="22"/>
        </w:rPr>
        <w:t xml:space="preserve">” </w:t>
      </w:r>
      <w:r>
        <w:rPr>
          <w:rFonts w:ascii="Times New Roman;Times;serif" w:hAnsi="Times New Roman;Times;serif"/>
          <w:sz w:val="22"/>
        </w:rPr>
        <w:t>and “</w:t>
      </w:r>
      <w:r>
        <w:rPr>
          <w:rFonts w:ascii="Aptos" w:hAnsi="Aptos"/>
          <w:sz w:val="22"/>
          <w:u w:val="single"/>
        </w:rPr>
        <w:t>€</w:t>
      </w:r>
      <w:r>
        <w:rPr>
          <w:rFonts w:ascii="Aptos" w:hAnsi="Aptos"/>
          <w:sz w:val="22"/>
        </w:rPr>
        <w:t xml:space="preserve">” </w:t>
      </w:r>
      <w:r>
        <w:rPr>
          <w:rFonts w:ascii="Times New Roman;Times;serif" w:hAnsi="Times New Roman;Times;serif"/>
          <w:sz w:val="22"/>
        </w:rPr>
        <w:t>mean the single currency of the Participating Member States introduced in accordance with the EMU Legislation.</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Eurodollar Banking Day</w:t>
      </w:r>
      <w:r>
        <w:rPr>
          <w:rFonts w:ascii="Aptos" w:hAnsi="Aptos"/>
          <w:sz w:val="22"/>
        </w:rPr>
        <w:t xml:space="preserve">” </w:t>
      </w:r>
      <w:r>
        <w:rPr>
          <w:rFonts w:ascii="Times New Roman;Times;serif" w:hAnsi="Times New Roman;Times;serif"/>
          <w:sz w:val="22"/>
        </w:rPr>
        <w:t xml:space="preserve">means, (i) for Obligations, interest, fees, commissions or other amounts denominated in, or calculated with respect to, Dollars, any day (other than a Saturday or Sunday) on which bank are open for business in London, (ii) for Obligations, interest, fees, commissions or other amounts denominated in, or calculated with respect to, Euros, a TARGET Day and (iii) for Obligations, interest, fees, commissions or other amounts denominated in, or calculated with respect to, Yen, any day (other than a Saturday or Sunday) on which banks are open for business in Japan; </w:t>
      </w:r>
      <w:r>
        <w:rPr>
          <w:rFonts w:ascii="Times New Roman;Times;serif" w:hAnsi="Times New Roman;Times;serif"/>
          <w:sz w:val="22"/>
          <w:u w:val="single"/>
        </w:rPr>
        <w:t>provided</w:t>
      </w:r>
      <w:r>
        <w:rPr>
          <w:rFonts w:ascii="Times New Roman;Times;serif" w:hAnsi="Times New Roman;Times;serif"/>
          <w:sz w:val="22"/>
        </w:rPr>
        <w:t xml:space="preserve">, that for purposes of notice requirements in </w:t>
      </w:r>
      <w:r>
        <w:rPr>
          <w:rFonts w:ascii="Times New Roman;Times;serif" w:hAnsi="Times New Roman;Times;serif"/>
          <w:sz w:val="22"/>
          <w:u w:val="single"/>
        </w:rPr>
        <w:t>Sections 2.5(a)</w:t>
      </w:r>
      <w:r>
        <w:rPr>
          <w:rFonts w:ascii="Times New Roman;Times;serif" w:hAnsi="Times New Roman;Times;serif"/>
          <w:sz w:val="22"/>
        </w:rPr>
        <w:t xml:space="preserve">, </w:t>
      </w:r>
      <w:r>
        <w:rPr>
          <w:rFonts w:ascii="Times New Roman;Times;serif" w:hAnsi="Times New Roman;Times;serif"/>
          <w:sz w:val="22"/>
          <w:u w:val="single"/>
        </w:rPr>
        <w:t>2.5(c)</w:t>
      </w:r>
      <w:r>
        <w:rPr>
          <w:rFonts w:ascii="Aptos" w:hAnsi="Aptos"/>
          <w:sz w:val="22"/>
        </w:rPr>
        <w:t xml:space="preserve"> </w:t>
      </w:r>
      <w:r>
        <w:rPr>
          <w:rFonts w:ascii="Times New Roman;Times;serif" w:hAnsi="Times New Roman;Times;serif"/>
          <w:sz w:val="22"/>
        </w:rPr>
        <w:t xml:space="preserve">and </w:t>
      </w:r>
      <w:r>
        <w:rPr>
          <w:rFonts w:ascii="Times New Roman;Times;serif" w:hAnsi="Times New Roman;Times;serif"/>
          <w:sz w:val="22"/>
          <w:u w:val="single"/>
        </w:rPr>
        <w:t>2.7(a)</w:t>
      </w:r>
      <w:r>
        <w:rPr>
          <w:rFonts w:ascii="Times New Roman;Times;serif" w:hAnsi="Times New Roman;Times;serif"/>
          <w:sz w:val="22"/>
        </w:rPr>
        <w:t>, in each case, such day is also a Business Day.</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Eurodollar</w:t>
      </w:r>
      <w:r>
        <w:rPr>
          <w:rFonts w:ascii="Aptos" w:hAnsi="Aptos"/>
          <w:sz w:val="22"/>
        </w:rPr>
        <w:t xml:space="preserve">” </w:t>
      </w:r>
      <w:r>
        <w:rPr>
          <w:rFonts w:ascii="Times New Roman;Times;serif" w:hAnsi="Times New Roman;Times;serif"/>
          <w:sz w:val="22"/>
        </w:rPr>
        <w:t>means a Dollar denominated deposit in a bank or branch outside of the United States.</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Eurodollar Fixed Rate Loan</w:t>
      </w:r>
      <w:r>
        <w:rPr>
          <w:rFonts w:ascii="Aptos" w:hAnsi="Aptos"/>
          <w:sz w:val="22"/>
        </w:rPr>
        <w:t xml:space="preserve">” </w:t>
      </w:r>
      <w:r>
        <w:rPr>
          <w:rFonts w:ascii="Times New Roman;Times;serif" w:hAnsi="Times New Roman;Times;serif"/>
          <w:sz w:val="22"/>
        </w:rPr>
        <w:t xml:space="preserve">means an Alternate Currency Loan. </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Eurodollar Rate</w:t>
      </w:r>
      <w:r>
        <w:rPr>
          <w:rFonts w:ascii="Aptos" w:hAnsi="Aptos"/>
          <w:sz w:val="22"/>
        </w:rPr>
        <w:t xml:space="preserve">” </w:t>
      </w:r>
      <w:r>
        <w:rPr>
          <w:rFonts w:ascii="Times New Roman;Times;serif" w:hAnsi="Times New Roman;Times;serif"/>
          <w:sz w:val="22"/>
        </w:rPr>
        <w:t>means,</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(a)for any Eurodollar Fixed Rate Loan for any Interest Period:</w:t>
      </w:r>
    </w:p>
    <w:p>
      <w:pPr>
        <w:pStyle w:val="TextBody"/>
        <w:bidi w:val="0"/>
        <w:spacing w:lineRule="auto" w:line="285" w:before="0" w:after="240"/>
        <w:ind w:left="720" w:right="0" w:hanging="0"/>
        <w:jc w:val="both"/>
        <w:rPr>
          <w:rFonts w:ascii="Times New Roman;Times;serif" w:hAnsi="Times New Roman;Times;serif"/>
          <w:sz w:val="22"/>
        </w:rPr>
      </w:pPr>
      <w:r>
        <w:rPr>
          <w:rFonts w:ascii="Times New Roman;Times;serif" w:hAnsi="Times New Roman;Times;serif"/>
          <w:sz w:val="22"/>
        </w:rPr>
        <w:t>(i)[intentionally omitted];</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21</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720" w:right="0" w:hanging="0"/>
        <w:jc w:val="both"/>
        <w:rPr>
          <w:rFonts w:ascii="Aptos" w:hAnsi="Aptos"/>
          <w:sz w:val="24"/>
        </w:rPr>
      </w:pPr>
      <w:r>
        <w:rPr>
          <w:rFonts w:ascii="Times New Roman;Times;serif" w:hAnsi="Times New Roman;Times;serif"/>
          <w:sz w:val="22"/>
        </w:rPr>
        <w:t>(ii)denominated in Euros, the greater of (A) the rate of interest per annum equal to the Euro Interbank Offered Rate (“</w:t>
      </w:r>
      <w:r>
        <w:rPr>
          <w:rFonts w:ascii="Times New Roman;Times;serif" w:hAnsi="Times New Roman;Times;serif"/>
          <w:sz w:val="22"/>
          <w:u w:val="single"/>
        </w:rPr>
        <w:t>EURIBOR</w:t>
      </w:r>
      <w:r>
        <w:rPr>
          <w:rFonts w:ascii="Aptos" w:hAnsi="Aptos"/>
          <w:sz w:val="24"/>
        </w:rPr>
        <w:t>”</w:t>
      </w:r>
      <w:r>
        <w:rPr>
          <w:rFonts w:ascii="Times New Roman;Times;serif" w:hAnsi="Times New Roman;Times;serif"/>
          <w:sz w:val="22"/>
        </w:rPr>
        <w:t>) as administered by the European Money Markets Institute, or a comparable or successor administrator approved by the Agent (in each case, the “</w:t>
      </w:r>
      <w:r>
        <w:rPr>
          <w:rFonts w:ascii="Times New Roman;Times;serif" w:hAnsi="Times New Roman;Times;serif"/>
          <w:sz w:val="22"/>
          <w:u w:val="single"/>
        </w:rPr>
        <w:t>EURIBOR Rate</w:t>
      </w:r>
      <w:r>
        <w:rPr>
          <w:rFonts w:ascii="Aptos" w:hAnsi="Aptos"/>
          <w:sz w:val="24"/>
        </w:rPr>
        <w:t>”</w:t>
      </w:r>
      <w:r>
        <w:rPr>
          <w:rFonts w:ascii="Times New Roman;Times;serif" w:hAnsi="Times New Roman;Times;serif"/>
          <w:sz w:val="22"/>
        </w:rPr>
        <w:t>),</w:t>
      </w:r>
      <w:r>
        <w:rPr>
          <w:rFonts w:ascii="Aptos" w:hAnsi="Aptos"/>
          <w:sz w:val="24"/>
        </w:rPr>
        <w:t xml:space="preserve"> </w:t>
      </w:r>
      <w:r>
        <w:rPr>
          <w:rFonts w:ascii="Times New Roman;Times;serif" w:hAnsi="Times New Roman;Times;serif"/>
          <w:sz w:val="22"/>
        </w:rPr>
        <w:t>at approximately 11:00 a.m. (Brussels time) on the Rate Determination Date</w:t>
      </w:r>
      <w:r>
        <w:rPr>
          <w:rFonts w:ascii="Aptos" w:hAnsi="Aptos"/>
          <w:sz w:val="24"/>
        </w:rPr>
        <w:t xml:space="preserve"> </w:t>
      </w:r>
      <w:r>
        <w:rPr>
          <w:rFonts w:ascii="Times New Roman;Times;serif" w:hAnsi="Times New Roman;Times;serif"/>
          <w:sz w:val="22"/>
        </w:rPr>
        <w:t>and (B) the Floor; and</w:t>
      </w:r>
    </w:p>
    <w:p>
      <w:pPr>
        <w:pStyle w:val="TextBody"/>
        <w:bidi w:val="0"/>
        <w:spacing w:lineRule="auto" w:line="285" w:before="0" w:after="240"/>
        <w:ind w:left="720" w:right="0" w:hanging="0"/>
        <w:jc w:val="both"/>
        <w:rPr>
          <w:rFonts w:ascii="Aptos" w:hAnsi="Aptos"/>
          <w:sz w:val="24"/>
        </w:rPr>
      </w:pPr>
      <w:r>
        <w:rPr>
          <w:rFonts w:ascii="Times New Roman;Times;serif" w:hAnsi="Times New Roman;Times;serif"/>
          <w:sz w:val="22"/>
        </w:rPr>
        <w:t>(iii)denominated in Yen, the greater of (A) the rate per annum equal to the Tokyo Interbank Offered Rate (“</w:t>
      </w:r>
      <w:r>
        <w:rPr>
          <w:rFonts w:ascii="Times New Roman;Times;serif" w:hAnsi="Times New Roman;Times;serif"/>
          <w:sz w:val="22"/>
          <w:u w:val="single"/>
        </w:rPr>
        <w:t>TIBOR</w:t>
      </w:r>
      <w:r>
        <w:rPr>
          <w:rFonts w:ascii="Aptos" w:hAnsi="Aptos"/>
          <w:sz w:val="24"/>
        </w:rPr>
        <w:t>”</w:t>
      </w:r>
      <w:r>
        <w:rPr>
          <w:rFonts w:ascii="Times New Roman;Times;serif" w:hAnsi="Times New Roman;Times;serif"/>
          <w:sz w:val="22"/>
        </w:rPr>
        <w:t>) as administered by the Ippan Shadan Hojin JBA TIBOR Administration, or a comparable or successor administrator approved by the Agent (in each case, the “</w:t>
      </w:r>
      <w:r>
        <w:rPr>
          <w:rFonts w:ascii="Times New Roman;Times;serif" w:hAnsi="Times New Roman;Times;serif"/>
          <w:sz w:val="22"/>
          <w:u w:val="single"/>
        </w:rPr>
        <w:t>TIBOR Rate</w:t>
      </w:r>
      <w:r>
        <w:rPr>
          <w:rFonts w:ascii="Aptos" w:hAnsi="Aptos"/>
          <w:sz w:val="24"/>
        </w:rPr>
        <w:t>”</w:t>
      </w:r>
      <w:r>
        <w:rPr>
          <w:rFonts w:ascii="Times New Roman;Times;serif" w:hAnsi="Times New Roman;Times;serif"/>
          <w:sz w:val="22"/>
        </w:rPr>
        <w:t>), at approximately 11:00 a.m. (Tokyo time) on the Rate Determination Date</w:t>
      </w:r>
      <w:r>
        <w:rPr>
          <w:rFonts w:ascii="Aptos" w:hAnsi="Aptos"/>
          <w:sz w:val="24"/>
        </w:rPr>
        <w:t xml:space="preserve"> </w:t>
      </w:r>
      <w:r>
        <w:rPr>
          <w:rFonts w:ascii="Times New Roman;Times;serif" w:hAnsi="Times New Roman;Times;serif"/>
          <w:sz w:val="22"/>
        </w:rPr>
        <w:t>and (B) the Floor;</w:t>
      </w:r>
    </w:p>
    <w:p>
      <w:pPr>
        <w:pStyle w:val="TextBody"/>
        <w:bidi w:val="0"/>
        <w:spacing w:lineRule="auto" w:line="285" w:before="0" w:after="240"/>
        <w:ind w:left="720" w:right="0" w:hanging="0"/>
        <w:jc w:val="both"/>
        <w:rPr>
          <w:rFonts w:ascii="Aptos" w:hAnsi="Aptos"/>
          <w:sz w:val="24"/>
        </w:rPr>
      </w:pPr>
      <w:r>
        <w:rPr>
          <w:rFonts w:ascii="Times New Roman;Times;serif" w:hAnsi="Times New Roman;Times;serif"/>
          <w:sz w:val="22"/>
        </w:rPr>
        <w:t>(iv)denominated in Canadian Dollars, the greater of (A) the rate of interest per annum equal to the CDOR Rate</w:t>
      </w:r>
      <w:r>
        <w:rPr>
          <w:rFonts w:ascii="Aptos" w:hAnsi="Aptos"/>
          <w:sz w:val="24"/>
        </w:rPr>
        <w:t xml:space="preserve"> </w:t>
      </w:r>
      <w:r>
        <w:rPr>
          <w:rFonts w:ascii="Times New Roman;Times;serif" w:hAnsi="Times New Roman;Times;serif"/>
          <w:sz w:val="22"/>
        </w:rPr>
        <w:t>and (B) the Floor;</w:t>
      </w:r>
    </w:p>
    <w:p>
      <w:pPr>
        <w:pStyle w:val="TextBody"/>
        <w:bidi w:val="0"/>
        <w:spacing w:lineRule="auto" w:line="285" w:before="0" w:after="240"/>
        <w:ind w:left="720" w:right="0" w:hanging="0"/>
        <w:jc w:val="both"/>
        <w:rPr>
          <w:rFonts w:ascii="Aptos" w:hAnsi="Aptos"/>
          <w:sz w:val="24"/>
        </w:rPr>
      </w:pPr>
      <w:r>
        <w:rPr>
          <w:rFonts w:ascii="Times New Roman;Times;serif" w:hAnsi="Times New Roman;Times;serif"/>
          <w:sz w:val="22"/>
        </w:rPr>
        <w:t>(v)denominated in Australian Dollars, the greater of (A) the rate of interest per annum equal to the</w:t>
      </w:r>
      <w:r>
        <w:rPr>
          <w:rFonts w:ascii="Aptos" w:hAnsi="Aptos"/>
          <w:sz w:val="24"/>
        </w:rPr>
        <w:t xml:space="preserve"> </w:t>
      </w:r>
      <w:r>
        <w:rPr>
          <w:rFonts w:ascii="Times New Roman;Times;serif" w:hAnsi="Times New Roman;Times;serif"/>
          <w:sz w:val="22"/>
        </w:rPr>
        <w:t>Bank Bill Swap Reference Bid Rate (“</w:t>
      </w:r>
      <w:r>
        <w:rPr>
          <w:rFonts w:ascii="Times New Roman;Times;serif" w:hAnsi="Times New Roman;Times;serif"/>
          <w:sz w:val="22"/>
          <w:u w:val="single"/>
        </w:rPr>
        <w:t>BBSY</w:t>
      </w:r>
      <w:r>
        <w:rPr>
          <w:rFonts w:ascii="Aptos" w:hAnsi="Aptos"/>
          <w:sz w:val="24"/>
        </w:rPr>
        <w:t>”</w:t>
      </w:r>
      <w:r>
        <w:rPr>
          <w:rFonts w:ascii="Times New Roman;Times;serif" w:hAnsi="Times New Roman;Times;serif"/>
          <w:sz w:val="22"/>
        </w:rPr>
        <w:t>),</w:t>
      </w:r>
      <w:r>
        <w:rPr>
          <w:rFonts w:ascii="Aptos" w:hAnsi="Aptos"/>
          <w:sz w:val="24"/>
        </w:rPr>
        <w:t xml:space="preserve"> </w:t>
      </w:r>
      <w:r>
        <w:rPr>
          <w:rFonts w:ascii="Times New Roman;Times;serif" w:hAnsi="Times New Roman;Times;serif"/>
          <w:sz w:val="22"/>
        </w:rPr>
        <w:t>or a comparable or successor rate which rate is approved by the Agent (in each case, the “</w:t>
      </w:r>
      <w:r>
        <w:rPr>
          <w:rFonts w:ascii="Times New Roman;Times;serif" w:hAnsi="Times New Roman;Times;serif"/>
          <w:sz w:val="22"/>
          <w:u w:val="single"/>
        </w:rPr>
        <w:t>BBSY Rate</w:t>
      </w:r>
      <w:r>
        <w:rPr>
          <w:rFonts w:ascii="Aptos" w:hAnsi="Aptos"/>
          <w:sz w:val="24"/>
        </w:rPr>
        <w:t>”</w:t>
      </w:r>
      <w:r>
        <w:rPr>
          <w:rFonts w:ascii="Times New Roman;Times;serif" w:hAnsi="Times New Roman;Times;serif"/>
          <w:sz w:val="22"/>
        </w:rPr>
        <w:t>), as published on the applicable Reuters screen page (or such other commercially available source providing such quotations as may be designated by the Agent from time to time) at approximately 10:30 a.m. (Melbourne, Australia time) on the Rate Determination Date</w:t>
      </w:r>
      <w:r>
        <w:rPr>
          <w:rFonts w:ascii="Aptos" w:hAnsi="Aptos"/>
          <w:sz w:val="24"/>
        </w:rPr>
        <w:t xml:space="preserve"> </w:t>
      </w:r>
      <w:r>
        <w:rPr>
          <w:rFonts w:ascii="Times New Roman;Times;serif" w:hAnsi="Times New Roman;Times;serif"/>
          <w:sz w:val="22"/>
        </w:rPr>
        <w:t>and (B) the Floor;</w:t>
      </w:r>
    </w:p>
    <w:p>
      <w:pPr>
        <w:pStyle w:val="TextBody"/>
        <w:bidi w:val="0"/>
        <w:spacing w:lineRule="auto" w:line="285" w:before="0" w:after="240"/>
        <w:ind w:left="720" w:right="0" w:hanging="0"/>
        <w:jc w:val="both"/>
        <w:rPr>
          <w:rFonts w:ascii="Aptos" w:hAnsi="Aptos"/>
          <w:sz w:val="24"/>
        </w:rPr>
      </w:pPr>
      <w:r>
        <w:rPr>
          <w:rFonts w:ascii="Times New Roman;Times;serif" w:hAnsi="Times New Roman;Times;serif"/>
          <w:sz w:val="22"/>
        </w:rPr>
        <w:t>(vi)denominated in New Zealand Dollars, the greater of (A) the rate of interest per annum equal to the</w:t>
      </w:r>
      <w:r>
        <w:rPr>
          <w:rFonts w:ascii="Aptos" w:hAnsi="Aptos"/>
          <w:sz w:val="24"/>
        </w:rPr>
        <w:t xml:space="preserve"> </w:t>
      </w:r>
      <w:r>
        <w:rPr>
          <w:rFonts w:ascii="Times New Roman;Times;serif" w:hAnsi="Times New Roman;Times;serif"/>
          <w:sz w:val="22"/>
        </w:rPr>
        <w:t>Bank Bill Reference Bid Rate (“</w:t>
      </w:r>
      <w:r>
        <w:rPr>
          <w:rFonts w:ascii="Times New Roman;Times;serif" w:hAnsi="Times New Roman;Times;serif"/>
          <w:sz w:val="22"/>
          <w:u w:val="single"/>
        </w:rPr>
        <w:t>BKBM</w:t>
      </w:r>
      <w:r>
        <w:rPr>
          <w:rFonts w:ascii="Aptos" w:hAnsi="Aptos"/>
          <w:sz w:val="24"/>
        </w:rPr>
        <w:t>”</w:t>
      </w:r>
      <w:r>
        <w:rPr>
          <w:rFonts w:ascii="Times New Roman;Times;serif" w:hAnsi="Times New Roman;Times;serif"/>
          <w:sz w:val="22"/>
        </w:rPr>
        <w:t>),</w:t>
      </w:r>
      <w:r>
        <w:rPr>
          <w:rFonts w:ascii="Aptos" w:hAnsi="Aptos"/>
          <w:sz w:val="24"/>
        </w:rPr>
        <w:t xml:space="preserve"> </w:t>
      </w:r>
      <w:r>
        <w:rPr>
          <w:rFonts w:ascii="Times New Roman;Times;serif" w:hAnsi="Times New Roman;Times;serif"/>
          <w:sz w:val="22"/>
        </w:rPr>
        <w:t>or a comparable or successor rate which rate is approved by the Agent (in each case, the “</w:t>
      </w:r>
      <w:r>
        <w:rPr>
          <w:rFonts w:ascii="Times New Roman;Times;serif" w:hAnsi="Times New Roman;Times;serif"/>
          <w:sz w:val="22"/>
          <w:u w:val="single"/>
        </w:rPr>
        <w:t>BKBM Rate</w:t>
      </w:r>
      <w:r>
        <w:rPr>
          <w:rFonts w:ascii="Aptos" w:hAnsi="Aptos"/>
          <w:sz w:val="24"/>
        </w:rPr>
        <w:t>”</w:t>
      </w:r>
      <w:r>
        <w:rPr>
          <w:rFonts w:ascii="Times New Roman;Times;serif" w:hAnsi="Times New Roman;Times;serif"/>
          <w:sz w:val="22"/>
        </w:rPr>
        <w:t>), as published on the applicable Reuters screen page (or such other commercially available source providing such quotations as may be designated by the Agent from time to time) at approximately 10:45 a.m. (Auckland, New Zealand time) on the Rate Determination Date</w:t>
      </w:r>
      <w:r>
        <w:rPr>
          <w:rFonts w:ascii="Aptos" w:hAnsi="Aptos"/>
          <w:sz w:val="24"/>
        </w:rPr>
        <w:t xml:space="preserve"> </w:t>
      </w:r>
      <w:r>
        <w:rPr>
          <w:rFonts w:ascii="Times New Roman;Times;serif" w:hAnsi="Times New Roman;Times;serif"/>
          <w:sz w:val="22"/>
        </w:rPr>
        <w:t>and (B) the Floor; and</w:t>
      </w:r>
    </w:p>
    <w:p>
      <w:pPr>
        <w:pStyle w:val="TextBody"/>
        <w:bidi w:val="0"/>
        <w:spacing w:lineRule="auto" w:line="285" w:before="0" w:after="0"/>
        <w:ind w:left="720" w:right="0" w:hanging="0"/>
        <w:jc w:val="both"/>
        <w:rPr>
          <w:rFonts w:ascii="Aptos" w:hAnsi="Aptos"/>
          <w:sz w:val="24"/>
        </w:rPr>
      </w:pPr>
      <w:r>
        <w:rPr>
          <w:rFonts w:ascii="Times New Roman;Times;serif" w:hAnsi="Times New Roman;Times;serif"/>
          <w:sz w:val="22"/>
        </w:rPr>
        <w:t xml:space="preserve">(vii)denominated in any other Currency (other than a Currency referenced in clauses (i) through (iii) above or Sterling), the rate designated with respect to such Currency at the time such currency is approved by the Agent and the Lenders pursuant to </w:t>
      </w:r>
      <w:r>
        <w:rPr>
          <w:rFonts w:ascii="Times New Roman;Times;serif" w:hAnsi="Times New Roman;Times;serif"/>
          <w:sz w:val="22"/>
          <w:u w:val="single"/>
        </w:rPr>
        <w:t>Section 1.9</w:t>
      </w:r>
      <w:r>
        <w:rPr>
          <w:rFonts w:ascii="Times New Roman;Times;serif" w:hAnsi="Times New Roman;Times;serif"/>
          <w:sz w:val="22"/>
        </w:rPr>
        <w:t>.</w:t>
      </w:r>
    </w:p>
    <w:p>
      <w:pPr>
        <w:pStyle w:val="TextBody"/>
        <w:bidi w:val="0"/>
        <w:spacing w:lineRule="auto" w:line="285"/>
        <w:ind w:left="0" w:right="0" w:hanging="0"/>
        <w:jc w:val="both"/>
        <w:rPr>
          <w:rFonts w:ascii="Times New Roman;Times;serif" w:hAnsi="Times New Roman;Times;serif"/>
          <w:sz w:val="22"/>
        </w:rPr>
      </w:pPr>
      <w:r>
        <w:rPr>
          <w:rFonts w:ascii="Times New Roman;Times;serif" w:hAnsi="Times New Roman;Times;serif"/>
          <w:sz w:val="22"/>
        </w:rPr>
        <w:t>(b)for any rate calculation with respect to a Base Rate Loan on any date, the rate of interest per annum determined on the basis of the rate for deposits in Dollars for a period of approximately one month as published by the IBA, or a comparable or successor quoting service approved by the Agent, at approximately 11:00 a.m. (London time) two (2) Eurodollar Banking Days prior to the date of such calculation.</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Eurodollar Reserve Percentage</w:t>
      </w:r>
      <w:r>
        <w:rPr>
          <w:rFonts w:ascii="Aptos" w:hAnsi="Aptos"/>
          <w:sz w:val="22"/>
        </w:rPr>
        <w:t xml:space="preserve">” </w:t>
      </w:r>
      <w:r>
        <w:rPr>
          <w:rFonts w:ascii="Times New Roman;Times;serif" w:hAnsi="Times New Roman;Times;serif"/>
          <w:sz w:val="22"/>
        </w:rPr>
        <w:t>means, for any day, the percentage which is in effect for such day as prescribed by the FRB for determining the maximum reserve requirement (including any basic, supplemental or emergency reserves) in respect of eurocurrency liabilities or any similar category of liabilities for a member bank of the Federal Reserve System in New York City or any other reserve ratio or analogous requirement of any central banking or financial regulatory authority imposed in respect of the maintenance of the Commitments or the funding of the Loans.  The Adjusted Eurodollar Rate for each outstanding Loan shall be adjusted automatically as of the effective date of any change in the Eurodollar Reserve Percentage.</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Event of Default</w:t>
      </w:r>
      <w:r>
        <w:rPr>
          <w:rFonts w:ascii="Aptos" w:hAnsi="Aptos"/>
          <w:sz w:val="22"/>
        </w:rPr>
        <w:t xml:space="preserve">” </w:t>
      </w:r>
      <w:r>
        <w:rPr>
          <w:rFonts w:ascii="Times New Roman;Times;serif" w:hAnsi="Times New Roman;Times;serif"/>
          <w:sz w:val="22"/>
        </w:rPr>
        <w:t xml:space="preserve">means an event or condition that shall constitute an event of default as defined in </w:t>
      </w:r>
      <w:r>
        <w:rPr>
          <w:rFonts w:ascii="Times New Roman;Times;serif" w:hAnsi="Times New Roman;Times;serif"/>
          <w:sz w:val="22"/>
          <w:u w:val="single"/>
        </w:rPr>
        <w:t>Article VII</w:t>
      </w:r>
      <w:r>
        <w:rPr>
          <w:rFonts w:ascii="Aptos" w:hAnsi="Aptos"/>
          <w:sz w:val="22"/>
        </w:rPr>
        <w:t xml:space="preserve"> </w:t>
      </w:r>
      <w:r>
        <w:rPr>
          <w:rFonts w:ascii="Times New Roman;Times;serif" w:hAnsi="Times New Roman;Times;serif"/>
          <w:sz w:val="22"/>
        </w:rPr>
        <w:t>hereof.</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22</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Exchange Act</w:t>
      </w:r>
      <w:r>
        <w:rPr>
          <w:rFonts w:ascii="Aptos" w:hAnsi="Aptos"/>
          <w:sz w:val="22"/>
        </w:rPr>
        <w:t xml:space="preserve">” </w:t>
      </w:r>
      <w:r>
        <w:rPr>
          <w:rFonts w:ascii="Times New Roman;Times;serif" w:hAnsi="Times New Roman;Times;serif"/>
          <w:sz w:val="22"/>
        </w:rPr>
        <w:t>means the Securities Exchange Act of 1934, as amended.</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Excluded Assets</w:t>
      </w:r>
      <w:r>
        <w:rPr>
          <w:rFonts w:ascii="Aptos" w:hAnsi="Aptos"/>
          <w:sz w:val="22"/>
        </w:rPr>
        <w:t xml:space="preserve">” </w:t>
      </w:r>
      <w:r>
        <w:rPr>
          <w:rFonts w:ascii="Times New Roman;Times;serif" w:hAnsi="Times New Roman;Times;serif"/>
          <w:sz w:val="22"/>
        </w:rPr>
        <w:t xml:space="preserve">means (a) US Borrower’s headquarters at 9197 Peoria Street, Englewood, Colorado and any other fee-owned real property (other than real property (and any improvement thereon) with an individual fair market value of more than $10,000,000), (b) all leasehold interests in real property, (c) motor vehicles, airplanes and other assets subject to certificates of title, letter of credit rights (to the extent a security interest therein cannot be perfected by a U.C.C. Financing Statement) and commercial tort claims; (d) pledges and security interests in any asset prohibited (i) by applicable law, rule, regulation at any time or (ii) by a contractual obligation binding on the grantor at the time the asset subject to such contractual obligation was acquired (in each case, except to the extent such prohibition is unenforceable after giving effect to the applicable provisions of the U.C.C.) or which could require governmental (including regulatory) consent, approval, license or authorization to be pledged (unless such consent, approval, license or authorization has been received) (in each case, after giving effect to the applicable provisions of the U.C.C.); </w:t>
      </w:r>
      <w:r>
        <w:rPr>
          <w:rFonts w:ascii="Times New Roman;Times;serif" w:hAnsi="Times New Roman;Times;serif"/>
          <w:sz w:val="22"/>
          <w:u w:val="single"/>
        </w:rPr>
        <w:t>provided</w:t>
      </w:r>
      <w:r>
        <w:rPr>
          <w:rFonts w:ascii="Aptos" w:hAnsi="Aptos"/>
          <w:sz w:val="22"/>
        </w:rPr>
        <w:t xml:space="preserve"> </w:t>
      </w:r>
      <w:r>
        <w:rPr>
          <w:rFonts w:ascii="Times New Roman;Times;serif" w:hAnsi="Times New Roman;Times;serif"/>
          <w:sz w:val="22"/>
        </w:rPr>
        <w:t xml:space="preserve">that such exclusion shall not include any proceeds, products, substitutions or replacements of such asset, except to the extent that any such proceeds, products, substitutions or replacements would otherwise be excluded by this definition; (e) equity interests in Percepta LLC and in any other Person other than Wholly Owned Subsidiaries to the extent not permitted by the terms of any applicable organizational documents, joint venture agreement or shareholder agreement or similar contractual obligation (other than with US Borrower or any of its Wholly Owned Subsidiaries); (f) assets to the extent a security interest in such assets could reasonably be expected to result in a material adverse tax consequence as determined in good faith by the US Borrower; (g) any lease, license or other agreement to the extent that a grant of a security interest therein would violate or invalidate such lease, license or agreement or create a right of termination in favor of any other party thereto (other than the US Borrower or any of its Wholly Owned Subsidiaries) after giving effect to the applicable anti-assignment provisions of the U.C.C. or similar laws; </w:t>
      </w:r>
      <w:r>
        <w:rPr>
          <w:rFonts w:ascii="Times New Roman;Times;serif" w:hAnsi="Times New Roman;Times;serif"/>
          <w:sz w:val="22"/>
          <w:u w:val="single"/>
        </w:rPr>
        <w:t>provided</w:t>
      </w:r>
      <w:r>
        <w:rPr>
          <w:rFonts w:ascii="Aptos" w:hAnsi="Aptos"/>
          <w:sz w:val="22"/>
        </w:rPr>
        <w:t xml:space="preserve"> </w:t>
      </w:r>
      <w:r>
        <w:rPr>
          <w:rFonts w:ascii="Times New Roman;Times;serif" w:hAnsi="Times New Roman;Times;serif"/>
          <w:sz w:val="22"/>
        </w:rPr>
        <w:t>that such exclusion shall not include any proceeds, products, substitutions or replacements of such asset, except to the extent that any such proceeds, products, substitutions or replacements would otherwise be excluded by this definition; (h) those assets as to which Agent and the US Borrower reasonably agree that the cost or other consequence of obtaining such a security interest or perfection thereof are excessive in relation to the value afforded thereby; (i) any governmental licenses or state or local franchises, charters and authorizations, to the extent security interests in such licenses, franchises, charters or authorizations are prohibited or restricted thereby after giving effect to the applicable anti-assignment provisions of the U.C.C. or similar laws; (j) “</w:t>
      </w:r>
      <w:r>
        <w:rPr>
          <w:rFonts w:ascii="Times New Roman;Times;serif" w:hAnsi="Times New Roman;Times;serif"/>
          <w:i/>
          <w:sz w:val="22"/>
        </w:rPr>
        <w:t>intent-to-use</w:t>
      </w:r>
      <w:r>
        <w:rPr>
          <w:rFonts w:ascii="Aptos" w:hAnsi="Aptos"/>
          <w:sz w:val="22"/>
        </w:rPr>
        <w:t xml:space="preserve">” </w:t>
      </w:r>
      <w:r>
        <w:rPr>
          <w:rFonts w:ascii="Times New Roman;Times;serif" w:hAnsi="Times New Roman;Times;serif"/>
          <w:sz w:val="22"/>
        </w:rPr>
        <w:t xml:space="preserve">trademark applications prior to the filing of a statement of use; (k) any segregated accounts or segregated funds held or received on behalf of third parties (it being understood that third parties shall not include the US Borrower or any of its Subsidiaries); and (l) any equipment or other asset subject to Liens permitted under </w:t>
      </w:r>
      <w:r>
        <w:rPr>
          <w:rFonts w:ascii="Times New Roman;Times;serif" w:hAnsi="Times New Roman;Times;serif"/>
          <w:sz w:val="22"/>
          <w:u w:val="single"/>
        </w:rPr>
        <w:t>Section 5.9(h)</w:t>
      </w:r>
      <w:r>
        <w:rPr>
          <w:rFonts w:ascii="Times New Roman;Times;serif" w:hAnsi="Times New Roman;Times;serif"/>
          <w:sz w:val="22"/>
        </w:rPr>
        <w:t>, sale and leaseback transactions, capital lease obligations or other purchase money debt, if the contract or other agreement providing for such debt or capital lease obligation prohibits or requires the consent of any Person (other than the US Borrower or one of its Wholly Owned Subsidiaries) as a condition to the creation of any other security interest on such equipment or asset and, in each case, such prohibition or requirement is permitted under the Loan Documents.</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Excluded Subsidiary</w:t>
      </w:r>
      <w:r>
        <w:rPr>
          <w:rFonts w:ascii="Aptos" w:hAnsi="Aptos"/>
          <w:sz w:val="22"/>
        </w:rPr>
        <w:t xml:space="preserve">” </w:t>
      </w:r>
      <w:r>
        <w:rPr>
          <w:rFonts w:ascii="Times New Roman;Times;serif" w:hAnsi="Times New Roman;Times;serif"/>
          <w:sz w:val="22"/>
        </w:rPr>
        <w:t xml:space="preserve">means (a) each of Percepta and TTEC Investments, Inc., (b) any joint venture, partnership or limited liability company in which US Borrower (or any other Company) and a non-Affiliate of US Borrower (or any other Company) hold an interest, (c) any captive insurance company in which US Borrower (or any other Company) holds an interest, (d) </w:t>
      </w:r>
      <w:r>
        <w:rPr>
          <w:rFonts w:ascii="Times New Roman;Times;serif" w:hAnsi="Times New Roman;Times;serif"/>
          <w:spacing w:val="-2"/>
          <w:sz w:val="22"/>
        </w:rPr>
        <w:t>any Subsidiary that is prohibited by its charter documents, contract or applicable law from guaranteeing the Secured Obligations (provided that such prohibition was in existence at the time such Subsidiary was acquired or such contract was entered into, as applicable, and not included in anticipation thereof), (e) any Domestic Subsidiary of a CFC</w:t>
      </w:r>
      <w:r>
        <w:rPr>
          <w:rFonts w:ascii="Aptos" w:hAnsi="Aptos"/>
          <w:sz w:val="22"/>
        </w:rPr>
        <w:t xml:space="preserve"> </w:t>
      </w:r>
      <w:r>
        <w:rPr>
          <w:rFonts w:ascii="Times New Roman;Times;serif" w:hAnsi="Times New Roman;Times;serif"/>
          <w:sz w:val="22"/>
        </w:rPr>
        <w:t>and</w:t>
      </w:r>
      <w:r>
        <w:rPr>
          <w:rFonts w:ascii="Aptos" w:hAnsi="Aptos"/>
          <w:spacing w:val="-2"/>
          <w:sz w:val="22"/>
        </w:rPr>
        <w:t xml:space="preserve"> </w:t>
      </w:r>
      <w:r>
        <w:rPr>
          <w:rFonts w:ascii="Times New Roman;Times;serif" w:hAnsi="Times New Roman;Times;serif"/>
          <w:spacing w:val="-2"/>
          <w:sz w:val="22"/>
        </w:rPr>
        <w:t>(f) any Foreign Subsidiary that is not a Material Foreign Subsidiary</w:t>
      </w:r>
      <w:r>
        <w:rPr>
          <w:rFonts w:ascii="Times New Roman;Times;serif" w:hAnsi="Times New Roman;Times;serif"/>
          <w:sz w:val="22"/>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23</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Excluded Swap Obligation</w:t>
      </w:r>
      <w:r>
        <w:rPr>
          <w:rFonts w:ascii="Aptos" w:hAnsi="Aptos"/>
          <w:sz w:val="22"/>
        </w:rPr>
        <w:t xml:space="preserve">” </w:t>
      </w:r>
      <w:r>
        <w:rPr>
          <w:rFonts w:ascii="Times New Roman;Times;serif" w:hAnsi="Times New Roman;Times;serif"/>
          <w:sz w:val="22"/>
        </w:rPr>
        <w:t>means, with respect to any Guarantor of Payment, any Swap Obligation if, and to the extent that, all or a portion of the guarantee of such Guarantor of Payment of, or the grant by such Guarantor of Payment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 of Payment’s failure for any reason to constitute an “eligible contract participant” as defined in the Commodity Exchange Act and the regulations thereunder at the time the guarantee of such Guarantor of Payment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Excluded Taxes</w:t>
      </w:r>
      <w:r>
        <w:rPr>
          <w:rFonts w:ascii="Aptos" w:hAnsi="Aptos"/>
          <w:sz w:val="22"/>
        </w:rPr>
        <w:t xml:space="preserve">” </w:t>
      </w:r>
      <w:r>
        <w:rPr>
          <w:rFonts w:ascii="Times New Roman;Times;serif" w:hAnsi="Times New Roman;Times;serif"/>
          <w:sz w:val="22"/>
        </w:rPr>
        <w:t xml:space="preserve">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United States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Administrative Borrower under </w:t>
      </w:r>
      <w:r>
        <w:rPr>
          <w:rFonts w:ascii="Times New Roman;Times;serif" w:hAnsi="Times New Roman;Times;serif"/>
          <w:sz w:val="22"/>
          <w:u w:val="single"/>
        </w:rPr>
        <w:t>Section 3.4(b)</w:t>
      </w:r>
      <w:r>
        <w:rPr>
          <w:rFonts w:ascii="Aptos" w:hAnsi="Aptos"/>
          <w:sz w:val="22"/>
        </w:rPr>
        <w:t xml:space="preserve"> </w:t>
      </w:r>
      <w:r>
        <w:rPr>
          <w:rFonts w:ascii="Times New Roman;Times;serif" w:hAnsi="Times New Roman;Times;serif"/>
          <w:sz w:val="22"/>
        </w:rPr>
        <w:t xml:space="preserve">hereof) or (ii) such Lender changes its lending office, except in each case to the extent that, pursuant to </w:t>
      </w:r>
      <w:r>
        <w:rPr>
          <w:rFonts w:ascii="Times New Roman;Times;serif" w:hAnsi="Times New Roman;Times;serif"/>
          <w:sz w:val="22"/>
          <w:u w:val="single"/>
        </w:rPr>
        <w:t>Section 3.2</w:t>
      </w:r>
      <w:r>
        <w:rPr>
          <w:rFonts w:ascii="Times New Roman;Times;serif" w:hAnsi="Times New Roman;Times;serif"/>
          <w:sz w:val="22"/>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Times;serif" w:hAnsi="Times New Roman;Times;serif"/>
          <w:sz w:val="22"/>
          <w:u w:val="single"/>
        </w:rPr>
        <w:t>Section 3.2(g)</w:t>
      </w:r>
      <w:r>
        <w:rPr>
          <w:rFonts w:ascii="Aptos" w:hAnsi="Aptos"/>
          <w:sz w:val="22"/>
        </w:rPr>
        <w:t xml:space="preserve"> </w:t>
      </w:r>
      <w:r>
        <w:rPr>
          <w:rFonts w:ascii="Times New Roman;Times;serif" w:hAnsi="Times New Roman;Times;serif"/>
          <w:sz w:val="22"/>
        </w:rPr>
        <w:t>hereof, and (d) any United States federal withholding Taxes imposed under FATCA.</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Existing Credit Agreement</w:t>
      </w:r>
      <w:r>
        <w:rPr>
          <w:rFonts w:ascii="Aptos" w:hAnsi="Aptos"/>
          <w:sz w:val="22"/>
        </w:rPr>
        <w:t xml:space="preserve">” </w:t>
      </w:r>
      <w:r>
        <w:rPr>
          <w:rFonts w:ascii="Times New Roman;Times;serif" w:hAnsi="Times New Roman;Times;serif"/>
          <w:sz w:val="22"/>
        </w:rPr>
        <w:t>means that term as defined in the first paragraph hereof.</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Existing Letter of Credit</w:t>
      </w:r>
      <w:r>
        <w:rPr>
          <w:rFonts w:ascii="Aptos" w:hAnsi="Aptos"/>
          <w:sz w:val="22"/>
        </w:rPr>
        <w:t xml:space="preserve">” </w:t>
      </w:r>
      <w:r>
        <w:rPr>
          <w:rFonts w:ascii="Times New Roman;Times;serif" w:hAnsi="Times New Roman;Times;serif"/>
          <w:sz w:val="22"/>
        </w:rPr>
        <w:t xml:space="preserve">means that term as defined in </w:t>
      </w:r>
      <w:r>
        <w:rPr>
          <w:rFonts w:ascii="Times New Roman;Times;serif" w:hAnsi="Times New Roman;Times;serif"/>
          <w:sz w:val="22"/>
          <w:u w:val="single"/>
        </w:rPr>
        <w:t>Section 2.2(b)(vii)</w:t>
      </w:r>
      <w:r>
        <w:rPr>
          <w:rFonts w:ascii="Aptos" w:hAnsi="Aptos"/>
          <w:sz w:val="22"/>
        </w:rPr>
        <w:t xml:space="preserve"> </w:t>
      </w:r>
      <w:r>
        <w:rPr>
          <w:rFonts w:ascii="Times New Roman;Times;serif" w:hAnsi="Times New Roman;Times;serif"/>
          <w:sz w:val="22"/>
        </w:rPr>
        <w:t>hereof.</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Expected Earn-Out Amount</w:t>
      </w:r>
      <w:r>
        <w:rPr>
          <w:rFonts w:ascii="Aptos" w:hAnsi="Aptos"/>
          <w:sz w:val="22"/>
        </w:rPr>
        <w:t xml:space="preserve">” </w:t>
      </w:r>
      <w:r>
        <w:rPr>
          <w:rFonts w:ascii="Times New Roman;Times;serif" w:hAnsi="Times New Roman;Times;serif"/>
          <w:sz w:val="22"/>
        </w:rPr>
        <w:t>means US Borrower’s best estimate of the aggregate amount that the Companies will be required to pay, during the next twelve (12) months, in connection with performance based contingent obligations that were incurred in connection with one or more Acquisitions.</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Facility-Related Leases</w:t>
      </w:r>
      <w:r>
        <w:rPr>
          <w:rFonts w:ascii="Aptos" w:hAnsi="Aptos"/>
          <w:sz w:val="22"/>
        </w:rPr>
        <w:t xml:space="preserve">” </w:t>
      </w:r>
      <w:r>
        <w:rPr>
          <w:rFonts w:ascii="Times New Roman;Times;serif" w:hAnsi="Times New Roman;Times;serif"/>
          <w:sz w:val="22"/>
        </w:rPr>
        <w:t>means lease arrangements in relation to office leases, contact center leases and non-contact center leases, in each case, entered into in the ordinary course of business with third-party commercial landlords, where the lessee pays base rent and other customary additional rent in respect of matters such as common area maintenance, utilities, tenant improvements, real estate taxes, and other operating expenses commonly assessed under commercial real estate leases and that do not contain a purchase option by the lessee for such property, unless based on the fair market value for such property.</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FASB ASC 842</w:t>
      </w:r>
      <w:r>
        <w:rPr>
          <w:rFonts w:ascii="Aptos" w:hAnsi="Aptos"/>
          <w:sz w:val="22"/>
        </w:rPr>
        <w:t xml:space="preserve">” </w:t>
      </w:r>
      <w:r>
        <w:rPr>
          <w:rFonts w:ascii="Times New Roman;Times;serif" w:hAnsi="Times New Roman;Times;serif"/>
          <w:sz w:val="22"/>
        </w:rPr>
        <w:t>means Accounting Standards Update No. 2016-02 February 2016, Leases (Topic 842) promulgated by the Financial Accounting Standards Board.</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FATCA</w:t>
      </w:r>
      <w:r>
        <w:rPr>
          <w:rFonts w:ascii="Aptos" w:hAnsi="Aptos"/>
          <w:sz w:val="22"/>
        </w:rPr>
        <w:t xml:space="preserve">” </w:t>
      </w:r>
      <w:r>
        <w:rPr>
          <w:rFonts w:ascii="Times New Roman;Times;serif" w:hAnsi="Times New Roman;Times;serif"/>
          <w:sz w:val="22"/>
        </w:rPr>
        <w:t>means Sections 1471 through 1474 of the Code, as of the First Amendment Date (or any amended or successor version that is substantively comparable and not materially more onerous to comply with), any current or future regulations or official interpretations thereof and any agreements entered into pursuant to Section 1471(b)(1) of the Code.</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24</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Federal Funds Effective Rate</w:t>
      </w:r>
      <w:r>
        <w:rPr>
          <w:rFonts w:ascii="Aptos" w:hAnsi="Aptos"/>
          <w:sz w:val="22"/>
        </w:rPr>
        <w:t xml:space="preserve">” </w:t>
      </w:r>
      <w:r>
        <w:rPr>
          <w:rFonts w:ascii="Times New Roman;Times;serif" w:hAnsi="Times New Roman;Times;serif"/>
          <w:sz w:val="22"/>
        </w:rPr>
        <w:t xml:space="preserve">means, for any day, the rate per annum announced by the Federal Reserve Bank of New York (or any successor) on such day as being the weighted average of the rates on overnight federal funds transactions with members of the Federal Reserve System on the previous Business Day; </w:t>
      </w:r>
      <w:r>
        <w:rPr>
          <w:rFonts w:ascii="Times New Roman;Times;serif" w:hAnsi="Times New Roman;Times;serif"/>
          <w:sz w:val="22"/>
          <w:u w:val="single"/>
        </w:rPr>
        <w:t>provided</w:t>
      </w:r>
      <w:r>
        <w:rPr>
          <w:rFonts w:ascii="Aptos" w:hAnsi="Aptos"/>
          <w:sz w:val="22"/>
        </w:rPr>
        <w:t xml:space="preserve"> </w:t>
      </w:r>
      <w:r>
        <w:rPr>
          <w:rFonts w:ascii="Times New Roman;Times;serif" w:hAnsi="Times New Roman;Times;serif"/>
          <w:sz w:val="22"/>
        </w:rPr>
        <w:t>that if such rate is not so published for any day which is a Business Day, the Federal Funds Effective Rate shall be the average of the quotation for such day on such transactions received by Agent from three federal funds brokers of recognized standing selected by Agent.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Fee Letter</w:t>
      </w:r>
      <w:r>
        <w:rPr>
          <w:rFonts w:ascii="Aptos" w:hAnsi="Aptos"/>
          <w:sz w:val="22"/>
        </w:rPr>
        <w:t xml:space="preserve">” </w:t>
      </w:r>
      <w:r>
        <w:rPr>
          <w:rFonts w:ascii="Times New Roman;Times;serif" w:hAnsi="Times New Roman;Times;serif"/>
          <w:sz w:val="22"/>
        </w:rPr>
        <w:t>means, collectively, (i) the Engagement Letter between the US Borrower and Wells Fargo Securities, LLC, dated as of January 3, 2019, as the same may from time to time be amended, restated or otherwise modified, which terminates and supersedes the “Fee Letter” between the US Borrower and Wells Fargo Securities, LLC, dated as of December 15, 2015, (ii) the Engagement Letter between the US Borrower and Wells Fargo Securities, LLC, dated as of March 2, 2021, as the same may from time to time be amended, restated or otherwise modified, (iii) the Fee Letter between the US Borrower and Wells Fargo Securities, LLC, dated as of the Ninth Amendment Effective Date and (iv) the Fee Letter between the US Borrower and Wells Fargo Bank, National Association, dated as of the Tenth Amendment Effective Date.</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Financial Officer</w:t>
      </w:r>
      <w:r>
        <w:rPr>
          <w:rFonts w:ascii="Aptos" w:hAnsi="Aptos"/>
          <w:sz w:val="22"/>
        </w:rPr>
        <w:t xml:space="preserve">” </w:t>
      </w:r>
      <w:r>
        <w:rPr>
          <w:rFonts w:ascii="Times New Roman;Times;serif" w:hAnsi="Times New Roman;Times;serif"/>
          <w:sz w:val="22"/>
        </w:rPr>
        <w:t>means any of the following officers: chief executive officer, president, chief financial officer, treasurer, vice president of finance or controller.  Unless otherwise qualified, all references to a Financial Officer in this Agreement shall refer to a Financial Officer of US Borrower.</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First Amendment Date</w:t>
      </w:r>
      <w:r>
        <w:rPr>
          <w:rFonts w:ascii="Aptos" w:hAnsi="Aptos"/>
          <w:sz w:val="22"/>
        </w:rPr>
        <w:t xml:space="preserve">” </w:t>
      </w:r>
      <w:r>
        <w:rPr>
          <w:rFonts w:ascii="Times New Roman;Times;serif" w:hAnsi="Times New Roman;Times;serif"/>
          <w:sz w:val="22"/>
        </w:rPr>
        <w:t>means February 11, 2016.</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First FB Addition Date</w:t>
      </w:r>
      <w:r>
        <w:rPr>
          <w:rFonts w:ascii="Aptos" w:hAnsi="Aptos"/>
          <w:sz w:val="22"/>
        </w:rPr>
        <w:t xml:space="preserve">” </w:t>
      </w:r>
      <w:r>
        <w:rPr>
          <w:rFonts w:ascii="Times New Roman;Times;serif" w:hAnsi="Times New Roman;Times;serif"/>
          <w:sz w:val="22"/>
        </w:rPr>
        <w:t xml:space="preserve">means the date of the addition of the first Foreign Borrower under this Agreement, pursuant to </w:t>
      </w:r>
      <w:r>
        <w:rPr>
          <w:rFonts w:ascii="Times New Roman;Times;serif" w:hAnsi="Times New Roman;Times;serif"/>
          <w:sz w:val="22"/>
          <w:u w:val="single"/>
        </w:rPr>
        <w:t>Section 2.13(a)</w:t>
      </w:r>
      <w:r>
        <w:rPr>
          <w:rFonts w:ascii="Times New Roman;Times;serif" w:hAnsi="Times New Roman;Times;serif"/>
          <w:sz w:val="22"/>
        </w:rPr>
        <w: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First-Tier Material Foreign Subsidiary</w:t>
      </w:r>
      <w:r>
        <w:rPr>
          <w:rFonts w:ascii="Aptos" w:hAnsi="Aptos"/>
          <w:sz w:val="22"/>
        </w:rPr>
        <w:t xml:space="preserve">” </w:t>
      </w:r>
      <w:r>
        <w:rPr>
          <w:rFonts w:ascii="Times New Roman;Times;serif" w:hAnsi="Times New Roman;Times;serif"/>
          <w:sz w:val="22"/>
        </w:rPr>
        <w:t>means a first-tier Foreign Subsidiary of US Borrower or a Domestic Guarantor of Payment (with assets (consolidated for the foreign jurisdiction) in excess of five percent (5%) of Consolidated Total Assets).</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Flood Insurance Laws</w:t>
      </w:r>
      <w:r>
        <w:rPr>
          <w:rFonts w:ascii="Aptos" w:hAnsi="Aptos"/>
          <w:sz w:val="22"/>
        </w:rPr>
        <w:t xml:space="preserve">” </w:t>
      </w:r>
      <w:r>
        <w:rPr>
          <w:rFonts w:ascii="Times New Roman;Times;serif" w:hAnsi="Times New Roman;Times;serif"/>
          <w:sz w:val="22"/>
        </w:rPr>
        <w:t>means, collectively, (a) the National Flood Insurance Act of 1968, (b) the Flood Disaster Protection Act of 1973, (c) the National Flood Insurance Reform Act of 1994, (d) the Flood Insurance Reform Act of 2004 and (e) the Biggert-Waters Flood Insurance Reform Act of 2012, as each of the foregoing is now or hereafter in effect and any successor statute to any of the foregoing.</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Floor</w:t>
      </w:r>
      <w:r>
        <w:rPr>
          <w:rFonts w:ascii="Aptos" w:hAnsi="Aptos"/>
          <w:sz w:val="22"/>
        </w:rPr>
        <w:t xml:space="preserve">” </w:t>
      </w:r>
      <w:r>
        <w:rPr>
          <w:rFonts w:ascii="Times New Roman;Times;serif" w:hAnsi="Times New Roman;Times;serif"/>
          <w:sz w:val="22"/>
        </w:rPr>
        <w:t>means a rate of interest equal to 0%.</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Forecasting Period</w:t>
      </w:r>
      <w:r>
        <w:rPr>
          <w:rFonts w:ascii="Aptos" w:hAnsi="Aptos"/>
          <w:sz w:val="22"/>
        </w:rPr>
        <w:t xml:space="preserve">” </w:t>
      </w:r>
      <w:r>
        <w:rPr>
          <w:rFonts w:ascii="Times New Roman;Times;serif" w:hAnsi="Times New Roman;Times;serif"/>
          <w:sz w:val="22"/>
        </w:rPr>
        <w:t xml:space="preserve">means that term as defined in </w:t>
      </w:r>
      <w:r>
        <w:rPr>
          <w:rFonts w:ascii="Times New Roman;Times;serif" w:hAnsi="Times New Roman;Times;serif"/>
          <w:sz w:val="22"/>
          <w:u w:val="single"/>
        </w:rPr>
        <w:t>Section 5.3(i)</w:t>
      </w:r>
      <w:r>
        <w:rPr>
          <w:rFonts w:ascii="Aptos" w:hAnsi="Aptos"/>
          <w:sz w:val="22"/>
        </w:rPr>
        <w:t xml:space="preserve"> </w:t>
      </w:r>
      <w:r>
        <w:rPr>
          <w:rFonts w:ascii="Times New Roman;Times;serif" w:hAnsi="Times New Roman;Times;serif"/>
          <w:sz w:val="22"/>
        </w:rPr>
        <w:t>hereof.</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Foreign Affiliate</w:t>
      </w:r>
      <w:r>
        <w:rPr>
          <w:rFonts w:ascii="Aptos" w:hAnsi="Aptos"/>
          <w:sz w:val="22"/>
        </w:rPr>
        <w:t xml:space="preserve">” </w:t>
      </w:r>
      <w:r>
        <w:rPr>
          <w:rFonts w:ascii="Times New Roman;Times;serif" w:hAnsi="Times New Roman;Times;serif"/>
          <w:sz w:val="22"/>
        </w:rPr>
        <w:t>means, with respect to a Foreign Borrower, a parent company, sister company or Subsidiary of such Foreign Borrower (that is not US Borrower or a Domestic Subsidiary).</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Foreign Benefit Plan</w:t>
      </w:r>
      <w:r>
        <w:rPr>
          <w:rFonts w:ascii="Aptos" w:hAnsi="Aptos"/>
          <w:sz w:val="22"/>
        </w:rPr>
        <w:t xml:space="preserve">” </w:t>
      </w:r>
      <w:r>
        <w:rPr>
          <w:rFonts w:ascii="Times New Roman;Times;serif" w:hAnsi="Times New Roman;Times;serif"/>
          <w:sz w:val="22"/>
        </w:rPr>
        <w:t>means each material plan, fund, program or policy established under the law of a jurisdiction other than the United States (or a state or local government thereof), whether formal or informal, funded or unfunded, insured or uninsured, providing employee benefits, including medical, hospital care, dental, sickness, accident, disability, life insurance, pension, retirement or savings benefits, under which one or more Companies have any liability with respect to any employee or former employee, but excluding any Foreign Pension Plan.</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Foreign Borrower</w:t>
      </w:r>
      <w:r>
        <w:rPr>
          <w:rFonts w:ascii="Aptos" w:hAnsi="Aptos"/>
          <w:sz w:val="22"/>
        </w:rPr>
        <w:t xml:space="preserve">” </w:t>
      </w:r>
      <w:r>
        <w:rPr>
          <w:rFonts w:ascii="Times New Roman;Times;serif" w:hAnsi="Times New Roman;Times;serif"/>
          <w:sz w:val="22"/>
        </w:rPr>
        <w:t xml:space="preserve">means any Foreign Subsidiary of US Borrower that, after the Ninth Amendment Effective Date, shall have satisfied, in the opinion of Agent, the requirements of </w:t>
      </w:r>
      <w:r>
        <w:rPr>
          <w:rFonts w:ascii="Times New Roman;Times;serif" w:hAnsi="Times New Roman;Times;serif"/>
          <w:sz w:val="22"/>
          <w:u w:val="single"/>
        </w:rPr>
        <w:t>Section 2.13(a)</w:t>
      </w:r>
      <w:r>
        <w:rPr>
          <w:rFonts w:ascii="Aptos" w:hAnsi="Aptos"/>
          <w:sz w:val="22"/>
        </w:rPr>
        <w:t xml:space="preserve"> </w:t>
      </w:r>
      <w:r>
        <w:rPr>
          <w:rFonts w:ascii="Times New Roman;Times;serif" w:hAnsi="Times New Roman;Times;serif"/>
          <w:sz w:val="22"/>
        </w:rPr>
        <w:t>hereof.  As of the Ninth Amendment Effective Date, there are no Foreign Borrowers.</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25</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Foreign Borrower Revolving Credit Note</w:t>
      </w:r>
      <w:r>
        <w:rPr>
          <w:rFonts w:ascii="Aptos" w:hAnsi="Aptos"/>
          <w:sz w:val="22"/>
        </w:rPr>
        <w:t xml:space="preserve">” </w:t>
      </w:r>
      <w:r>
        <w:rPr>
          <w:rFonts w:ascii="Times New Roman;Times;serif" w:hAnsi="Times New Roman;Times;serif"/>
          <w:sz w:val="22"/>
        </w:rPr>
        <w:t xml:space="preserve">means a Foreign Borrower Revolving Credit Note, substantially in the form of the attached </w:t>
      </w:r>
      <w:r>
        <w:rPr>
          <w:rFonts w:ascii="Times New Roman;Times;serif" w:hAnsi="Times New Roman;Times;serif"/>
          <w:sz w:val="22"/>
          <w:u w:val="single"/>
        </w:rPr>
        <w:t>Exhibit B</w:t>
      </w:r>
      <w:r>
        <w:rPr>
          <w:rFonts w:ascii="Aptos" w:hAnsi="Aptos"/>
          <w:sz w:val="22"/>
        </w:rPr>
        <w:t xml:space="preserve"> </w:t>
      </w:r>
      <w:r>
        <w:rPr>
          <w:rFonts w:ascii="Times New Roman;Times;serif" w:hAnsi="Times New Roman;Times;serif"/>
          <w:sz w:val="22"/>
        </w:rPr>
        <w:t xml:space="preserve">(or as otherwise required by Agent after consultation with foreign counsel to Agent), executed and delivered by a Foreign Borrower pursuant to </w:t>
      </w:r>
      <w:r>
        <w:rPr>
          <w:rFonts w:ascii="Times New Roman;Times;serif" w:hAnsi="Times New Roman;Times;serif"/>
          <w:sz w:val="22"/>
          <w:u w:val="single"/>
        </w:rPr>
        <w:t>Section 2.4(b)</w:t>
      </w:r>
      <w:r>
        <w:rPr>
          <w:rFonts w:ascii="Aptos" w:hAnsi="Aptos"/>
          <w:sz w:val="22"/>
        </w:rPr>
        <w:t xml:space="preserve"> </w:t>
      </w:r>
      <w:r>
        <w:rPr>
          <w:rFonts w:ascii="Times New Roman;Times;serif" w:hAnsi="Times New Roman;Times;serif"/>
          <w:sz w:val="22"/>
        </w:rPr>
        <w:t>hereof.</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Foreign Guarantor of Payment</w:t>
      </w:r>
      <w:r>
        <w:rPr>
          <w:rFonts w:ascii="Aptos" w:hAnsi="Aptos"/>
          <w:sz w:val="22"/>
        </w:rPr>
        <w:t xml:space="preserve">” </w:t>
      </w:r>
      <w:r>
        <w:rPr>
          <w:rFonts w:ascii="Times New Roman;Times;serif" w:hAnsi="Times New Roman;Times;serif"/>
          <w:sz w:val="22"/>
        </w:rPr>
        <w:t>means each of the Companies that shall have been designated a “Foreign Guarantor of Payment”, that are each executing and delivering a Guaranty of Payment, or any other Foreign Subsidiary that shall execute and deliver a Guaranty of Payment to Agent.  </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Foreign Lender</w:t>
      </w:r>
      <w:r>
        <w:rPr>
          <w:rFonts w:ascii="Aptos" w:hAnsi="Aptos"/>
          <w:sz w:val="22"/>
        </w:rPr>
        <w:t xml:space="preserve">” </w:t>
      </w:r>
      <w:r>
        <w:rPr>
          <w:rFonts w:ascii="Times New Roman;Times;serif" w:hAnsi="Times New Roman;Times;serif"/>
          <w:sz w:val="22"/>
        </w:rPr>
        <w:t>means (a) with respect to the Administrative Borrower, a Lender that is not a U.S. Person, and (b) with respect to each Foreign Borrower, a Lender that is resident or organized under the laws of a jurisdiction other than that in which such Foreign Borrower is resident for tax purposes.</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Foreign Pension Plan</w:t>
      </w:r>
      <w:r>
        <w:rPr>
          <w:rFonts w:ascii="Aptos" w:hAnsi="Aptos"/>
          <w:sz w:val="22"/>
        </w:rPr>
        <w:t xml:space="preserve">” </w:t>
      </w:r>
      <w:r>
        <w:rPr>
          <w:rFonts w:ascii="Times New Roman;Times;serif" w:hAnsi="Times New Roman;Times;serif"/>
          <w:sz w:val="22"/>
        </w:rPr>
        <w:t>means a pension plan required to be registered under the law of a jurisdiction other than the United States (or a state or local government thereof), that is maintained or contributed to by one or more Companies for their employees or former employees.</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Foreign Proceeds</w:t>
      </w:r>
      <w:r>
        <w:rPr>
          <w:rFonts w:ascii="Aptos" w:hAnsi="Aptos"/>
          <w:sz w:val="22"/>
        </w:rPr>
        <w:t xml:space="preserve">” </w:t>
      </w:r>
      <w:r>
        <w:rPr>
          <w:rFonts w:ascii="Times New Roman;Times;serif" w:hAnsi="Times New Roman;Times;serif"/>
          <w:sz w:val="22"/>
        </w:rPr>
        <w:t xml:space="preserve">means that term as defined in </w:t>
      </w:r>
      <w:r>
        <w:rPr>
          <w:rFonts w:ascii="Times New Roman;Times;serif" w:hAnsi="Times New Roman;Times;serif"/>
          <w:sz w:val="22"/>
          <w:u w:val="single"/>
        </w:rPr>
        <w:t>Section 2.11(f)</w:t>
      </w:r>
      <w:r>
        <w:rPr>
          <w:rFonts w:ascii="Aptos" w:hAnsi="Aptos"/>
          <w:sz w:val="22"/>
        </w:rPr>
        <w:t xml:space="preserve"> </w:t>
      </w:r>
      <w:r>
        <w:rPr>
          <w:rFonts w:ascii="Times New Roman;Times;serif" w:hAnsi="Times New Roman;Times;serif"/>
          <w:sz w:val="22"/>
        </w:rPr>
        <w:t xml:space="preserve">hereof. </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Foreign Subsidiary</w:t>
      </w:r>
      <w:r>
        <w:rPr>
          <w:rFonts w:ascii="Aptos" w:hAnsi="Aptos"/>
          <w:sz w:val="22"/>
        </w:rPr>
        <w:t xml:space="preserve">” </w:t>
      </w:r>
      <w:r>
        <w:rPr>
          <w:rFonts w:ascii="Times New Roman;Times;serif" w:hAnsi="Times New Roman;Times;serif"/>
          <w:sz w:val="22"/>
        </w:rPr>
        <w:t>means a Subsidiary that is organized under the laws of any jurisdiction other than the United States, any State thereof or the District of Columbia.</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FRB</w:t>
      </w:r>
      <w:r>
        <w:rPr>
          <w:rFonts w:ascii="Aptos" w:hAnsi="Aptos"/>
          <w:sz w:val="22"/>
        </w:rPr>
        <w:t xml:space="preserve">” </w:t>
      </w:r>
      <w:r>
        <w:rPr>
          <w:rFonts w:ascii="Times New Roman;Times;serif" w:hAnsi="Times New Roman;Times;serif"/>
          <w:sz w:val="22"/>
        </w:rPr>
        <w:t>means the Board of Governors of the Federal Reserve System of the United States.</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Fronting Exposure</w:t>
      </w:r>
      <w:r>
        <w:rPr>
          <w:rFonts w:ascii="Aptos" w:hAnsi="Aptos"/>
          <w:sz w:val="22"/>
        </w:rPr>
        <w:t xml:space="preserve">” </w:t>
      </w:r>
      <w:r>
        <w:rPr>
          <w:rFonts w:ascii="Times New Roman;Times;serif" w:hAnsi="Times New Roman;Times;serif"/>
          <w:sz w:val="22"/>
        </w:rPr>
        <w:t>means, at any time there is a Defaulting Lender, (a) with respect to any Fronting Lender, such Defaulting Lender’s Commitment Percentage of the outstanding Letter of Credit Exposure with respect to Letters of Credit issued by such Fronting Lender, other than such Letter of Credit Exposure as to which such Defaulting Lender’s participation obligation has been reallocated to other Lenders or Cash Collateralized in accordance with the terms hereof and (b) with respect to the Swing Line Lender, such Defaulting Lender’s Commitment Percentage of outstanding Swing Loans other than Swing Loans as to which such Defaulting Lender’s participation obligation has been reallocated to other Lenders or Cash Collateralized in accordance with the terms hereof.</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Fronting Lender</w:t>
      </w:r>
      <w:r>
        <w:rPr>
          <w:rFonts w:ascii="Aptos" w:hAnsi="Aptos"/>
          <w:sz w:val="22"/>
        </w:rPr>
        <w:t xml:space="preserve">” </w:t>
      </w:r>
      <w:r>
        <w:rPr>
          <w:rFonts w:ascii="Times New Roman;Times;serif" w:hAnsi="Times New Roman;Times;serif"/>
          <w:sz w:val="22"/>
        </w:rPr>
        <w:t>means, (a) as to any Letter of Credit transaction hereunder, Wells Fargo as issuer of the Letter of Credit, or, in the event that Wells Fargo shall be unable to issue or shall agree that another Lender may issue, a Letter of Credit, such other Lender as shall agree to issue the Letter of Credit in its own name, but in each instance on behalf of the Lenders hereunder, or (b) as to any Existing Letter of Credit, KeyBank National Association or Bank of America, N.A., as applicable.</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Fund</w:t>
      </w:r>
      <w:r>
        <w:rPr>
          <w:rFonts w:ascii="Aptos" w:hAnsi="Aptos"/>
          <w:sz w:val="22"/>
        </w:rPr>
        <w:t xml:space="preserve">” </w:t>
      </w:r>
      <w:r>
        <w:rPr>
          <w:rFonts w:ascii="Times New Roman;Times;serif" w:hAnsi="Times New Roman;Times;serif"/>
          <w:sz w:val="22"/>
        </w:rPr>
        <w:t>means any Person (other than a natural Person) that is (or will be) engaged in making, purchasing, holding or otherwise investing in commercial loans, bonds and similar extensions of credit in the ordinary course of its activities.</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GAAP</w:t>
      </w:r>
      <w:r>
        <w:rPr>
          <w:rFonts w:ascii="Aptos" w:hAnsi="Aptos"/>
          <w:sz w:val="22"/>
        </w:rPr>
        <w:t xml:space="preserve">” </w:t>
      </w:r>
      <w:r>
        <w:rPr>
          <w:rFonts w:ascii="Times New Roman;Times;serif" w:hAnsi="Times New Roman;Times;serif"/>
          <w:sz w:val="22"/>
        </w:rPr>
        <w:t xml:space="preserve">means, subject to the provisions of </w:t>
      </w:r>
      <w:r>
        <w:rPr>
          <w:rFonts w:ascii="Times New Roman;Times;serif" w:hAnsi="Times New Roman;Times;serif"/>
          <w:sz w:val="22"/>
          <w:u w:val="single"/>
        </w:rPr>
        <w:t>Section 1.2(b)</w:t>
      </w:r>
      <w:r>
        <w:rPr>
          <w:rFonts w:ascii="Aptos" w:hAnsi="Aptos"/>
          <w:sz w:val="22"/>
        </w:rPr>
        <w:t xml:space="preserve"> </w:t>
      </w:r>
      <w:r>
        <w:rPr>
          <w:rFonts w:ascii="Times New Roman;Times;serif" w:hAnsi="Times New Roman;Times;serif"/>
          <w:sz w:val="22"/>
        </w:rPr>
        <w:t>hereof, generally accepted accounting principles in the United States as then in effect, which shall include the official interpretations thereof by the Financial Accounting Standards Board, applied on a basis consistent with the past accounting practices and procedures of US Borrower.</w:t>
      </w:r>
    </w:p>
    <w:p>
      <w:pPr>
        <w:pStyle w:val="TextBody"/>
        <w:bidi w:val="0"/>
        <w:spacing w:lineRule="auto" w:line="285" w:before="0" w:after="0"/>
        <w:ind w:left="0" w:right="0" w:firstLine="720"/>
        <w:jc w:val="both"/>
        <w:rPr/>
      </w:pPr>
      <w:r>
        <w:rPr/>
        <w:t>“</w:t>
      </w:r>
      <w:r>
        <w:rPr>
          <w:rFonts w:ascii="Times New Roman;Times;serif" w:hAnsi="Times New Roman;Times;serif"/>
          <w:sz w:val="22"/>
          <w:u w:val="single"/>
        </w:rPr>
        <w:t>Governmental Authority</w:t>
      </w:r>
      <w:r>
        <w:rPr>
          <w:rFonts w:ascii="Aptos" w:hAnsi="Aptos"/>
          <w:sz w:val="22"/>
        </w:rPr>
        <w:t xml:space="preserve">” </w:t>
      </w:r>
      <w:r>
        <w:rPr>
          <w:rFonts w:ascii="Times New Roman;Times;serif" w:hAnsi="Times New Roman;Times;serif"/>
          <w:sz w:val="22"/>
        </w:rPr>
        <w:t xml:space="preserve">means any nation or government, any state, province or territory or other political subdivision thereof, any governmental agency, department, authority, instrumentality, regulatory body, court, central bank or other governmental entity exercising executive, legislative, judicial,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26</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taxing, regulatory or administrative functions of or pertaining to government, any securities exchange and any self-regulatory organization exercising such functions.</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Guarantor</w:t>
      </w:r>
      <w:r>
        <w:rPr>
          <w:rFonts w:ascii="Aptos" w:hAnsi="Aptos"/>
          <w:sz w:val="22"/>
        </w:rPr>
        <w:t xml:space="preserve">” </w:t>
      </w:r>
      <w:r>
        <w:rPr>
          <w:rFonts w:ascii="Times New Roman;Times;serif" w:hAnsi="Times New Roman;Times;serif"/>
          <w:sz w:val="22"/>
        </w:rPr>
        <w:t>means a Person that shall have pledged its credit or property in any manner for the payment or other performance of the indebtedness, contract or other obligation of another and includes (without limitation) any guarantor (whether of payment or of collection), surety, co-maker, endorser or Person that shall have agreed conditionally or otherwise to make any purchase, loan or investment in order thereby to enable another to prevent or correct a default of any kind.</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Guarantor of Payment</w:t>
      </w:r>
      <w:r>
        <w:rPr>
          <w:rFonts w:ascii="Aptos" w:hAnsi="Aptos"/>
          <w:sz w:val="22"/>
        </w:rPr>
        <w:t xml:space="preserve">” </w:t>
      </w:r>
      <w:r>
        <w:rPr>
          <w:rFonts w:ascii="Times New Roman;Times;serif" w:hAnsi="Times New Roman;Times;serif"/>
          <w:sz w:val="22"/>
        </w:rPr>
        <w:t>means a Domestic Guarantor of Payment or Foreign Guarantor of Payment, or any other Person that shall deliver a Guaranty of Payment to Agent subsequent to the Closing Date.</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Guaranty of Payment</w:t>
      </w:r>
      <w:r>
        <w:rPr>
          <w:rFonts w:ascii="Aptos" w:hAnsi="Aptos"/>
          <w:sz w:val="22"/>
        </w:rPr>
        <w:t xml:space="preserve">” </w:t>
      </w:r>
      <w:r>
        <w:rPr>
          <w:rFonts w:ascii="Times New Roman;Times;serif" w:hAnsi="Times New Roman;Times;serif"/>
          <w:sz w:val="22"/>
        </w:rPr>
        <w:t>means each Guaranty of Payment executed and delivered on or after the Closing Date in connection with this Agreement by the Guarantors of Payment, as the same may from time to time be amended, restated or otherwise modified.</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Guaranty of Payment Joinder</w:t>
      </w:r>
      <w:r>
        <w:rPr>
          <w:rFonts w:ascii="Aptos" w:hAnsi="Aptos"/>
          <w:sz w:val="22"/>
        </w:rPr>
        <w:t xml:space="preserve">” </w:t>
      </w:r>
      <w:r>
        <w:rPr>
          <w:rFonts w:ascii="Times New Roman;Times;serif" w:hAnsi="Times New Roman;Times;serif"/>
          <w:sz w:val="22"/>
        </w:rPr>
        <w:t>means each Guaranty of Payment Joinder, executed and delivered by a Domestic Guarantor of Payment for the purpose of adding such Domestic Guarantor of Payment as a party to a previously executed Guaranty of Payment.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Hedge Agreement</w:t>
      </w:r>
      <w:r>
        <w:rPr>
          <w:rFonts w:ascii="Aptos" w:hAnsi="Aptos"/>
          <w:sz w:val="22"/>
        </w:rPr>
        <w:t xml:space="preserve">” </w:t>
      </w:r>
      <w:r>
        <w:rPr>
          <w:rFonts w:ascii="Times New Roman;Times;serif" w:hAnsi="Times New Roman;Times;serif"/>
          <w:sz w:val="22"/>
        </w:rPr>
        <w:t>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Incremental Increase</w:t>
      </w:r>
      <w:r>
        <w:rPr>
          <w:rFonts w:ascii="Aptos" w:hAnsi="Aptos"/>
          <w:sz w:val="22"/>
        </w:rPr>
        <w:t xml:space="preserve">” </w:t>
      </w:r>
      <w:r>
        <w:rPr>
          <w:rFonts w:ascii="Times New Roman;Times;serif" w:hAnsi="Times New Roman;Times;serif"/>
          <w:sz w:val="22"/>
        </w:rPr>
        <w:t xml:space="preserve">means that term as defined in </w:t>
      </w:r>
      <w:r>
        <w:rPr>
          <w:rFonts w:ascii="Times New Roman;Times;serif" w:hAnsi="Times New Roman;Times;serif"/>
          <w:sz w:val="22"/>
          <w:u w:val="single"/>
        </w:rPr>
        <w:t>Section 2.9(b)</w:t>
      </w:r>
      <w:r>
        <w:rPr>
          <w:rFonts w:ascii="Aptos" w:hAnsi="Aptos"/>
          <w:sz w:val="22"/>
        </w:rPr>
        <w:t xml:space="preserve"> </w:t>
      </w:r>
      <w:r>
        <w:rPr>
          <w:rFonts w:ascii="Times New Roman;Times;serif" w:hAnsi="Times New Roman;Times;serif"/>
          <w:sz w:val="22"/>
        </w:rPr>
        <w:t>hereof.</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Incremental Revolving Credit Increase</w:t>
      </w:r>
      <w:r>
        <w:rPr>
          <w:rFonts w:ascii="Aptos" w:hAnsi="Aptos"/>
          <w:sz w:val="22"/>
        </w:rPr>
        <w:t xml:space="preserve">” </w:t>
      </w:r>
      <w:r>
        <w:rPr>
          <w:rFonts w:ascii="Times New Roman;Times;serif" w:hAnsi="Times New Roman;Times;serif"/>
          <w:sz w:val="22"/>
        </w:rPr>
        <w:t xml:space="preserve">means that term as defined in </w:t>
      </w:r>
      <w:r>
        <w:rPr>
          <w:rFonts w:ascii="Times New Roman;Times;serif" w:hAnsi="Times New Roman;Times;serif"/>
          <w:sz w:val="22"/>
          <w:u w:val="single"/>
        </w:rPr>
        <w:t>Section 2.9(b)</w:t>
      </w:r>
      <w:r>
        <w:rPr>
          <w:rFonts w:ascii="Aptos" w:hAnsi="Aptos"/>
          <w:sz w:val="22"/>
        </w:rPr>
        <w:t xml:space="preserve"> </w:t>
      </w:r>
      <w:r>
        <w:rPr>
          <w:rFonts w:ascii="Times New Roman;Times;serif" w:hAnsi="Times New Roman;Times;serif"/>
          <w:sz w:val="22"/>
        </w:rPr>
        <w:t>hereof.</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Incremental Term Loan</w:t>
      </w:r>
      <w:r>
        <w:rPr>
          <w:rFonts w:ascii="Aptos" w:hAnsi="Aptos"/>
          <w:sz w:val="22"/>
        </w:rPr>
        <w:t xml:space="preserve">” </w:t>
      </w:r>
      <w:r>
        <w:rPr>
          <w:rFonts w:ascii="Times New Roman;Times;serif" w:hAnsi="Times New Roman;Times;serif"/>
          <w:sz w:val="22"/>
        </w:rPr>
        <w:t xml:space="preserve">means that term as defined in </w:t>
      </w:r>
      <w:r>
        <w:rPr>
          <w:rFonts w:ascii="Times New Roman;Times;serif" w:hAnsi="Times New Roman;Times;serif"/>
          <w:sz w:val="22"/>
          <w:u w:val="single"/>
        </w:rPr>
        <w:t>Section 2.9(b)</w:t>
      </w:r>
      <w:r>
        <w:rPr>
          <w:rFonts w:ascii="Aptos" w:hAnsi="Aptos"/>
          <w:sz w:val="22"/>
        </w:rPr>
        <w:t xml:space="preserve"> </w:t>
      </w:r>
      <w:r>
        <w:rPr>
          <w:rFonts w:ascii="Times New Roman;Times;serif" w:hAnsi="Times New Roman;Times;serif"/>
          <w:sz w:val="22"/>
        </w:rPr>
        <w:t>hereof.</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Incremental Term Loan Commitment</w:t>
      </w:r>
      <w:r>
        <w:rPr>
          <w:rFonts w:ascii="Aptos" w:hAnsi="Aptos"/>
          <w:sz w:val="22"/>
        </w:rPr>
        <w:t xml:space="preserve">” </w:t>
      </w:r>
      <w:r>
        <w:rPr>
          <w:rFonts w:ascii="Times New Roman;Times;serif" w:hAnsi="Times New Roman;Times;serif"/>
          <w:sz w:val="22"/>
        </w:rPr>
        <w:t xml:space="preserve">means that term as defined in </w:t>
      </w:r>
      <w:r>
        <w:rPr>
          <w:rFonts w:ascii="Times New Roman;Times;serif" w:hAnsi="Times New Roman;Times;serif"/>
          <w:sz w:val="22"/>
          <w:u w:val="single"/>
        </w:rPr>
        <w:t>Section 2.9(b)</w:t>
      </w:r>
      <w:r>
        <w:rPr>
          <w:rFonts w:ascii="Aptos" w:hAnsi="Aptos"/>
          <w:sz w:val="22"/>
        </w:rPr>
        <w:t xml:space="preserve"> </w:t>
      </w:r>
      <w:r>
        <w:rPr>
          <w:rFonts w:ascii="Times New Roman;Times;serif" w:hAnsi="Times New Roman;Times;serif"/>
          <w:sz w:val="22"/>
        </w:rPr>
        <w:t>hereof.</w:t>
      </w:r>
    </w:p>
    <w:p>
      <w:pPr>
        <w:pStyle w:val="TextBody"/>
        <w:bidi w:val="0"/>
        <w:spacing w:lineRule="auto" w:line="285" w:before="0" w:after="0"/>
        <w:ind w:left="0" w:right="0" w:firstLine="720"/>
        <w:jc w:val="both"/>
        <w:rPr/>
      </w:pPr>
      <w:r>
        <w:rPr/>
        <w:t>“</w:t>
      </w:r>
      <w:r>
        <w:rPr>
          <w:rFonts w:ascii="Times New Roman;Times;serif" w:hAnsi="Times New Roman;Times;serif"/>
          <w:sz w:val="22"/>
          <w:u w:val="single"/>
        </w:rPr>
        <w:t>Indebtedness</w:t>
      </w:r>
      <w:r>
        <w:rPr>
          <w:rFonts w:ascii="Aptos" w:hAnsi="Aptos"/>
          <w:sz w:val="22"/>
        </w:rPr>
        <w:t xml:space="preserve">” </w:t>
      </w:r>
      <w:r>
        <w:rPr>
          <w:rFonts w:ascii="Times New Roman;Times;serif" w:hAnsi="Times New Roman;Times;serif"/>
          <w:sz w:val="22"/>
        </w:rPr>
        <w:t>means, for any Company (excluding in all cases trade payables and guaranties of performance by a Subsidiary payable in the ordinary course of business by such Company), without duplication, (a) all obligations to repay borrowed money, direct or indirect, incurred, assumed, or guaranteed, (b) all obligations in respect of the deferred purchase price of property or services</w:t>
      </w:r>
      <w:r>
        <w:rPr>
          <w:rFonts w:ascii="Aptos" w:hAnsi="Aptos"/>
          <w:color w:val="0000FF"/>
          <w:sz w:val="22"/>
        </w:rPr>
        <w:t xml:space="preserve"> </w:t>
      </w:r>
      <w:r>
        <w:rPr>
          <w:rFonts w:ascii="Times New Roman;Times;serif" w:hAnsi="Times New Roman;Times;serif"/>
          <w:sz w:val="22"/>
        </w:rPr>
        <w:t xml:space="preserve">(other than any performance based contingent obligation that is part of the total Consideration for any Acquisition), (c) all obligations under conditional sales or other title retention agreements, (d) all obligations (contingent or otherwise) under any letter of credit or banker’s acceptance, (e) all net obligations under any currency swap agreement, interest rate swap, cap, collar or floor agreement or other interest rate management device or any Hedge Agreement, (f) all Synthetic Leases, (g) all Capitalized Lease Obligations, (h) all obligations of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27</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such Company with respect to asset securitization financing programs that are required to be reported as a liability in accordance with GAAP, (i) all obligations to advance funds to, or to purchase assets, property or services from, any other Person in order to maintain the financial condition of such Person, (j) all indebtedness of the types referred to in subparts (a) through (i) above of any partnership or joint venture (other than a joint venture that is itself a corporation or limited liability company) in which such Company is a general partner or joint venturer, unless such indebtedness is expressly made non-recourse to such Company, (k) any other transaction (including forward sale or purchase agreements) having the commercial effect of a borrowing of money entered into by such Company to finance its operations or capital requirements, and (l) any guaranty of any obligation described in subparts (a) through (k) hereof.  Notwithstanding the foregoing, the obligations of the Companies under any Permitted Warrant Transaction or Permitted Factoring Transaction shall not constitute Indebtedness. For purposes hereof, the amount of any Permitted Convertible Indebtedness shall be the aggregate stated principal amount thereof without giving effect to any obligation to pay cash or deliver shares with value in excess of such principal amount, and without giving effect to any integration thereof with any Permitted Bond Hedge Transaction pursuant to U.S. Treasury Regulation § 1.1275-6.</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Indemnified Taxes</w:t>
      </w:r>
      <w:r>
        <w:rPr>
          <w:rFonts w:ascii="Aptos" w:hAnsi="Aptos"/>
          <w:sz w:val="22"/>
        </w:rPr>
        <w:t xml:space="preserve">” </w:t>
      </w:r>
      <w:r>
        <w:rPr>
          <w:rFonts w:ascii="Times New Roman;Times;serif" w:hAnsi="Times New Roman;Times;serif"/>
          <w:sz w:val="22"/>
        </w:rPr>
        <w:t>means (a) Taxes, other than Excluded Taxes, imposed on or with respect to any payment made by or on account of any obligation of any Credit Party under any Loan Document and (b) to the extent not otherwise described in clause (a), Other Taxes.</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Initial RFR Loan (GBP)</w:t>
      </w:r>
      <w:r>
        <w:rPr>
          <w:rFonts w:ascii="Aptos" w:hAnsi="Aptos"/>
          <w:sz w:val="22"/>
        </w:rPr>
        <w:t xml:space="preserve">” </w:t>
      </w:r>
      <w:r>
        <w:rPr>
          <w:rFonts w:ascii="Times New Roman;Times;serif" w:hAnsi="Times New Roman;Times;serif"/>
          <w:sz w:val="22"/>
        </w:rPr>
        <w:t>means an RFR Loan that would have borne interest based upon a Daily Simple RFR or a Term RFR on the Closing Date, which for all purposes of this Agreement shall refer only to Loans denominated in Sterling.</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Interest Adjustment Date</w:t>
      </w:r>
      <w:r>
        <w:rPr>
          <w:rFonts w:ascii="Aptos" w:hAnsi="Aptos"/>
          <w:sz w:val="22"/>
        </w:rPr>
        <w:t xml:space="preserve">” </w:t>
      </w:r>
      <w:r>
        <w:rPr>
          <w:rFonts w:ascii="Times New Roman;Times;serif" w:hAnsi="Times New Roman;Times;serif"/>
          <w:sz w:val="22"/>
        </w:rPr>
        <w:t>means the last day of each Interest Period.</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Interest Coverage Ratio</w:t>
      </w:r>
      <w:r>
        <w:rPr>
          <w:rFonts w:ascii="Aptos" w:hAnsi="Aptos"/>
          <w:sz w:val="22"/>
        </w:rPr>
        <w:t xml:space="preserve">” </w:t>
      </w:r>
      <w:r>
        <w:rPr>
          <w:rFonts w:ascii="Times New Roman;Times;serif" w:hAnsi="Times New Roman;Times;serif"/>
          <w:sz w:val="22"/>
        </w:rPr>
        <w:t>means, as determined for the most recently completed four fiscal quarters of US Borrower, on a Consolidated basis, the ratio of (a) Consolidated EBITDA to (b) Consolidated Interest Expense.</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Interest Payment Date</w:t>
      </w:r>
      <w:r>
        <w:rPr>
          <w:rFonts w:ascii="Aptos" w:hAnsi="Aptos"/>
          <w:sz w:val="22"/>
        </w:rPr>
        <w:t xml:space="preserve">” </w:t>
      </w:r>
      <w:r>
        <w:rPr>
          <w:rFonts w:ascii="Times New Roman;Times;serif" w:hAnsi="Times New Roman;Times;serif"/>
          <w:sz w:val="22"/>
        </w:rPr>
        <w:t xml:space="preserve">means (a) as to any Base Rate Loan or Daily Simple RFR Loan, the last Business Day of each March, June, September and December and the Revolving Credit Maturity Date and (b) as to any Eurodollar Fixed Rate Loan or Term RFR Loan, the last day of each Interest Period therefor and, in the case of any Interest Period of more than three (3) months’ duration, each day prior to the last day of such Interest Period that occurs at three-month intervals after the first day of such Interest Period; </w:t>
      </w:r>
      <w:r>
        <w:rPr>
          <w:rFonts w:ascii="Times New Roman;Times;serif" w:hAnsi="Times New Roman;Times;serif"/>
          <w:sz w:val="22"/>
          <w:u w:val="single"/>
        </w:rPr>
        <w:t>provided</w:t>
      </w:r>
      <w:r>
        <w:rPr>
          <w:rFonts w:ascii="Times New Roman;Times;serif" w:hAnsi="Times New Roman;Times;serif"/>
          <w:sz w:val="22"/>
        </w:rPr>
        <w:t>, that each such three-month interval payment day shall be the immediately succeeding Business Day if such day is not a Business Day, unless such day is not a Business Day but is a day of the relevant month after which no further Business Day occurs in such month, in which case such day shall be the immediately preceding Business Day and the Revolving Credit Maturity Date.</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Interest Period</w:t>
      </w:r>
      <w:r>
        <w:rPr>
          <w:rFonts w:ascii="Aptos" w:hAnsi="Aptos"/>
          <w:sz w:val="22"/>
        </w:rPr>
        <w:t xml:space="preserve">” </w:t>
      </w:r>
      <w:r>
        <w:rPr>
          <w:rFonts w:ascii="Times New Roman;Times;serif" w:hAnsi="Times New Roman;Times;serif"/>
          <w:sz w:val="22"/>
        </w:rPr>
        <w:t xml:space="preserve">means, as to any Loan, the period commencing on the date such Loan is disbursed or converted to or, with respect to any Eurodollar Fixed Rate Loan or Term RFR Loan, continued as a Eurodollar Fixed Rate Loan or Term RFR Loan, as applicable, and ending on the date one (1), three (3) or six (6) months thereafter, in each case as selected by the Administrative Borrower in its Notice of Borrowing or Notice of Conversion/Continuation and subject to availability; </w:t>
      </w:r>
      <w:r>
        <w:rPr>
          <w:rFonts w:ascii="Times New Roman;Times;serif" w:hAnsi="Times New Roman;Times;serif"/>
          <w:sz w:val="22"/>
          <w:u w:val="single"/>
        </w:rPr>
        <w:t>provided</w:t>
      </w:r>
      <w:r>
        <w:rPr>
          <w:rFonts w:ascii="Aptos" w:hAnsi="Aptos"/>
          <w:sz w:val="22"/>
        </w:rPr>
        <w:t xml:space="preserve"> </w:t>
      </w:r>
      <w:r>
        <w:rPr>
          <w:rFonts w:ascii="Times New Roman;Times;serif" w:hAnsi="Times New Roman;Times;serif"/>
          <w:sz w:val="22"/>
        </w:rPr>
        <w:t>that:</w:t>
      </w:r>
    </w:p>
    <w:p>
      <w:pPr>
        <w:pStyle w:val="TextBody"/>
        <w:bidi w:val="0"/>
        <w:spacing w:lineRule="auto" w:line="285"/>
        <w:ind w:left="0" w:right="0" w:hanging="0"/>
        <w:jc w:val="both"/>
        <w:rPr>
          <w:rFonts w:ascii="Times New Roman;Times;serif" w:hAnsi="Times New Roman;Times;serif"/>
          <w:sz w:val="22"/>
        </w:rPr>
      </w:pPr>
      <w:r>
        <w:rPr>
          <w:rFonts w:ascii="Times New Roman;Times;serif" w:hAnsi="Times New Roman;Times;serif"/>
          <w:sz w:val="22"/>
        </w:rPr>
        <w:t>(a)the Interest Period shall commence on the date of advance of or conversion to any Eurodollar Fixed Rate Loan or Term RFR Loan, as applicable and, in the case of immediately successive Interest Periods, each successive Interest Period shall commence on the date on which the immediately preceding Interest Period expires;</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28</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 xml:space="preserve">(b)if any Interest Period would otherwise expire on a day that is not a Business Day, such Interest Period shall expire on the next succeeding Business Day;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that if any Interest Period would otherwise expire on a day that is not a Business Day but is a day of the month after which no further Business Day occurs in such month, such Interest Period shall expire on the immediately preceding Business Day;</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(c)any Interest Period that begins on the last Business Day of a calendar month (or on a day for which there is no numerically corresponding day in the calendar month at the end of such Interest Period) shall end on the last Business Day of the relevant calendar month at the end of such Interest Period;</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(d)no Interest Period shall extend beyond the Revolving Credit Maturity Date; and</w:t>
      </w:r>
    </w:p>
    <w:p>
      <w:pPr>
        <w:pStyle w:val="TextBody"/>
        <w:bidi w:val="0"/>
        <w:spacing w:lineRule="auto" w:line="285"/>
        <w:ind w:left="0" w:right="0" w:hanging="0"/>
        <w:jc w:val="both"/>
        <w:rPr>
          <w:rFonts w:ascii="Aptos" w:hAnsi="Aptos"/>
          <w:sz w:val="24"/>
        </w:rPr>
      </w:pPr>
      <w:r>
        <w:rPr>
          <w:rFonts w:ascii="Times New Roman;Times;serif" w:hAnsi="Times New Roman;Times;serif"/>
          <w:sz w:val="22"/>
        </w:rPr>
        <w:t xml:space="preserve">(e)no tenor that has been removed from this definition pursuant to </w:t>
      </w:r>
      <w:r>
        <w:rPr>
          <w:rFonts w:ascii="Times New Roman;Times;serif" w:hAnsi="Times New Roman;Times;serif"/>
          <w:sz w:val="22"/>
          <w:u w:val="single"/>
        </w:rPr>
        <w:t>Section 3.5(c)(iv)</w:t>
      </w:r>
      <w:r>
        <w:rPr>
          <w:rFonts w:ascii="Aptos" w:hAnsi="Aptos"/>
          <w:sz w:val="24"/>
        </w:rPr>
        <w:t xml:space="preserve"> </w:t>
      </w:r>
      <w:r>
        <w:rPr>
          <w:rFonts w:ascii="Times New Roman;Times;serif" w:hAnsi="Times New Roman;Times;serif"/>
          <w:sz w:val="22"/>
        </w:rPr>
        <w:t>shall be available for specification in any Notice of Loan or in connection with any conversion or continuation of any Loan.</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ISDA Definitions</w:t>
      </w:r>
      <w:r>
        <w:rPr>
          <w:rFonts w:ascii="Aptos" w:hAnsi="Aptos"/>
          <w:sz w:val="22"/>
        </w:rPr>
        <w:t xml:space="preserve">” </w:t>
      </w:r>
      <w:r>
        <w:rPr>
          <w:rFonts w:ascii="Times New Roman;Times;serif" w:hAnsi="Times New Roman;Times;serif"/>
          <w:sz w:val="22"/>
        </w:rPr>
        <w:t>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Lender</w:t>
      </w:r>
      <w:r>
        <w:rPr>
          <w:rFonts w:ascii="Aptos" w:hAnsi="Aptos"/>
          <w:sz w:val="22"/>
        </w:rPr>
        <w:t xml:space="preserve">” </w:t>
      </w:r>
      <w:r>
        <w:rPr>
          <w:rFonts w:ascii="Times New Roman;Times;serif" w:hAnsi="Times New Roman;Times;serif"/>
          <w:sz w:val="22"/>
        </w:rPr>
        <w:t>means that term as defined in the first paragraph hereof and, as the context requires, shall include the Fronting Lender and the Swing Line Lender.</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Letter of Credit</w:t>
      </w:r>
      <w:r>
        <w:rPr>
          <w:rFonts w:ascii="Aptos" w:hAnsi="Aptos"/>
          <w:sz w:val="22"/>
        </w:rPr>
        <w:t xml:space="preserve">” </w:t>
      </w:r>
      <w:r>
        <w:rPr>
          <w:rFonts w:ascii="Times New Roman;Times;serif" w:hAnsi="Times New Roman;Times;serif"/>
          <w:sz w:val="22"/>
        </w:rPr>
        <w:t>means a standby letter of credit that shall be issued by the Fronting Lender for the account of US Borrower or a Domestic Guarantor of Payment, including amendments thereto, if any, and shall have an expiration date no later than the earlier of (a) one year after its date of issuance (</w:t>
      </w:r>
      <w:r>
        <w:rPr>
          <w:rFonts w:ascii="Times New Roman;Times;serif" w:hAnsi="Times New Roman;Times;serif"/>
          <w:sz w:val="22"/>
          <w:u w:val="single"/>
        </w:rPr>
        <w:t>provided</w:t>
      </w:r>
      <w:r>
        <w:rPr>
          <w:rFonts w:ascii="Aptos" w:hAnsi="Aptos"/>
          <w:sz w:val="22"/>
        </w:rPr>
        <w:t xml:space="preserve"> </w:t>
      </w:r>
      <w:r>
        <w:rPr>
          <w:rFonts w:ascii="Times New Roman;Times;serif" w:hAnsi="Times New Roman;Times;serif"/>
          <w:sz w:val="22"/>
        </w:rPr>
        <w:t xml:space="preserve">that such Letter of Credit may provide for the renewal thereof for additional one year periods), or (b) one year after the Revolving Credit Maturity Date, subject to </w:t>
      </w:r>
      <w:r>
        <w:rPr>
          <w:rFonts w:ascii="Times New Roman;Times;serif" w:hAnsi="Times New Roman;Times;serif"/>
          <w:sz w:val="22"/>
          <w:u w:val="single"/>
        </w:rPr>
        <w:t>Section 2.2(b)(viii)</w:t>
      </w:r>
      <w:r>
        <w:rPr>
          <w:rFonts w:ascii="Aptos" w:hAnsi="Aptos"/>
          <w:sz w:val="22"/>
        </w:rPr>
        <w:t xml:space="preserve"> </w:t>
      </w:r>
      <w:r>
        <w:rPr>
          <w:rFonts w:ascii="Times New Roman;Times;serif" w:hAnsi="Times New Roman;Times;serif"/>
          <w:sz w:val="22"/>
        </w:rPr>
        <w:t>hereof.</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Letter of Credit Commitment</w:t>
      </w:r>
      <w:r>
        <w:rPr>
          <w:rFonts w:ascii="Aptos" w:hAnsi="Aptos"/>
          <w:sz w:val="22"/>
        </w:rPr>
        <w:t xml:space="preserve">” </w:t>
      </w:r>
      <w:r>
        <w:rPr>
          <w:rFonts w:ascii="Times New Roman;Times;serif" w:hAnsi="Times New Roman;Times;serif"/>
          <w:sz w:val="22"/>
        </w:rPr>
        <w:t>means the commitment of the Fronting Lender, on behalf of the Lenders, to issue Letters of Credit in an aggregate face amount of up to Fifty Million Dollars ($50,000,000).</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Letter of Credit Exposure</w:t>
      </w:r>
      <w:r>
        <w:rPr>
          <w:rFonts w:ascii="Aptos" w:hAnsi="Aptos"/>
          <w:sz w:val="22"/>
        </w:rPr>
        <w:t xml:space="preserve">” </w:t>
      </w:r>
      <w:r>
        <w:rPr>
          <w:rFonts w:ascii="Times New Roman;Times;serif" w:hAnsi="Times New Roman;Times;serif"/>
          <w:sz w:val="22"/>
        </w:rPr>
        <w:t xml:space="preserve">means, at any time, the Dollar Equivalent of, the sum of (a) the aggregate undrawn amount of all issued and outstanding Letters of Credit, and (b) the aggregate of the draws made on Letters of Credit that have not been reimbursed by Borrowers or converted to a Revolving Loan pursuant to </w:t>
      </w:r>
      <w:r>
        <w:rPr>
          <w:rFonts w:ascii="Times New Roman;Times;serif" w:hAnsi="Times New Roman;Times;serif"/>
          <w:sz w:val="22"/>
          <w:u w:val="single"/>
        </w:rPr>
        <w:t xml:space="preserve">Section 2.2(b)(iv) </w:t>
      </w:r>
      <w:r>
        <w:rPr>
          <w:rFonts w:ascii="Times New Roman;Times;serif" w:hAnsi="Times New Roman;Times;serif"/>
          <w:sz w:val="22"/>
        </w:rPr>
        <w:t>hereof.</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Lien</w:t>
      </w:r>
      <w:r>
        <w:rPr>
          <w:rFonts w:ascii="Aptos" w:hAnsi="Aptos"/>
          <w:sz w:val="22"/>
        </w:rPr>
        <w:t xml:space="preserve">” </w:t>
      </w:r>
      <w:r>
        <w:rPr>
          <w:rFonts w:ascii="Times New Roman;Times;serif" w:hAnsi="Times New Roman;Times;serif"/>
          <w:sz w:val="22"/>
        </w:rPr>
        <w:t>means any mortgage, deed of trust, security interest, lien (statutory or other), charge, assignment, hypothecation, encumbrance on, pledge or deposit of, or conditional sale, lease (other than Operating Leases), sale with a right of redemption or other title retention agreement and any capitalized lease with respect to any property (real or personal) or asset.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Limited Conditionality Acquisition</w:t>
      </w:r>
      <w:r>
        <w:rPr>
          <w:rFonts w:ascii="Aptos" w:hAnsi="Aptos"/>
          <w:sz w:val="22"/>
        </w:rPr>
        <w:t xml:space="preserve">” </w:t>
      </w:r>
      <w:r>
        <w:rPr>
          <w:rFonts w:ascii="Times New Roman;Times;serif" w:hAnsi="Times New Roman;Times;serif"/>
          <w:sz w:val="22"/>
        </w:rPr>
        <w:t xml:space="preserve">means that term as defined in </w:t>
      </w:r>
      <w:r>
        <w:rPr>
          <w:rFonts w:ascii="Times New Roman;Times;serif" w:hAnsi="Times New Roman;Times;serif"/>
          <w:sz w:val="22"/>
          <w:u w:val="single"/>
        </w:rPr>
        <w:t>Section 2.9(d)</w:t>
      </w:r>
      <w:r>
        <w:rPr>
          <w:rFonts w:ascii="Aptos" w:hAnsi="Aptos"/>
          <w:sz w:val="22"/>
        </w:rPr>
        <w:t xml:space="preserve"> </w:t>
      </w:r>
      <w:r>
        <w:rPr>
          <w:rFonts w:ascii="Times New Roman;Times;serif" w:hAnsi="Times New Roman;Times;serif"/>
          <w:sz w:val="22"/>
        </w:rPr>
        <w:t>hereof.</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Loan</w:t>
      </w:r>
      <w:r>
        <w:rPr>
          <w:rFonts w:ascii="Aptos" w:hAnsi="Aptos"/>
          <w:sz w:val="22"/>
        </w:rPr>
        <w:t xml:space="preserve">” </w:t>
      </w:r>
      <w:r>
        <w:rPr>
          <w:rFonts w:ascii="Times New Roman;Times;serif" w:hAnsi="Times New Roman;Times;serif"/>
          <w:sz w:val="22"/>
        </w:rPr>
        <w:t>means a Revolving Loan or a Swing Loan.</w:t>
      </w:r>
    </w:p>
    <w:p>
      <w:pPr>
        <w:pStyle w:val="TextBody"/>
        <w:bidi w:val="0"/>
        <w:spacing w:lineRule="auto" w:line="285" w:before="0" w:after="0"/>
        <w:ind w:left="0" w:right="0" w:firstLine="720"/>
        <w:jc w:val="both"/>
        <w:rPr/>
      </w:pPr>
      <w:r>
        <w:rPr/>
        <w:t>“</w:t>
      </w:r>
      <w:r>
        <w:rPr>
          <w:rFonts w:ascii="Times New Roman;Times;serif" w:hAnsi="Times New Roman;Times;serif"/>
          <w:sz w:val="22"/>
          <w:u w:val="single"/>
        </w:rPr>
        <w:t>Loan Documents</w:t>
      </w:r>
      <w:r>
        <w:rPr>
          <w:rFonts w:ascii="Aptos" w:hAnsi="Aptos"/>
          <w:sz w:val="22"/>
        </w:rPr>
        <w:t xml:space="preserve">” </w:t>
      </w:r>
      <w:r>
        <w:rPr>
          <w:rFonts w:ascii="Times New Roman;Times;serif" w:hAnsi="Times New Roman;Times;serif"/>
          <w:sz w:val="22"/>
        </w:rPr>
        <w:t xml:space="preserve">means, collectively, this Agreement, each Note, each Guaranty of Payment, each Guaranty of Payment Joinder, all documentation relating to each Letter of Credit, each Security Document, each Additional Foreign Borrower Assumption Agreement and the Fee Letter, as any of the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29</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foregoing may from time to time be amended, restated or otherwise modified or replaced, and any other document delivered pursuant thereto.</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Material Adverse Effect</w:t>
      </w:r>
      <w:r>
        <w:rPr>
          <w:rFonts w:ascii="Aptos" w:hAnsi="Aptos"/>
          <w:sz w:val="22"/>
        </w:rPr>
        <w:t xml:space="preserve">” </w:t>
      </w:r>
      <w:r>
        <w:rPr>
          <w:rFonts w:ascii="Times New Roman;Times;serif" w:hAnsi="Times New Roman;Times;serif"/>
          <w:sz w:val="22"/>
        </w:rPr>
        <w:t>means a material adverse effect on (a) the business, assets, liabilities (actual or contingent), operations or condition (financial or otherwise) of the Companies taken as a whole, (b) the material rights and remedies of Agent or the Lenders under any Loan Document, (c) the ability of the Credit Parties, taken as a whole, to perform their obligations under any material Loan Document, or (d) the legality, validity, binding effect or enforceability against any Credit Party of any material Loan Document to which it is a party.</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Material Indebtedness Agreement</w:t>
      </w:r>
      <w:r>
        <w:rPr>
          <w:rFonts w:ascii="Aptos" w:hAnsi="Aptos"/>
          <w:sz w:val="22"/>
        </w:rPr>
        <w:t xml:space="preserve">” </w:t>
      </w:r>
      <w:r>
        <w:rPr>
          <w:rFonts w:ascii="Times New Roman;Times;serif" w:hAnsi="Times New Roman;Times;serif"/>
          <w:sz w:val="22"/>
        </w:rPr>
        <w:t>means any debt instrument, capital lease (but not any Operating Lease), guaranty, contract, agreement or other arrangement evidencing any Indebtedness of any Company or the Companies in excess of the amount of Twenty Million Dollars ($20,000,000).</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Material Foreign Subsidiary</w:t>
      </w:r>
      <w:r>
        <w:rPr>
          <w:rFonts w:ascii="Aptos" w:hAnsi="Aptos"/>
          <w:sz w:val="22"/>
        </w:rPr>
        <w:t xml:space="preserve">” </w:t>
      </w:r>
      <w:r>
        <w:rPr>
          <w:rFonts w:ascii="Times New Roman;Times;serif" w:hAnsi="Times New Roman;Times;serif"/>
          <w:sz w:val="22"/>
        </w:rPr>
        <w:t>means any Foreign Subsidiary with assets (consolidated with any other Foreign Subsidiaries organized in the same foreign jurisdiction) in excess of five percent (5%) of Consolidated Total Assets.</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Maximum Rate</w:t>
      </w:r>
      <w:r>
        <w:rPr>
          <w:rFonts w:ascii="Aptos" w:hAnsi="Aptos"/>
          <w:sz w:val="22"/>
        </w:rPr>
        <w:t xml:space="preserve">” </w:t>
      </w:r>
      <w:r>
        <w:rPr>
          <w:rFonts w:ascii="Times New Roman;Times;serif" w:hAnsi="Times New Roman;Times;serif"/>
          <w:sz w:val="22"/>
        </w:rPr>
        <w:t xml:space="preserve">means that term as defined in </w:t>
      </w:r>
      <w:r>
        <w:rPr>
          <w:rFonts w:ascii="Times New Roman;Times;serif" w:hAnsi="Times New Roman;Times;serif"/>
          <w:sz w:val="22"/>
          <w:u w:val="single"/>
        </w:rPr>
        <w:t>Section 2.3(d)(i)</w:t>
      </w:r>
      <w:r>
        <w:rPr>
          <w:rFonts w:ascii="Aptos" w:hAnsi="Aptos"/>
          <w:sz w:val="22"/>
        </w:rPr>
        <w:t xml:space="preserve"> </w:t>
      </w:r>
      <w:r>
        <w:rPr>
          <w:rFonts w:ascii="Times New Roman;Times;serif" w:hAnsi="Times New Roman;Times;serif"/>
          <w:sz w:val="22"/>
        </w:rPr>
        <w:t>hereof.</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Minimum Collateral Amount</w:t>
      </w:r>
      <w:r>
        <w:rPr>
          <w:rFonts w:ascii="Aptos" w:hAnsi="Aptos"/>
          <w:sz w:val="22"/>
        </w:rPr>
        <w:t xml:space="preserve">” </w:t>
      </w:r>
      <w:r>
        <w:rPr>
          <w:rFonts w:ascii="Times New Roman;Times;serif" w:hAnsi="Times New Roman;Times;serif"/>
          <w:sz w:val="22"/>
        </w:rPr>
        <w:t>means, at any time, (a) with respect to Cash Collateral consisting of cash or deposit account balances, an amount equal to 103% of the sum of (i) the Fronting Exposure of applicable Fronting Lenders with respect to Letters of Credit issued and outstanding at such time and (ii) the Fronting Exposure of the Swing Line Lender with respect to all Swing Loans outstanding at such time and (b) otherwise, an amount determined by Agent and each of the applicable Fronting Lenders that is entitled to Cash Collateral hereunder at such time in their sole discretion.</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Multiemployer Plan</w:t>
      </w:r>
      <w:r>
        <w:rPr>
          <w:rFonts w:ascii="Aptos" w:hAnsi="Aptos"/>
          <w:sz w:val="22"/>
        </w:rPr>
        <w:t xml:space="preserve">” </w:t>
      </w:r>
      <w:r>
        <w:rPr>
          <w:rFonts w:ascii="Times New Roman;Times;serif" w:hAnsi="Times New Roman;Times;serif"/>
          <w:sz w:val="22"/>
        </w:rPr>
        <w:t>means a Pension Plan that is subject to the requirements of Subtitle E of Title IV of ERISA.</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Net Cash Proceeds</w:t>
      </w:r>
      <w:r>
        <w:rPr>
          <w:rFonts w:ascii="Aptos" w:hAnsi="Aptos"/>
          <w:sz w:val="22"/>
        </w:rPr>
        <w:t xml:space="preserve">” </w:t>
      </w:r>
      <w:r>
        <w:rPr>
          <w:rFonts w:ascii="Times New Roman;Times;serif" w:hAnsi="Times New Roman;Times;serif"/>
          <w:sz w:val="22"/>
        </w:rPr>
        <w:t xml:space="preserve">means, as applicable, (a) with respect to any sale, lease, transfer or other disposition of assets, all cash and Cash Equivalents received by any Company therefrom (including any cash or Cash Equivalents received by way of deferred payment pursuant to, or by monetization of, a note receivable or otherwise, as and when received) </w:t>
      </w:r>
      <w:r>
        <w:rPr>
          <w:rFonts w:ascii="Times New Roman;Times;serif" w:hAnsi="Times New Roman;Times;serif"/>
          <w:sz w:val="22"/>
          <w:u w:val="single"/>
        </w:rPr>
        <w:t>less</w:t>
      </w:r>
      <w:r>
        <w:rPr>
          <w:rFonts w:ascii="Aptos" w:hAnsi="Aptos"/>
          <w:sz w:val="22"/>
        </w:rPr>
        <w:t xml:space="preserve"> </w:t>
      </w:r>
      <w:r>
        <w:rPr>
          <w:rFonts w:ascii="Times New Roman;Times;serif" w:hAnsi="Times New Roman;Times;serif"/>
          <w:sz w:val="22"/>
        </w:rPr>
        <w:t xml:space="preserve">the sum of (i) all income taxes and other taxes assessed by, or reasonably estimated to be payable to, a Governmental Authority as a result of such transaction (provided that if such estimated taxes exceed the amount of actual taxes required to be paid in cash in respect of such sale, lease, transfer or other disposition of assets, the amount of such excess shall constitute Net Cash Proceeds), (ii) all reasonable out-of-pocket fees and expenses incurred in connection with such transaction or event, (iii) the principal amount of, premium, if any, and interest on any Indebtedness (other than Indebtedness under the Loan Documents) secured by a Lien on the asset (or a portion thereof) disposed of, which Indebtedness is required to be repaid in connection with such transaction or event and (iv) all amounts that are set aside as a reserve (A) for adjustments in respect of the purchase price of such assets, (B) for any liabilities associated with such sale or casualty, to the extent such reserve is required by GAAP or as otherwise required pursuant to the documentation with respect to such sale, lease, transfer or other disposition of assets, (C) for the payment of unassumed liabilities relating to the assets sold or otherwise disposed of at the time of, or within 30 days after, the date of such sale or other disposition and (D) for the payment of indemnification obligations; </w:t>
      </w:r>
      <w:r>
        <w:rPr>
          <w:rFonts w:ascii="Times New Roman;Times;serif" w:hAnsi="Times New Roman;Times;serif"/>
          <w:sz w:val="22"/>
          <w:u w:val="single"/>
        </w:rPr>
        <w:t>provided</w:t>
      </w:r>
      <w:r>
        <w:rPr>
          <w:rFonts w:ascii="Aptos" w:hAnsi="Aptos"/>
          <w:sz w:val="22"/>
        </w:rPr>
        <w:t xml:space="preserve"> </w:t>
      </w:r>
      <w:r>
        <w:rPr>
          <w:rFonts w:ascii="Times New Roman;Times;serif" w:hAnsi="Times New Roman;Times;serif"/>
          <w:sz w:val="22"/>
        </w:rPr>
        <w:t xml:space="preserve">that, to the extent and at the time any such amounts are released from such reserve and received by such Company, such amounts shall constitute Net Cash Proceeds, and (b) with respect to any Equity Issuance or Debt Issuance, the gross cash proceeds received by any Company therefrom </w:t>
      </w:r>
      <w:r>
        <w:rPr>
          <w:rFonts w:ascii="Times New Roman;Times;serif" w:hAnsi="Times New Roman;Times;serif"/>
          <w:sz w:val="22"/>
          <w:u w:val="single"/>
        </w:rPr>
        <w:t>less</w:t>
      </w:r>
      <w:r>
        <w:rPr>
          <w:rFonts w:ascii="Aptos" w:hAnsi="Aptos"/>
          <w:sz w:val="22"/>
        </w:rPr>
        <w:t xml:space="preserve"> </w:t>
      </w:r>
      <w:r>
        <w:rPr>
          <w:rFonts w:ascii="Times New Roman;Times;serif" w:hAnsi="Times New Roman;Times;serif"/>
          <w:sz w:val="22"/>
        </w:rPr>
        <w:t>all reasonable out-of-pocket legal, underwriting and other fees and expenses incurred in connection therewith.</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30</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Net Leverage Ratio</w:t>
      </w:r>
      <w:r>
        <w:rPr>
          <w:rFonts w:ascii="Aptos" w:hAnsi="Aptos"/>
          <w:sz w:val="22"/>
        </w:rPr>
        <w:t xml:space="preserve">” </w:t>
      </w:r>
      <w:r>
        <w:rPr>
          <w:rFonts w:ascii="Times New Roman;Times;serif" w:hAnsi="Times New Roman;Times;serif"/>
          <w:sz w:val="22"/>
        </w:rPr>
        <w:t xml:space="preserve">means, as any date of determination, the ratio of (a) Consolidated Funded Indebtedness (as of the end of the most recently completed fiscal quarter of US Borrower) </w:t>
      </w:r>
      <w:r>
        <w:rPr>
          <w:rFonts w:ascii="Times New Roman;Times;serif" w:hAnsi="Times New Roman;Times;serif"/>
          <w:sz w:val="22"/>
          <w:u w:val="single"/>
        </w:rPr>
        <w:t xml:space="preserve">minus </w:t>
      </w:r>
      <w:r>
        <w:rPr>
          <w:rFonts w:ascii="Times New Roman;Times;serif" w:hAnsi="Times New Roman;Times;serif"/>
          <w:sz w:val="22"/>
        </w:rPr>
        <w:t>the lesser of (x) seventy percent (70%) of Unrestricted cash and Cash Equivalents of the Companies and (y) One Hundred Million Dollars ($100,000,000) to (b) Consolidated EBITDA (for the most recently completed four fiscal quarters of US Borrower).</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New Zealand Dollar</w:t>
      </w:r>
      <w:r>
        <w:rPr>
          <w:rFonts w:ascii="Aptos" w:hAnsi="Aptos"/>
          <w:sz w:val="22"/>
        </w:rPr>
        <w:t xml:space="preserve">” </w:t>
      </w:r>
      <w:r>
        <w:rPr>
          <w:rFonts w:ascii="Times New Roman;Times;serif" w:hAnsi="Times New Roman;Times;serif"/>
          <w:sz w:val="22"/>
        </w:rPr>
        <w:t>means the lawful currency of New Zealand.</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Ninth Amendment Effective Date</w:t>
      </w:r>
      <w:r>
        <w:rPr>
          <w:rFonts w:ascii="Aptos" w:hAnsi="Aptos"/>
          <w:sz w:val="22"/>
        </w:rPr>
        <w:t xml:space="preserve">” </w:t>
      </w:r>
      <w:r>
        <w:rPr>
          <w:rFonts w:ascii="Times New Roman;Times;serif" w:hAnsi="Times New Roman;Times;serif"/>
          <w:sz w:val="22"/>
        </w:rPr>
        <w:t>means August 8, 2024.</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Non-Consenting Lender</w:t>
      </w:r>
      <w:r>
        <w:rPr>
          <w:rFonts w:ascii="Aptos" w:hAnsi="Aptos"/>
          <w:sz w:val="22"/>
        </w:rPr>
        <w:t xml:space="preserve">” </w:t>
      </w:r>
      <w:r>
        <w:rPr>
          <w:rFonts w:ascii="Times New Roman;Times;serif" w:hAnsi="Times New Roman;Times;serif"/>
          <w:sz w:val="22"/>
        </w:rPr>
        <w:t xml:space="preserve">means any Lender that does not approve any consent, waiver, amendment, modification or termination that (a) requires the approval of all Lenders, each Lender directly and adversely affected thereby or all affected Lenders in accordance with the terms of </w:t>
      </w:r>
      <w:r>
        <w:rPr>
          <w:rFonts w:ascii="Times New Roman;Times;serif" w:hAnsi="Times New Roman;Times;serif"/>
          <w:sz w:val="22"/>
          <w:u w:val="single"/>
        </w:rPr>
        <w:t>Section 11.3</w:t>
      </w:r>
      <w:r>
        <w:rPr>
          <w:rFonts w:ascii="Aptos" w:hAnsi="Aptos"/>
          <w:sz w:val="22"/>
        </w:rPr>
        <w:t xml:space="preserve"> </w:t>
      </w:r>
      <w:r>
        <w:rPr>
          <w:rFonts w:ascii="Times New Roman;Times;serif" w:hAnsi="Times New Roman;Times;serif"/>
          <w:sz w:val="22"/>
        </w:rPr>
        <w:t>hereof and (b) has been approved by the Required Lenders.</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Note</w:t>
      </w:r>
      <w:r>
        <w:rPr>
          <w:rFonts w:ascii="Aptos" w:hAnsi="Aptos"/>
          <w:sz w:val="22"/>
        </w:rPr>
        <w:t xml:space="preserve">” </w:t>
      </w:r>
      <w:r>
        <w:rPr>
          <w:rFonts w:ascii="Times New Roman;Times;serif" w:hAnsi="Times New Roman;Times;serif"/>
          <w:sz w:val="22"/>
        </w:rPr>
        <w:t>means a Revolving Credit Note or the Swing Line Note, or any other promissory note delivered pursuant to this Agreement.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Notice of Loan</w:t>
      </w:r>
      <w:r>
        <w:rPr>
          <w:rFonts w:ascii="Aptos" w:hAnsi="Aptos"/>
          <w:sz w:val="22"/>
        </w:rPr>
        <w:t xml:space="preserve">” </w:t>
      </w:r>
      <w:r>
        <w:rPr>
          <w:rFonts w:ascii="Times New Roman;Times;serif" w:hAnsi="Times New Roman;Times;serif"/>
          <w:sz w:val="22"/>
        </w:rPr>
        <w:t xml:space="preserve">means a Notice of Loan in the form of the attached </w:t>
      </w:r>
      <w:r>
        <w:rPr>
          <w:rFonts w:ascii="Times New Roman;Times;serif" w:hAnsi="Times New Roman;Times;serif"/>
          <w:sz w:val="22"/>
          <w:u w:val="single"/>
        </w:rPr>
        <w:t>Exhibit D</w:t>
      </w:r>
      <w:r>
        <w:rPr>
          <w:rFonts w:ascii="Times New Roman;Times;serif" w:hAnsi="Times New Roman;Times;serif"/>
          <w:sz w:val="22"/>
        </w:rPr>
        <w: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Obligations</w:t>
      </w:r>
      <w:r>
        <w:rPr>
          <w:rFonts w:ascii="Aptos" w:hAnsi="Aptos"/>
          <w:sz w:val="22"/>
        </w:rPr>
        <w:t xml:space="preserve">” </w:t>
      </w:r>
      <w:r>
        <w:rPr>
          <w:rFonts w:ascii="Times New Roman;Times;serif" w:hAnsi="Times New Roman;Times;serif"/>
          <w:sz w:val="22"/>
        </w:rPr>
        <w:t>means, collectively, (a) all Indebtedness and other obligations now owing or hereafter incurred by one or more Borrowers to Agent, the Swing Line Lender, the Fronting Lenders, or any Lender (or any affiliate thereof) pursuant to this Agreement and the other Loan Documents, and includes the principal of and interest on all Loans, (b) all obligations of US Borrower or any Credit Party pursuant to Letters of Credit; (c) each extension, renewal, consolidation or refinancing of any of the foregoing, in whole or in part; (d) the commitment and other fees, and any prepayment fees payable pursuant to this Agreement or any other Loan Document; (e) all fees and charges in connection with the Letters of Credit; (f) every other liability, now or hereafter owing to Agent or any Lender by any Company pursuant to this Agreement or any other Loan Document; and (g) all Related Expenses.</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OFAC</w:t>
      </w:r>
      <w:r>
        <w:rPr>
          <w:rFonts w:ascii="Aptos" w:hAnsi="Aptos"/>
          <w:sz w:val="22"/>
        </w:rPr>
        <w:t xml:space="preserve">” </w:t>
      </w:r>
      <w:r>
        <w:rPr>
          <w:rFonts w:ascii="Times New Roman;Times;serif" w:hAnsi="Times New Roman;Times;serif"/>
          <w:sz w:val="22"/>
        </w:rPr>
        <w:t>means the U.S. Department of the Treasury’s Office of Foreign Assets Control.</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Operating Leases</w:t>
      </w:r>
      <w:r>
        <w:rPr>
          <w:rFonts w:ascii="Aptos" w:hAnsi="Aptos"/>
          <w:sz w:val="22"/>
        </w:rPr>
        <w:t xml:space="preserve">” </w:t>
      </w:r>
      <w:r>
        <w:rPr>
          <w:rFonts w:ascii="Times New Roman;Times;serif" w:hAnsi="Times New Roman;Times;serif"/>
          <w:sz w:val="22"/>
        </w:rPr>
        <w:t xml:space="preserve">means all real or personal property leases under which any Company is bound or obligated as a lessee or sublessee and which, under GAAP (prior to the effectiveness date of FASB ASC 842), would not be required to be capitalized on a balance sheet of such Company; </w:t>
      </w:r>
      <w:r>
        <w:rPr>
          <w:rFonts w:ascii="Times New Roman;Times;serif" w:hAnsi="Times New Roman;Times;serif"/>
          <w:sz w:val="22"/>
          <w:u w:val="single"/>
        </w:rPr>
        <w:t>provided</w:t>
      </w:r>
      <w:r>
        <w:rPr>
          <w:rFonts w:ascii="Aptos" w:hAnsi="Aptos"/>
          <w:sz w:val="22"/>
        </w:rPr>
        <w:t xml:space="preserve"> </w:t>
      </w:r>
      <w:r>
        <w:rPr>
          <w:rFonts w:ascii="Times New Roman;Times;serif" w:hAnsi="Times New Roman;Times;serif"/>
          <w:sz w:val="22"/>
        </w:rPr>
        <w:t>that Operating Leases shall not include any such lease under which any Company is also bound as the lessor or sublessor.  For the avoidance of doubt, Facility-Related Leases shall be deemed to constitute Operating Leases.</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Optional Leverage Ratio Increase</w:t>
      </w:r>
      <w:r>
        <w:rPr>
          <w:rFonts w:ascii="Aptos" w:hAnsi="Aptos"/>
          <w:sz w:val="22"/>
        </w:rPr>
        <w:t xml:space="preserve">” </w:t>
      </w:r>
      <w:r>
        <w:rPr>
          <w:rFonts w:ascii="Times New Roman;Times;serif" w:hAnsi="Times New Roman;Times;serif"/>
          <w:sz w:val="22"/>
        </w:rPr>
        <w:t xml:space="preserve">means that term as defined in </w:t>
      </w:r>
      <w:r>
        <w:rPr>
          <w:rFonts w:ascii="Times New Roman;Times;serif" w:hAnsi="Times New Roman;Times;serif"/>
          <w:sz w:val="22"/>
          <w:u w:val="single"/>
        </w:rPr>
        <w:t>Section 5.7</w:t>
      </w:r>
      <w:r>
        <w:rPr>
          <w:rFonts w:ascii="Aptos" w:hAnsi="Aptos"/>
          <w:sz w:val="22"/>
        </w:rPr>
        <w:t xml:space="preserve"> </w:t>
      </w:r>
      <w:r>
        <w:rPr>
          <w:rFonts w:ascii="Times New Roman;Times;serif" w:hAnsi="Times New Roman;Times;serif"/>
          <w:sz w:val="22"/>
        </w:rPr>
        <w:t>hereof.</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Organizational Documents</w:t>
      </w:r>
      <w:r>
        <w:rPr>
          <w:rFonts w:ascii="Aptos" w:hAnsi="Aptos"/>
          <w:sz w:val="22"/>
        </w:rPr>
        <w:t xml:space="preserve">” </w:t>
      </w:r>
      <w:r>
        <w:rPr>
          <w:rFonts w:ascii="Times New Roman;Times;serif" w:hAnsi="Times New Roman;Times;serif"/>
          <w:sz w:val="22"/>
        </w:rPr>
        <w:t>means, with respect to any Person (other than an individual), such Person’s Articles (Certificate) of Incorporation, operating agreement or equivalent formation documents, and Regulations (Bylaws), or equivalent governing documents, and any amendments to any of the foregoing.</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Other Connection Taxes</w:t>
      </w:r>
      <w:r>
        <w:rPr>
          <w:rFonts w:ascii="Aptos" w:hAnsi="Aptos"/>
          <w:sz w:val="22"/>
        </w:rPr>
        <w:t xml:space="preserve">” </w:t>
      </w:r>
      <w:r>
        <w:rPr>
          <w:rFonts w:ascii="Times New Roman;Times;serif" w:hAnsi="Times New Roman;Times;serif"/>
          <w:sz w:val="22"/>
        </w:rPr>
        <w:t>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31</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Other Taxes</w:t>
      </w:r>
      <w:r>
        <w:rPr>
          <w:rFonts w:ascii="Aptos" w:hAnsi="Aptos"/>
          <w:sz w:val="22"/>
        </w:rPr>
        <w:t xml:space="preserve">” </w:t>
      </w:r>
      <w:r>
        <w:rPr>
          <w:rFonts w:ascii="Times New Roman;Times;serif" w:hAnsi="Times New Roman;Times;serif"/>
          <w:sz w:val="22"/>
        </w:rPr>
        <w:t xml:space="preserve">means all present or future stamp, court,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Times;serif" w:hAnsi="Times New Roman;Times;serif"/>
          <w:sz w:val="22"/>
          <w:u w:val="single"/>
        </w:rPr>
        <w:t>Section 3.4</w:t>
      </w:r>
      <w:r>
        <w:rPr>
          <w:rFonts w:ascii="Aptos" w:hAnsi="Aptos"/>
          <w:sz w:val="22"/>
        </w:rPr>
        <w:t xml:space="preserve"> </w:t>
      </w:r>
      <w:r>
        <w:rPr>
          <w:rFonts w:ascii="Times New Roman;Times;serif" w:hAnsi="Times New Roman;Times;serif"/>
          <w:sz w:val="22"/>
        </w:rPr>
        <w:t>hereof).</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Overnight Rate</w:t>
      </w:r>
      <w:r>
        <w:rPr>
          <w:rFonts w:ascii="Aptos" w:hAnsi="Aptos"/>
          <w:sz w:val="22"/>
        </w:rPr>
        <w:t xml:space="preserve">” </w:t>
      </w:r>
      <w:r>
        <w:rPr>
          <w:rFonts w:ascii="Times New Roman;Times;serif" w:hAnsi="Times New Roman;Times;serif"/>
          <w:sz w:val="22"/>
        </w:rPr>
        <w:t>means, for any day, (a) with respect to any amount denominated in Dollars, the greater of (i) the Federal Funds Effective Rate and (ii) an overnight rate determined by the Agent (or to the extent payable to an Fronting Lender or the Swing Line Lender, such Fronting Lender or Swing Line Lender, as applicable, in each case, with notice to the Agent) to be customary in the place of disbursement or payment for the settlement of international banking transactions, and (b) with respect to any amount denominated in an Alternate Currency, an overnight rate determined by the Agent (or to the extent payable to an Fronting Lender or the Swing Line Lender, such Fronting Lender or Swing Line Lender, as applicable, in each case, with notice to the Agent) to be customary in the place of disbursement or payment for the settlement of international banking transactions.</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Participant</w:t>
      </w:r>
      <w:r>
        <w:rPr>
          <w:rFonts w:ascii="Aptos" w:hAnsi="Aptos"/>
          <w:sz w:val="22"/>
        </w:rPr>
        <w:t xml:space="preserve">” </w:t>
      </w:r>
      <w:r>
        <w:rPr>
          <w:rFonts w:ascii="Times New Roman;Times;serif" w:hAnsi="Times New Roman;Times;serif"/>
          <w:sz w:val="22"/>
        </w:rPr>
        <w:t xml:space="preserve">means that term as defined in </w:t>
      </w:r>
      <w:r>
        <w:rPr>
          <w:rFonts w:ascii="Times New Roman;Times;serif" w:hAnsi="Times New Roman;Times;serif"/>
          <w:sz w:val="22"/>
          <w:u w:val="single"/>
        </w:rPr>
        <w:t>Section 11.10(c)</w:t>
      </w:r>
      <w:r>
        <w:rPr>
          <w:rFonts w:ascii="Aptos" w:hAnsi="Aptos"/>
          <w:sz w:val="22"/>
        </w:rPr>
        <w:t xml:space="preserve"> </w:t>
      </w:r>
      <w:r>
        <w:rPr>
          <w:rFonts w:ascii="Times New Roman;Times;serif" w:hAnsi="Times New Roman;Times;serif"/>
          <w:sz w:val="22"/>
        </w:rPr>
        <w:t>hereof.</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Participant Register</w:t>
      </w:r>
      <w:r>
        <w:rPr>
          <w:rFonts w:ascii="Aptos" w:hAnsi="Aptos"/>
          <w:sz w:val="22"/>
        </w:rPr>
        <w:t xml:space="preserve">” </w:t>
      </w:r>
      <w:r>
        <w:rPr>
          <w:rFonts w:ascii="Times New Roman;Times;serif" w:hAnsi="Times New Roman;Times;serif"/>
          <w:sz w:val="22"/>
        </w:rPr>
        <w:t xml:space="preserve">means that term as defined in </w:t>
      </w:r>
      <w:r>
        <w:rPr>
          <w:rFonts w:ascii="Times New Roman;Times;serif" w:hAnsi="Times New Roman;Times;serif"/>
          <w:sz w:val="22"/>
          <w:u w:val="single"/>
        </w:rPr>
        <w:t>Section 11.10(c)</w:t>
      </w:r>
      <w:r>
        <w:rPr>
          <w:rFonts w:ascii="Aptos" w:hAnsi="Aptos"/>
          <w:sz w:val="22"/>
        </w:rPr>
        <w:t xml:space="preserve"> </w:t>
      </w:r>
      <w:r>
        <w:rPr>
          <w:rFonts w:ascii="Times New Roman;Times;serif" w:hAnsi="Times New Roman;Times;serif"/>
          <w:sz w:val="22"/>
        </w:rPr>
        <w:t>hereof.</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Participating Member State</w:t>
      </w:r>
      <w:r>
        <w:rPr>
          <w:rFonts w:ascii="Aptos" w:hAnsi="Aptos"/>
          <w:sz w:val="22"/>
        </w:rPr>
        <w:t xml:space="preserve">” </w:t>
      </w:r>
      <w:r>
        <w:rPr>
          <w:rFonts w:ascii="Times New Roman;Times;serif" w:hAnsi="Times New Roman;Times;serif"/>
          <w:sz w:val="22"/>
        </w:rPr>
        <w:t>means any member state of the European Union that has the Euro as its lawful currency in accordance with legislation of the European Union relating to Economic and Monetary Union.</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Patriot Act</w:t>
      </w:r>
      <w:r>
        <w:rPr>
          <w:rFonts w:ascii="Aptos" w:hAnsi="Aptos"/>
          <w:sz w:val="22"/>
        </w:rPr>
        <w:t xml:space="preserve">” </w:t>
      </w:r>
      <w:r>
        <w:rPr>
          <w:rFonts w:ascii="Times New Roman;Times;serif" w:hAnsi="Times New Roman;Times;serif"/>
          <w:sz w:val="22"/>
        </w:rPr>
        <w:t>means the Uniting and Strengthening America by Providing Appropriate Tools Required to Intercept and Obstruct Terrorism Act of 2001, USA Patriot Act, Title III of Pub. L. 107-56, signed into law October 26, 2001, as amended from time to time.</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PBGC</w:t>
      </w:r>
      <w:r>
        <w:rPr>
          <w:rFonts w:ascii="Aptos" w:hAnsi="Aptos"/>
          <w:sz w:val="22"/>
        </w:rPr>
        <w:t xml:space="preserve">” </w:t>
      </w:r>
      <w:r>
        <w:rPr>
          <w:rFonts w:ascii="Times New Roman;Times;serif" w:hAnsi="Times New Roman;Times;serif"/>
          <w:sz w:val="22"/>
        </w:rPr>
        <w:t>means the Pension Benefit Guaranty Corporation, and its successor.</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Pension Act</w:t>
      </w:r>
      <w:r>
        <w:rPr>
          <w:rFonts w:ascii="Aptos" w:hAnsi="Aptos"/>
          <w:sz w:val="22"/>
        </w:rPr>
        <w:t xml:space="preserve">” </w:t>
      </w:r>
      <w:r>
        <w:rPr>
          <w:rFonts w:ascii="Times New Roman;Times;serif" w:hAnsi="Times New Roman;Times;serif"/>
          <w:sz w:val="22"/>
        </w:rPr>
        <w:t>means the Pension Protection Act of 2006.</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Pension Plan</w:t>
      </w:r>
      <w:r>
        <w:rPr>
          <w:rFonts w:ascii="Aptos" w:hAnsi="Aptos"/>
          <w:sz w:val="22"/>
        </w:rPr>
        <w:t xml:space="preserve">” </w:t>
      </w:r>
      <w:r>
        <w:rPr>
          <w:rFonts w:ascii="Times New Roman;Times;serif" w:hAnsi="Times New Roman;Times;serif"/>
          <w:sz w:val="22"/>
        </w:rPr>
        <w:t>means an ERISA Plan that is a “pension plan” (within the meaning of ERISA Section 3(2)).</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Percepta</w:t>
      </w:r>
      <w:r>
        <w:rPr>
          <w:rFonts w:ascii="Aptos" w:hAnsi="Aptos"/>
          <w:sz w:val="22"/>
        </w:rPr>
        <w:t xml:space="preserve">” </w:t>
      </w:r>
      <w:r>
        <w:rPr>
          <w:rFonts w:ascii="Times New Roman;Times;serif" w:hAnsi="Times New Roman;Times;serif"/>
          <w:sz w:val="22"/>
        </w:rPr>
        <w:t>means Percepta, LLC and each of its Subsidiaries.</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Performance Guaranty</w:t>
      </w:r>
      <w:r>
        <w:rPr>
          <w:rFonts w:ascii="Aptos" w:hAnsi="Aptos"/>
          <w:sz w:val="22"/>
        </w:rPr>
        <w:t xml:space="preserve">” </w:t>
      </w:r>
      <w:r>
        <w:rPr>
          <w:rFonts w:ascii="Times New Roman;Times;serif" w:hAnsi="Times New Roman;Times;serif"/>
          <w:sz w:val="22"/>
        </w:rPr>
        <w:t xml:space="preserve">means a performance guaranty entered into in the ordinary course of business and upon terms typical in the industry of Borrowers; </w:t>
      </w:r>
      <w:r>
        <w:rPr>
          <w:rFonts w:ascii="Times New Roman;Times;serif" w:hAnsi="Times New Roman;Times;serif"/>
          <w:sz w:val="22"/>
          <w:u w:val="single"/>
        </w:rPr>
        <w:t>provided</w:t>
      </w:r>
      <w:r>
        <w:rPr>
          <w:rFonts w:ascii="Aptos" w:hAnsi="Aptos"/>
          <w:sz w:val="22"/>
        </w:rPr>
        <w:t xml:space="preserve"> </w:t>
      </w:r>
      <w:r>
        <w:rPr>
          <w:rFonts w:ascii="Times New Roman;Times;serif" w:hAnsi="Times New Roman;Times;serif"/>
          <w:sz w:val="22"/>
        </w:rPr>
        <w:t>that Performance Guaranties shall not include guaranties of Indebtedness.</w:t>
      </w:r>
    </w:p>
    <w:p>
      <w:pPr>
        <w:pStyle w:val="TextBody"/>
        <w:bidi w:val="0"/>
        <w:spacing w:lineRule="auto" w:line="285" w:before="0" w:after="0"/>
        <w:ind w:left="0" w:right="0" w:firstLine="720"/>
        <w:jc w:val="both"/>
        <w:rPr/>
      </w:pPr>
      <w:r>
        <w:rPr/>
        <w:t>“</w:t>
      </w:r>
      <w:r>
        <w:rPr>
          <w:rFonts w:ascii="Times New Roman;Times;serif" w:hAnsi="Times New Roman;Times;serif"/>
          <w:sz w:val="22"/>
          <w:u w:val="single"/>
        </w:rPr>
        <w:t>Permitted Bond Hedge Transaction</w:t>
      </w:r>
      <w:r>
        <w:rPr>
          <w:rFonts w:ascii="Aptos" w:hAnsi="Aptos"/>
          <w:sz w:val="22"/>
        </w:rPr>
        <w:t xml:space="preserve">” </w:t>
      </w:r>
      <w:r>
        <w:rPr>
          <w:rFonts w:ascii="Times New Roman;Times;serif" w:hAnsi="Times New Roman;Times;serif"/>
          <w:sz w:val="22"/>
        </w:rPr>
        <w:t xml:space="preserve">means any bond hedge, call or capped call option (or substantively equivalent derivative transaction and whether a stand-alone transaction or a combined transaction with a Permitted Warrant Transaction, such as a capped call or call spread transaction) relating to the US Borrower’s common stock (or other securities or property following a merger event, reclassification or other change of the common stock of the US Borrower) purchased by the US Borrower in connection with the issuance of any Permitted Convertible Indebtedness and settled in common stock of the US Borrower (or such other securities or property), cash or a combination thereof (such amount of cash determined by reference to the price of the US Borrower’s common stock or such other securities or property), and cash in lieu of fractional shares of common stock of the US Borrower; </w:t>
      </w:r>
      <w:r>
        <w:rPr>
          <w:rFonts w:ascii="Times New Roman;Times;serif" w:hAnsi="Times New Roman;Times;serif"/>
          <w:i/>
          <w:sz w:val="22"/>
        </w:rPr>
        <w:t>provided</w:t>
      </w:r>
      <w:r>
        <w:rPr>
          <w:rFonts w:ascii="Aptos" w:hAnsi="Aptos"/>
          <w:sz w:val="22"/>
        </w:rPr>
        <w:t xml:space="preserve"> </w:t>
      </w:r>
      <w:r>
        <w:rPr>
          <w:rFonts w:ascii="Times New Roman;Times;serif" w:hAnsi="Times New Roman;Times;serif"/>
          <w:sz w:val="22"/>
        </w:rPr>
        <w:t xml:space="preserve">that the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32</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purchase price of any such Permitted Bond Hedge Transaction does not exceed, the net proceeds received by the US Borrower in connection with the issuance of any Permitted Convertible Indebtedness.</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Permitted Convertible Indebtedness</w:t>
      </w:r>
      <w:r>
        <w:rPr>
          <w:rFonts w:ascii="Aptos" w:hAnsi="Aptos"/>
          <w:sz w:val="22"/>
        </w:rPr>
        <w:t xml:space="preserve">” </w:t>
      </w:r>
      <w:r>
        <w:rPr>
          <w:rFonts w:ascii="Times New Roman;Times;serif" w:hAnsi="Times New Roman;Times;serif"/>
          <w:sz w:val="22"/>
        </w:rPr>
        <w:t xml:space="preserve">means any Convertible Indebtedness permitted to be incurred under </w:t>
      </w:r>
      <w:r>
        <w:rPr>
          <w:rFonts w:ascii="Times New Roman;Times;serif" w:hAnsi="Times New Roman;Times;serif"/>
          <w:sz w:val="22"/>
          <w:u w:val="single"/>
        </w:rPr>
        <w:t>Section 5.8(o)</w:t>
      </w:r>
      <w:r>
        <w:rPr>
          <w:rFonts w:ascii="Times New Roman;Times;serif" w:hAnsi="Times New Roman;Times;serif"/>
          <w:sz w:val="22"/>
        </w:rPr>
        <w: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Permitted Factoring Transaction</w:t>
      </w:r>
      <w:r>
        <w:rPr>
          <w:rFonts w:ascii="Aptos" w:hAnsi="Aptos"/>
          <w:sz w:val="22"/>
        </w:rPr>
        <w:t xml:space="preserve">” </w:t>
      </w:r>
      <w:r>
        <w:rPr>
          <w:rFonts w:ascii="Times New Roman;Times;serif" w:hAnsi="Times New Roman;Times;serif"/>
          <w:sz w:val="22"/>
        </w:rPr>
        <w:t xml:space="preserve">means an accounts receivable factoring or other similar arrangement for the sale of accounts receivable that is structured as a “true-sale”, limited-recourse to the Companies and provides for payment to such Company prior to the date that such accounts receivable would otherwise be due; </w:t>
      </w:r>
      <w:r>
        <w:rPr>
          <w:rFonts w:ascii="Times New Roman;Times;serif" w:hAnsi="Times New Roman;Times;serif"/>
          <w:sz w:val="22"/>
          <w:u w:val="single"/>
        </w:rPr>
        <w:t>provided</w:t>
      </w:r>
      <w:r>
        <w:rPr>
          <w:rFonts w:ascii="Aptos" w:hAnsi="Aptos"/>
          <w:sz w:val="22"/>
        </w:rPr>
        <w:t xml:space="preserve"> </w:t>
      </w:r>
      <w:r>
        <w:rPr>
          <w:rFonts w:ascii="Times New Roman;Times;serif" w:hAnsi="Times New Roman;Times;serif"/>
          <w:sz w:val="22"/>
        </w:rPr>
        <w:t xml:space="preserve">that the aggregate book value of all accounts receivable that have been sold (or otherwise subjected to such arrangement) by the Companies and that remain outstanding shall not at any time exceed the greater of (i) $100,000,000 and (ii) twenty-five percent (25%) of the average book value of all accounts receivable of the Companies determined over the most recent ended twelve month period for which Consolidated financial statements are available pursuant to </w:t>
      </w:r>
      <w:r>
        <w:rPr>
          <w:rFonts w:ascii="Times New Roman;Times;serif" w:hAnsi="Times New Roman;Times;serif"/>
          <w:sz w:val="22"/>
          <w:u w:val="single"/>
        </w:rPr>
        <w:t>Sections 5.3(a)</w:t>
      </w:r>
      <w:r>
        <w:rPr>
          <w:rFonts w:ascii="Aptos" w:hAnsi="Aptos"/>
          <w:sz w:val="22"/>
        </w:rPr>
        <w:t xml:space="preserve"> </w:t>
      </w:r>
      <w:r>
        <w:rPr>
          <w:rFonts w:ascii="Times New Roman;Times;serif" w:hAnsi="Times New Roman;Times;serif"/>
          <w:sz w:val="22"/>
        </w:rPr>
        <w:t xml:space="preserve">or </w:t>
      </w:r>
      <w:r>
        <w:rPr>
          <w:rFonts w:ascii="Times New Roman;Times;serif" w:hAnsi="Times New Roman;Times;serif"/>
          <w:sz w:val="22"/>
          <w:u w:val="single"/>
        </w:rPr>
        <w:t>(b)</w:t>
      </w:r>
      <w:r>
        <w:rPr>
          <w:rFonts w:ascii="Times New Roman;Times;serif" w:hAnsi="Times New Roman;Times;serif"/>
          <w:sz w:val="22"/>
        </w:rPr>
        <w: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Permitted Warrant Transaction</w:t>
      </w:r>
      <w:r>
        <w:rPr>
          <w:rFonts w:ascii="Aptos" w:hAnsi="Aptos"/>
          <w:sz w:val="22"/>
        </w:rPr>
        <w:t xml:space="preserve">” </w:t>
      </w:r>
      <w:r>
        <w:rPr>
          <w:rFonts w:ascii="Times New Roman;Times;serif" w:hAnsi="Times New Roman;Times;serif"/>
          <w:sz w:val="22"/>
        </w:rPr>
        <w:t>means any call option, warrant or right to purchase (or substantively equivalent derivative transaction and whether a stand-alone transaction or a combined transaction with a Permitted Bond Hedge Transaction, such as a capped call or a call spread transaction) relating to the US Borrower’s common stock (or other securities or property following a merger event, reclassification or other change of the common stock of the US Borrower) sold by the US Borrower substantially concurrently with any purchase by the US Borrower of a Permitted Bond Hedge Transaction and settled in common stock of the US Borrower (or such other securities or property), cash or a combination thereof (such amount of cash determined by reference to the price of the US Borrower’s common stock or such other securities or property), and cash in lieu of fractional shares of common stock of the US Borrower.</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Person</w:t>
      </w:r>
      <w:r>
        <w:rPr>
          <w:rFonts w:ascii="Aptos" w:hAnsi="Aptos"/>
          <w:sz w:val="22"/>
        </w:rPr>
        <w:t xml:space="preserve">” </w:t>
      </w:r>
      <w:r>
        <w:rPr>
          <w:rFonts w:ascii="Times New Roman;Times;serif" w:hAnsi="Times New Roman;Times;serif"/>
          <w:sz w:val="22"/>
        </w:rPr>
        <w:t>means any individual, sole proprietorship, partnership, joint venture, unincorporated organization, corporation, limited liability company, unlimited liability company, institution, trust, estate, Governmental Authority or any other entity.</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Plan Funding Rules</w:t>
      </w:r>
      <w:r>
        <w:rPr>
          <w:rFonts w:ascii="Aptos" w:hAnsi="Aptos"/>
          <w:sz w:val="22"/>
        </w:rPr>
        <w:t xml:space="preserve">” </w:t>
      </w:r>
      <w:r>
        <w:rPr>
          <w:rFonts w:ascii="Times New Roman;Times;serif" w:hAnsi="Times New Roman;Times;serif"/>
          <w:sz w:val="22"/>
        </w:rPr>
        <w:t>means the rules of the Code and ERISA regarding minimum required contributions (including any installment payment thereof) to Pension Plans and Multiemployer Plans set forth in, with respect to plan years ending prior to the effective date of the Pension Act, Code Section 412 and ERISA Section 302, each as in effect prior to the Pension Act and, thereafter, Code Sections 412, 430, 431, 432 and 436 and ERISA Sections 302, 303, 304 and 305.</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Platform</w:t>
      </w:r>
      <w:r>
        <w:rPr>
          <w:rFonts w:ascii="Aptos" w:hAnsi="Aptos"/>
          <w:sz w:val="22"/>
        </w:rPr>
        <w:t xml:space="preserve">” </w:t>
      </w:r>
      <w:r>
        <w:rPr>
          <w:rFonts w:ascii="Times New Roman;Times;serif" w:hAnsi="Times New Roman;Times;serif"/>
          <w:sz w:val="22"/>
        </w:rPr>
        <w:t xml:space="preserve">means that term as described in </w:t>
      </w:r>
      <w:r>
        <w:rPr>
          <w:rFonts w:ascii="Times New Roman;Times;serif" w:hAnsi="Times New Roman;Times;serif"/>
          <w:sz w:val="22"/>
          <w:u w:val="single"/>
        </w:rPr>
        <w:t>Section 5.3</w:t>
      </w:r>
      <w:r>
        <w:rPr>
          <w:rFonts w:ascii="Aptos" w:hAnsi="Aptos"/>
          <w:sz w:val="22"/>
        </w:rPr>
        <w:t xml:space="preserve"> </w:t>
      </w:r>
      <w:r>
        <w:rPr>
          <w:rFonts w:ascii="Times New Roman;Times;serif" w:hAnsi="Times New Roman;Times;serif"/>
          <w:sz w:val="22"/>
        </w:rPr>
        <w:t>hereof.</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Prime Rate</w:t>
      </w:r>
      <w:r>
        <w:rPr>
          <w:rFonts w:ascii="Aptos" w:hAnsi="Aptos"/>
          <w:sz w:val="22"/>
        </w:rPr>
        <w:t xml:space="preserve">” </w:t>
      </w:r>
      <w:r>
        <w:rPr>
          <w:rFonts w:ascii="Times New Roman;Times;serif" w:hAnsi="Times New Roman;Times;serif"/>
          <w:sz w:val="22"/>
        </w:rPr>
        <w:t>means the interest rate established from time to time by Agent as Agent’s prime rate, whether or not such rate shall be publicly announced; the Prime Rate may not be the lowest interest rate charged by Agent for commercial or other extensions of credit. Each change in the Prime Rate shall be effective immediately from and after such change.</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PTE</w:t>
      </w:r>
      <w:r>
        <w:rPr>
          <w:rFonts w:ascii="Aptos" w:hAnsi="Aptos"/>
          <w:sz w:val="22"/>
        </w:rPr>
        <w:t xml:space="preserve">” </w:t>
      </w:r>
      <w:r>
        <w:rPr>
          <w:rFonts w:ascii="Times New Roman;Times;serif" w:hAnsi="Times New Roman;Times;serif"/>
          <w:sz w:val="22"/>
        </w:rPr>
        <w:t>means a prohibited transaction class exemption issued by the U.S. Department of Labor, as any such exemption may be amended from time to time.</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Public Lenders</w:t>
      </w:r>
      <w:r>
        <w:rPr>
          <w:rFonts w:ascii="Aptos" w:hAnsi="Aptos"/>
          <w:sz w:val="22"/>
        </w:rPr>
        <w:t xml:space="preserve">” </w:t>
      </w:r>
      <w:r>
        <w:rPr>
          <w:rFonts w:ascii="Times New Roman;Times;serif" w:hAnsi="Times New Roman;Times;serif"/>
          <w:sz w:val="22"/>
        </w:rPr>
        <w:t xml:space="preserve">means that term as described in </w:t>
      </w:r>
      <w:r>
        <w:rPr>
          <w:rFonts w:ascii="Times New Roman;Times;serif" w:hAnsi="Times New Roman;Times;serif"/>
          <w:sz w:val="22"/>
          <w:u w:val="single"/>
        </w:rPr>
        <w:t>Section 5.3</w:t>
      </w:r>
      <w:r>
        <w:rPr>
          <w:rFonts w:ascii="Aptos" w:hAnsi="Aptos"/>
          <w:sz w:val="22"/>
        </w:rPr>
        <w:t xml:space="preserve"> </w:t>
      </w:r>
      <w:r>
        <w:rPr>
          <w:rFonts w:ascii="Times New Roman;Times;serif" w:hAnsi="Times New Roman;Times;serif"/>
          <w:sz w:val="22"/>
        </w:rPr>
        <w:t>hereof.</w:t>
      </w:r>
    </w:p>
    <w:p>
      <w:pPr>
        <w:pStyle w:val="TextBody"/>
        <w:bidi w:val="0"/>
        <w:spacing w:lineRule="auto" w:line="285" w:before="0" w:after="0"/>
        <w:ind w:left="0" w:right="0" w:firstLine="720"/>
        <w:jc w:val="both"/>
        <w:rPr/>
      </w:pPr>
      <w:r>
        <w:rPr/>
        <w:t>“</w:t>
      </w:r>
      <w:r>
        <w:rPr>
          <w:rFonts w:ascii="Times New Roman;Times;serif" w:hAnsi="Times New Roman;Times;serif"/>
          <w:sz w:val="22"/>
          <w:u w:val="single"/>
        </w:rPr>
        <w:t>Qualifying Debt Issuance</w:t>
      </w:r>
      <w:r>
        <w:rPr>
          <w:rFonts w:ascii="Aptos" w:hAnsi="Aptos"/>
          <w:sz w:val="22"/>
        </w:rPr>
        <w:t xml:space="preserve">” </w:t>
      </w:r>
      <w:r>
        <w:rPr>
          <w:rFonts w:ascii="Times New Roman;Times;serif" w:hAnsi="Times New Roman;Times;serif"/>
          <w:sz w:val="22"/>
        </w:rPr>
        <w:t xml:space="preserve">means the issuance by the US Borrower and/or its Subsidiaries, in one or more issuances, an aggregate amount of at least One Hundred Fifty Million Dollars ($150,000,000)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33</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initial face amount of unsecured debt in the nature of unsecured high yield notes or unsecured Convertible Indebtedness.</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Rate Determination Date</w:t>
      </w:r>
      <w:r>
        <w:rPr>
          <w:rFonts w:ascii="Aptos" w:hAnsi="Aptos"/>
          <w:sz w:val="22"/>
        </w:rPr>
        <w:t xml:space="preserve">” </w:t>
      </w:r>
      <w:r>
        <w:rPr>
          <w:rFonts w:ascii="Times New Roman;Times;serif" w:hAnsi="Times New Roman;Times;serif"/>
          <w:sz w:val="22"/>
        </w:rPr>
        <w:t xml:space="preserve">means, with respect to any Interest Period, (a) in the case of the Eurodollar Rate (other than the CDOR Rate), two (2) Eurodollar Banking Days prior to the commencement of such Interest Period or (b) in the case of the CDOR Rate, first day of such Interest Period (or in each case of clause (a) or (b) such other day as is generally treated as the rate fixing day by market practice in such interbank market, as determined by the Agent; </w:t>
      </w:r>
      <w:r>
        <w:rPr>
          <w:rFonts w:ascii="Times New Roman;Times;serif" w:hAnsi="Times New Roman;Times;serif"/>
          <w:sz w:val="22"/>
          <w:u w:val="single"/>
        </w:rPr>
        <w:t>provided</w:t>
      </w:r>
      <w:r>
        <w:rPr>
          <w:rFonts w:ascii="Aptos" w:hAnsi="Aptos"/>
          <w:sz w:val="22"/>
        </w:rPr>
        <w:t xml:space="preserve"> </w:t>
      </w:r>
      <w:r>
        <w:rPr>
          <w:rFonts w:ascii="Times New Roman;Times;serif" w:hAnsi="Times New Roman;Times;serif"/>
          <w:sz w:val="22"/>
        </w:rPr>
        <w:t>that to the extent that such market practice is not administratively feasible for the Agent, such other day as otherwise reasonably determined by the Agent).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Recipient</w:t>
      </w:r>
      <w:r>
        <w:rPr>
          <w:rFonts w:ascii="Aptos" w:hAnsi="Aptos"/>
          <w:sz w:val="22"/>
        </w:rPr>
        <w:t xml:space="preserve">” </w:t>
      </w:r>
      <w:r>
        <w:rPr>
          <w:rFonts w:ascii="Times New Roman;Times;serif" w:hAnsi="Times New Roman;Times;serif"/>
          <w:sz w:val="22"/>
        </w:rPr>
        <w:t>means (a) Agent, (b) any Lender and (c) any Fronting Lender, as applicable.</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Reference Time</w:t>
      </w:r>
      <w:r>
        <w:rPr>
          <w:rFonts w:ascii="Aptos" w:hAnsi="Aptos"/>
          <w:sz w:val="22"/>
        </w:rPr>
        <w:t xml:space="preserve">” </w:t>
      </w:r>
      <w:r>
        <w:rPr>
          <w:rFonts w:ascii="Times New Roman;Times;serif" w:hAnsi="Times New Roman;Times;serif"/>
          <w:sz w:val="22"/>
        </w:rPr>
        <w:t>with respect to any setting of the then-current Benchmark for any Currency means (a) if such Benchmark is a Daily Simple RFR, (i) if the RFR for such Benchmark is SOFR, then four (4) RFR Business Days prior to (A) if the date of such setting is an RFR Business Day, such date or (B) if the date of such setting is not an RFR Business Day, the RFR Business Day immediately preceding such date and (ii) if the RFR for such Benchmark is SONIA, then four (4) RFR Business Days prior to (A) if the date of such setting is an RFR Business Day, such date or (B) if the date of such setting is not an RFR Business Day, the RFR Business Day immediately preceding such date, (b) if such Benchmark is an Adjusted Eurodollar Rate, (i) if the applicable Adjusted Eurodollar Rate for such Benchmark is based upon USD LIBOR, then 11:00 a.m. (London time) on the day that is two (2) Eurodollar Banking Days preceding the date of such setting, (ii) if the applicable Adjusted Eurodollar Rate for such Benchmark is based upon EURIBOR, then 11:00 a.m. (Brussels time) on the day that is two (2) Eurodollar Banking Days preceding the date of such setting, and (iii) if the applicable Adjusted Eurodollar Rate for such Benchmark is based upon TIBOR, then 11:00 a.m. (Tokyo time) on the day that is two (2) Eurodollar Banking Days preceding the date of such setting and (c) otherwise, then the time determined by the Agent, including in accordance with the Benchmark Replacement Conforming Changes.</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Register</w:t>
      </w:r>
      <w:r>
        <w:rPr>
          <w:rFonts w:ascii="Aptos" w:hAnsi="Aptos"/>
          <w:sz w:val="22"/>
        </w:rPr>
        <w:t xml:space="preserve">” </w:t>
      </w:r>
      <w:r>
        <w:rPr>
          <w:rFonts w:ascii="Times New Roman;Times;serif" w:hAnsi="Times New Roman;Times;serif"/>
          <w:sz w:val="22"/>
        </w:rPr>
        <w:t xml:space="preserve">means that term as described in </w:t>
      </w:r>
      <w:r>
        <w:rPr>
          <w:rFonts w:ascii="Times New Roman;Times;serif" w:hAnsi="Times New Roman;Times;serif"/>
          <w:sz w:val="22"/>
          <w:u w:val="single"/>
        </w:rPr>
        <w:t>Section 11.10(b)</w:t>
      </w:r>
      <w:r>
        <w:rPr>
          <w:rFonts w:ascii="Aptos" w:hAnsi="Aptos"/>
          <w:sz w:val="22"/>
        </w:rPr>
        <w:t xml:space="preserve"> </w:t>
      </w:r>
      <w:r>
        <w:rPr>
          <w:rFonts w:ascii="Times New Roman;Times;serif" w:hAnsi="Times New Roman;Times;serif"/>
          <w:sz w:val="22"/>
        </w:rPr>
        <w:t>hereof.</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Regularly Scheduled Payment Date</w:t>
      </w:r>
      <w:r>
        <w:rPr>
          <w:rFonts w:ascii="Aptos" w:hAnsi="Aptos"/>
          <w:sz w:val="22"/>
        </w:rPr>
        <w:t xml:space="preserve">” </w:t>
      </w:r>
      <w:r>
        <w:rPr>
          <w:rFonts w:ascii="Times New Roman;Times;serif" w:hAnsi="Times New Roman;Times;serif"/>
          <w:sz w:val="22"/>
        </w:rPr>
        <w:t>means the last day of each March, June, September and December of each year.</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Related Expenses</w:t>
      </w:r>
      <w:r>
        <w:rPr>
          <w:rFonts w:ascii="Aptos" w:hAnsi="Aptos"/>
          <w:sz w:val="22"/>
        </w:rPr>
        <w:t xml:space="preserve">” </w:t>
      </w:r>
      <w:r>
        <w:rPr>
          <w:rFonts w:ascii="Times New Roman;Times;serif" w:hAnsi="Times New Roman;Times;serif"/>
          <w:sz w:val="22"/>
        </w:rPr>
        <w:t>means any and all reasonable and documented out-of-pocket costs, liabilities and expenses (including, without limitation, losses, damages, penalties, claims, actions, reasonable and documented out-of-pocket attorneys’ fees, reasonable legal expenses, judgments, suits and disbursements) (a) incurred by Agent, or imposed upon or asserted against Agent or any Lender, in any attempt by Agent and the Lenders to (i) obtain, preserve, perfect or enforce any Loan Document or any security interest evidenced by any Loan Document; (ii) obtain payment, performance or observance of any and all of the Obligations; or (iii) maintain, insure, audit, collect, preserve, repossess or dispose of any of the collateral securing the Obligations or any part thereof, including, without limitation, reasonable and documented out-of-pocket costs and expenses for appraisals, assessments and audits of any Company or any such collateral; or (b) incidental or related to subpart (a) above, including, without limitation, interest thereupon from the date due until paid at the Default Rate.</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Related Parties</w:t>
      </w:r>
      <w:r>
        <w:rPr>
          <w:rFonts w:ascii="Aptos" w:hAnsi="Aptos"/>
          <w:sz w:val="22"/>
        </w:rPr>
        <w:t xml:space="preserve">” </w:t>
      </w:r>
      <w:r>
        <w:rPr>
          <w:rFonts w:ascii="Times New Roman;Times;serif" w:hAnsi="Times New Roman;Times;serif"/>
          <w:sz w:val="22"/>
        </w:rPr>
        <w:t>means, with respect to any Person, such Person’s Affiliates and the partners, directors, officers, employees, agents, trustees, administrators, managers, advisors and representatives of such Person and of such Person’s Affiliates.</w:t>
      </w:r>
    </w:p>
    <w:p>
      <w:pPr>
        <w:pStyle w:val="TextBody"/>
        <w:bidi w:val="0"/>
        <w:spacing w:lineRule="auto" w:line="285" w:before="0" w:after="0"/>
        <w:ind w:left="0" w:right="0" w:firstLine="720"/>
        <w:jc w:val="both"/>
        <w:rPr/>
      </w:pPr>
      <w:r>
        <w:rPr/>
        <w:t>“</w:t>
      </w:r>
      <w:r>
        <w:rPr>
          <w:rFonts w:ascii="Times New Roman;Times;serif" w:hAnsi="Times New Roman;Times;serif"/>
          <w:sz w:val="22"/>
          <w:u w:val="single"/>
        </w:rPr>
        <w:t>Related Writing</w:t>
      </w:r>
      <w:r>
        <w:rPr>
          <w:rFonts w:ascii="Aptos" w:hAnsi="Aptos"/>
          <w:sz w:val="22"/>
        </w:rPr>
        <w:t xml:space="preserve">” </w:t>
      </w:r>
      <w:r>
        <w:rPr>
          <w:rFonts w:ascii="Times New Roman;Times;serif" w:hAnsi="Times New Roman;Times;serif"/>
          <w:sz w:val="22"/>
        </w:rPr>
        <w:t xml:space="preserve">means each Loan Document and any other assignment, mortgage, security agreement, guaranty agreement, subordination agreement, financial statement, audit report or other writing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34</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furnished by any Credit Party, or any of its officers, to Agent or the Lenders pursuant to or otherwise in connection with this Agreement.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Relevant Governmental Body</w:t>
      </w:r>
      <w:r>
        <w:rPr>
          <w:rFonts w:ascii="Aptos" w:hAnsi="Aptos"/>
          <w:sz w:val="22"/>
        </w:rPr>
        <w:t xml:space="preserve">” </w:t>
      </w:r>
      <w:r>
        <w:rPr>
          <w:rFonts w:ascii="Times New Roman;Times;serif" w:hAnsi="Times New Roman;Times;serif"/>
          <w:sz w:val="22"/>
        </w:rPr>
        <w:t>means (a) with respect to a Benchmark Replacement in respect of Obligations, interest, fees, commissions or other amounts denominated in, or calculated with respect to, Dollars, the FRB or the Federal Reserve Bank of New York, or a committee officially endorsed or convened by the FRB or the Federal Reserve Bank of New York, or any successor thereto and (b) with respect to a Benchmark Replacement in respect of Obligations, interest, fees, commissions or other amounts denominated in, or calculated with respect to, any Alternate Currency, (1) the central bank for the Currency in which such Obligations, interest, fees, commissions or other amounts are denominated, or calculated with respect to, or any central bank or other supervisor which is responsible for supervising either (A) such Benchmark Replacement or (B) the administrator of such Benchmark Replacement or (2) any working group or committee officially endorsed or convened by (A) the central bank for the Currency in which such Obligations, interest, fees, commissions or other amounts are denominated, or calculated with respect to, (B) any central bank or other supervisor that is responsible for supervising either (i) such Benchmark Replacement or (ii) the administrator of such Benchmark Replacement, (C) a group of those central banks or other supervisors or (D) the Financial Stability Board or any part thereof.</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Reportable Event</w:t>
      </w:r>
      <w:r>
        <w:rPr>
          <w:rFonts w:ascii="Aptos" w:hAnsi="Aptos"/>
          <w:sz w:val="22"/>
        </w:rPr>
        <w:t xml:space="preserve">” </w:t>
      </w:r>
      <w:r>
        <w:rPr>
          <w:rFonts w:ascii="Times New Roman;Times;serif" w:hAnsi="Times New Roman;Times;serif"/>
          <w:sz w:val="22"/>
        </w:rPr>
        <w:t>means any of the events described in Section 4043 of ERISA.</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Request for Extension</w:t>
      </w:r>
      <w:r>
        <w:rPr>
          <w:rFonts w:ascii="Aptos" w:hAnsi="Aptos"/>
          <w:sz w:val="22"/>
        </w:rPr>
        <w:t xml:space="preserve">” </w:t>
      </w:r>
      <w:r>
        <w:rPr>
          <w:rFonts w:ascii="Times New Roman;Times;serif" w:hAnsi="Times New Roman;Times;serif"/>
          <w:sz w:val="22"/>
        </w:rPr>
        <w:t xml:space="preserve">means a notice substantially in the form of the attached </w:t>
      </w:r>
      <w:r>
        <w:rPr>
          <w:rFonts w:ascii="Times New Roman;Times;serif" w:hAnsi="Times New Roman;Times;serif"/>
          <w:sz w:val="22"/>
          <w:u w:val="single"/>
        </w:rPr>
        <w:t>Exhibit H</w:t>
      </w:r>
      <w:r>
        <w:rPr>
          <w:rFonts w:ascii="Times New Roman;Times;serif" w:hAnsi="Times New Roman;Times;serif"/>
          <w:sz w:val="22"/>
        </w:rPr>
        <w: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Required Lenders</w:t>
      </w:r>
      <w:r>
        <w:rPr>
          <w:rFonts w:ascii="Aptos" w:hAnsi="Aptos"/>
          <w:sz w:val="22"/>
        </w:rPr>
        <w:t xml:space="preserve">” </w:t>
      </w:r>
      <w:r>
        <w:rPr>
          <w:rFonts w:ascii="Times New Roman;Times;serif" w:hAnsi="Times New Roman;Times;serif"/>
          <w:sz w:val="22"/>
        </w:rPr>
        <w:t xml:space="preserve">means, at any time, Lenders having Total Credit Exposure representing more than fifty percent (50%) of the Total Credit Exposure of all Lenders; </w:t>
      </w:r>
      <w:r>
        <w:rPr>
          <w:rFonts w:ascii="Times New Roman;Times;serif" w:hAnsi="Times New Roman;Times;serif"/>
          <w:sz w:val="22"/>
          <w:u w:val="single"/>
        </w:rPr>
        <w:t>provided</w:t>
      </w:r>
      <w:r>
        <w:rPr>
          <w:rFonts w:ascii="Aptos" w:hAnsi="Aptos"/>
          <w:sz w:val="22"/>
        </w:rPr>
        <w:t xml:space="preserve"> </w:t>
      </w:r>
      <w:r>
        <w:rPr>
          <w:rFonts w:ascii="Times New Roman;Times;serif" w:hAnsi="Times New Roman;Times;serif"/>
          <w:sz w:val="22"/>
        </w:rPr>
        <w:t>that the Total Credit Exposure held or deemed to be held by any Defaulting Lender shall be excluded for purposes of making a determination of Required Lenders. For purposes of this definition, “</w:t>
      </w:r>
      <w:r>
        <w:rPr>
          <w:rFonts w:ascii="Times New Roman;Times;serif" w:hAnsi="Times New Roman;Times;serif"/>
          <w:sz w:val="22"/>
          <w:u w:val="single"/>
        </w:rPr>
        <w:t>Total Credit Exposure</w:t>
      </w:r>
      <w:r>
        <w:rPr>
          <w:rFonts w:ascii="Aptos" w:hAnsi="Aptos"/>
          <w:sz w:val="22"/>
        </w:rPr>
        <w:t xml:space="preserve">” </w:t>
      </w:r>
      <w:r>
        <w:rPr>
          <w:rFonts w:ascii="Times New Roman;Times;serif" w:hAnsi="Times New Roman;Times;serif"/>
          <w:sz w:val="22"/>
        </w:rPr>
        <w:t>means, as to any Lender at any time, the unused Commitments, Revolving Credit Exposure of such Lender at such time.</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Resolution Authority</w:t>
      </w:r>
      <w:r>
        <w:rPr>
          <w:rFonts w:ascii="Aptos" w:hAnsi="Aptos"/>
          <w:sz w:val="22"/>
        </w:rPr>
        <w:t xml:space="preserve">” </w:t>
      </w:r>
      <w:r>
        <w:rPr>
          <w:rFonts w:ascii="Times New Roman;Times;serif" w:hAnsi="Times New Roman;Times;serif"/>
          <w:sz w:val="22"/>
        </w:rPr>
        <w:t>means an EEA Resolution Authority or, with respect to any UK Financial Institution, a UK Resolution Authority.</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Restricted Payment</w:t>
      </w:r>
      <w:r>
        <w:rPr>
          <w:rFonts w:ascii="Aptos" w:hAnsi="Aptos"/>
          <w:sz w:val="22"/>
        </w:rPr>
        <w:t xml:space="preserve">” </w:t>
      </w:r>
      <w:r>
        <w:rPr>
          <w:rFonts w:ascii="Times New Roman;Times;serif" w:hAnsi="Times New Roman;Times;serif"/>
          <w:sz w:val="22"/>
        </w:rPr>
        <w:t>means, with respect to any Company, (a) any Capital Distribution or (b) any amount paid by such Company in repayment, redemption, retirement or repurchase, directly or indirectly, of any Subordinated Indebtedness.  For the avoidance of doubt, none of (i) the exercise and settlement or termination of any Permitted Warrant Transaction, whether in cash, capital stock or other securities, (ii) the purchase or other acquisition of any Permitted Bond Hedge Transaction and any exercise and settlement or termination thereof, whether in cash, capital stock or other securities, (iii) the payment of principal or interest at scheduled maturity or otherwise on any Permitted Convertible Indebtedness nor (iv) the settlement of any conversion of any Permitted Convertible Indebtedness, whether in cash, capital stock or other securities, shall constitute a “Restricted Payment”.</w:t>
      </w:r>
    </w:p>
    <w:p>
      <w:pPr>
        <w:pStyle w:val="TextBody"/>
        <w:bidi w:val="0"/>
        <w:spacing w:lineRule="auto" w:line="285" w:before="0" w:after="0"/>
        <w:ind w:left="0" w:right="0" w:firstLine="720"/>
        <w:jc w:val="both"/>
        <w:rPr/>
      </w:pPr>
      <w:r>
        <w:rPr/>
        <w:t>“</w:t>
      </w:r>
      <w:r>
        <w:rPr>
          <w:rFonts w:ascii="Times New Roman;Times;serif" w:hAnsi="Times New Roman;Times;serif"/>
          <w:sz w:val="22"/>
          <w:u w:val="single"/>
        </w:rPr>
        <w:t>Revaluation Date</w:t>
      </w:r>
      <w:r>
        <w:rPr>
          <w:rFonts w:ascii="Aptos" w:hAnsi="Aptos"/>
          <w:sz w:val="22"/>
        </w:rPr>
        <w:t xml:space="preserve">” </w:t>
      </w:r>
      <w:r>
        <w:rPr>
          <w:rFonts w:ascii="Times New Roman;Times;serif" w:hAnsi="Times New Roman;Times;serif"/>
          <w:sz w:val="22"/>
        </w:rPr>
        <w:t xml:space="preserve">means (a) with respect to any Loan, each of the following: (i) each date of a borrowing of an RFR Loan or a Eurodollar Fixed Rate Loan denominated in an Alternate Currency, as applicable, but only as to the amounts so borrowed on such date, (ii) each date of a continuation of an RFR Loan or a Eurodollar Fixed Rate Loan, as applicable, denominated in an Alternate Currency pursuant to the terms of this Agreement, but only as to the amounts so continued on such date, and (iii) such additional dates as the Agent shall determine or the Required Lenders shall require; and (b) with respect to any Letter of Credit denominated in an Alternate Currency, each of the following: (i) each date of issuance of such Letter of Credit, but only as to the stated amount of the Letter of Credit so issued on such date; (ii) each date of the borrowing (or deemed borrowing) of a Revolving Loan in respect of any unreimbursed portion of any payment by the applicable Fronting Bank under any Letter of Credit denominated in an Alternate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35</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Currency, but only as to the stated amount of the unreimbursed amount of such Letter of Credit; and (iii) such additional dates as the Agent or the applicable Fronting Lender (with notice thereof to the Agent) shall determine or the Required Lenders shall require.</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Revolving Amount</w:t>
      </w:r>
      <w:r>
        <w:rPr>
          <w:rFonts w:ascii="Aptos" w:hAnsi="Aptos"/>
          <w:sz w:val="22"/>
        </w:rPr>
        <w:t xml:space="preserve">” </w:t>
      </w:r>
      <w:r>
        <w:rPr>
          <w:rFonts w:ascii="Times New Roman;Times;serif" w:hAnsi="Times New Roman;Times;serif"/>
          <w:sz w:val="22"/>
        </w:rPr>
        <w:t>means, for each Lender, the amount set forth opposite such Lender’s name on Schedule 1 hereto as of the Eighth Amendment Effective Date, subject to decreases determined pursuant to Section 2.9(a) hereof, increases pursuant to Section 2.9(b) hereof and assignments of interests pursuant to Section 11.10 hereof; provided that the Revolving Amount for the Swing Line Lender shall exclude the Swing Line Commitment (other than its pro rata share), and the Revolving Amount of the Fronting Lender shall exclude the Letter of Credit Commitment (other than its pro rata share). The Revolving Amount for all the Lenders on the Eleventh Amendment Effective Date shall be Nine Hundred Seventy Five Million Dollars ($975,000,000).</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Revolving Credit Availability</w:t>
      </w:r>
      <w:r>
        <w:rPr>
          <w:rFonts w:ascii="Aptos" w:hAnsi="Aptos"/>
          <w:sz w:val="22"/>
        </w:rPr>
        <w:t xml:space="preserve">” </w:t>
      </w:r>
      <w:r>
        <w:rPr>
          <w:rFonts w:ascii="Times New Roman;Times;serif" w:hAnsi="Times New Roman;Times;serif"/>
          <w:sz w:val="22"/>
        </w:rPr>
        <w:t>means, at any time, the amount equal to the Revolving Credit Commitment minus the Revolving Credit Exposure.</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Revolving Credit Commitment</w:t>
      </w:r>
      <w:r>
        <w:rPr>
          <w:rFonts w:ascii="Aptos" w:hAnsi="Aptos"/>
          <w:sz w:val="22"/>
        </w:rPr>
        <w:t xml:space="preserve">” </w:t>
      </w:r>
      <w:r>
        <w:rPr>
          <w:rFonts w:ascii="Times New Roman;Times;serif" w:hAnsi="Times New Roman;Times;serif"/>
          <w:sz w:val="22"/>
        </w:rPr>
        <w:t>means the obligation hereunder, during the Commitment Period, of (a) the Lenders (and each Lender) to make Revolving Loans, (b) the Fronting Lender to issue and each Lender to participate in, Letters of Credit pursuant to the Letter of Credit Commitment, and (c) the Swing Line Lender to make, and each Lender to participate in, Swing Loans pursuant to the Swing Line Commitment; up to an aggregate principal amount outstanding at any time equal to the Revolving Amount.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Revolving Credit Exposure</w:t>
      </w:r>
      <w:r>
        <w:rPr>
          <w:rFonts w:ascii="Aptos" w:hAnsi="Aptos"/>
          <w:sz w:val="22"/>
        </w:rPr>
        <w:t xml:space="preserve">” </w:t>
      </w:r>
      <w:r>
        <w:rPr>
          <w:rFonts w:ascii="Times New Roman;Times;serif" w:hAnsi="Times New Roman;Times;serif"/>
          <w:sz w:val="22"/>
        </w:rPr>
        <w:t>means, at any time, the Dollar Equivalent of the sum of (a) the aggregate principal amount of all Revolving Loans outstanding, (b) the Swing Line Exposure, and (c) the Letter of Credit Exposure.</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Revolving Credit Maturity Date</w:t>
      </w:r>
      <w:r>
        <w:rPr>
          <w:rFonts w:ascii="Aptos" w:hAnsi="Aptos"/>
          <w:sz w:val="22"/>
        </w:rPr>
        <w:t xml:space="preserve">” </w:t>
      </w:r>
      <w:r>
        <w:rPr>
          <w:rFonts w:ascii="Times New Roman;Times;serif" w:hAnsi="Times New Roman;Times;serif"/>
          <w:sz w:val="22"/>
        </w:rPr>
        <w:t xml:space="preserve">means November 23, 2027 (as such date may be extended pursuant to </w:t>
      </w:r>
      <w:r>
        <w:rPr>
          <w:rFonts w:ascii="Times New Roman;Times;serif" w:hAnsi="Times New Roman;Times;serif"/>
          <w:sz w:val="22"/>
          <w:u w:val="single"/>
        </w:rPr>
        <w:t>Section 2.15</w:t>
      </w:r>
      <w:r>
        <w:rPr>
          <w:rFonts w:ascii="Aptos" w:hAnsi="Aptos"/>
          <w:sz w:val="22"/>
        </w:rPr>
        <w:t xml:space="preserve"> </w:t>
      </w:r>
      <w:r>
        <w:rPr>
          <w:rFonts w:ascii="Times New Roman;Times;serif" w:hAnsi="Times New Roman;Times;serif"/>
          <w:sz w:val="22"/>
        </w:rPr>
        <w:t xml:space="preserve">hereof), or such earlier date on which the Commitment shall have been terminated pursuant to </w:t>
      </w:r>
      <w:r>
        <w:rPr>
          <w:rFonts w:ascii="Times New Roman;Times;serif" w:hAnsi="Times New Roman;Times;serif"/>
          <w:sz w:val="22"/>
          <w:u w:val="single"/>
        </w:rPr>
        <w:t>Article VIII</w:t>
      </w:r>
      <w:r>
        <w:rPr>
          <w:rFonts w:ascii="Aptos" w:hAnsi="Aptos"/>
          <w:sz w:val="22"/>
        </w:rPr>
        <w:t xml:space="preserve"> </w:t>
      </w:r>
      <w:r>
        <w:rPr>
          <w:rFonts w:ascii="Times New Roman;Times;serif" w:hAnsi="Times New Roman;Times;serif"/>
          <w:sz w:val="22"/>
        </w:rPr>
        <w:t>hereof.</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Revolving Credit Note</w:t>
      </w:r>
      <w:r>
        <w:rPr>
          <w:rFonts w:ascii="Aptos" w:hAnsi="Aptos"/>
          <w:sz w:val="22"/>
        </w:rPr>
        <w:t xml:space="preserve">” </w:t>
      </w:r>
      <w:r>
        <w:rPr>
          <w:rFonts w:ascii="Times New Roman;Times;serif" w:hAnsi="Times New Roman;Times;serif"/>
          <w:sz w:val="22"/>
        </w:rPr>
        <w:t>means a US Borrower Revolving Credit Note or a Foreign Borrower Revolving Credit Note.</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Revolving Lenders</w:t>
      </w:r>
      <w:r>
        <w:rPr>
          <w:rFonts w:ascii="Aptos" w:hAnsi="Aptos"/>
          <w:sz w:val="22"/>
        </w:rPr>
        <w:t xml:space="preserve">” </w:t>
      </w:r>
      <w:r>
        <w:rPr>
          <w:rFonts w:ascii="Times New Roman;Times;serif" w:hAnsi="Times New Roman;Times;serif"/>
          <w:sz w:val="22"/>
        </w:rPr>
        <w:t>means, collectively, all of the Lenders with a Revolving Credit Commitment or if the Revolving Credit Commitment has been terminated, all Lenders having Revolving Credit Exposure.</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Revolving Loan</w:t>
      </w:r>
      <w:r>
        <w:rPr>
          <w:rFonts w:ascii="Aptos" w:hAnsi="Aptos"/>
          <w:sz w:val="22"/>
        </w:rPr>
        <w:t xml:space="preserve">” </w:t>
      </w:r>
      <w:r>
        <w:rPr>
          <w:rFonts w:ascii="Times New Roman;Times;serif" w:hAnsi="Times New Roman;Times;serif"/>
          <w:sz w:val="22"/>
        </w:rPr>
        <w:t xml:space="preserve">means a loan made to US Borrower or a Foreign Borrower by the Lenders in accordance with </w:t>
      </w:r>
      <w:r>
        <w:rPr>
          <w:rFonts w:ascii="Times New Roman;Times;serif" w:hAnsi="Times New Roman;Times;serif"/>
          <w:sz w:val="22"/>
          <w:u w:val="single"/>
        </w:rPr>
        <w:t>Section 2.2(a)</w:t>
      </w:r>
      <w:r>
        <w:rPr>
          <w:rFonts w:ascii="Aptos" w:hAnsi="Aptos"/>
          <w:sz w:val="22"/>
        </w:rPr>
        <w:t xml:space="preserve"> </w:t>
      </w:r>
      <w:r>
        <w:rPr>
          <w:rFonts w:ascii="Times New Roman;Times;serif" w:hAnsi="Times New Roman;Times;serif"/>
          <w:sz w:val="22"/>
        </w:rPr>
        <w:t>hereof.</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RFR</w:t>
      </w:r>
      <w:r>
        <w:rPr>
          <w:rFonts w:ascii="Aptos" w:hAnsi="Aptos"/>
          <w:sz w:val="22"/>
        </w:rPr>
        <w:t xml:space="preserve">” </w:t>
      </w:r>
      <w:r>
        <w:rPr>
          <w:rFonts w:ascii="Times New Roman;Times;serif" w:hAnsi="Times New Roman;Times;serif"/>
          <w:sz w:val="22"/>
        </w:rPr>
        <w:t>means, for any Obligations, interest, fees, commissions or other amounts denominated in, or calculated with respect to, (a) Dollars, on and after the USD LIBOR Transition Date, SOFR and (b) Sterling, SONIA.</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RFR Administrator</w:t>
      </w:r>
      <w:r>
        <w:rPr>
          <w:rFonts w:ascii="Aptos" w:hAnsi="Aptos"/>
          <w:sz w:val="22"/>
        </w:rPr>
        <w:t xml:space="preserve">” </w:t>
      </w:r>
      <w:r>
        <w:rPr>
          <w:rFonts w:ascii="Times New Roman;Times;serif" w:hAnsi="Times New Roman;Times;serif"/>
          <w:sz w:val="22"/>
        </w:rPr>
        <w:t>means the SOFR Administrator or the SONIA Administrator, as applicable.</w:t>
      </w:r>
    </w:p>
    <w:p>
      <w:pPr>
        <w:pStyle w:val="TextBody"/>
        <w:bidi w:val="0"/>
        <w:spacing w:lineRule="auto" w:line="285" w:before="0" w:after="0"/>
        <w:ind w:left="0" w:right="0" w:firstLine="720"/>
        <w:jc w:val="both"/>
        <w:rPr/>
      </w:pPr>
      <w:r>
        <w:rPr/>
        <w:t>“</w:t>
      </w:r>
      <w:r>
        <w:rPr>
          <w:rFonts w:ascii="Times New Roman;Times;serif" w:hAnsi="Times New Roman;Times;serif"/>
          <w:sz w:val="22"/>
          <w:u w:val="single"/>
        </w:rPr>
        <w:t>RFR Business Day</w:t>
      </w:r>
      <w:r>
        <w:rPr>
          <w:rFonts w:ascii="Aptos" w:hAnsi="Aptos"/>
          <w:sz w:val="22"/>
        </w:rPr>
        <w:t xml:space="preserve">” </w:t>
      </w:r>
      <w:r>
        <w:rPr>
          <w:rFonts w:ascii="Times New Roman;Times;serif" w:hAnsi="Times New Roman;Times;serif"/>
          <w:sz w:val="22"/>
        </w:rPr>
        <w:t xml:space="preserve">means, for any Obligations, interest, fees, commissions or other amounts denominated in, or calculated with respect to, (a) Dollars, on and after the USD LIBOR Transition Date, any day except for (i) a Saturday, (ii) a Sunday or (iii) a day on which the Securities Industry and Financial Markets Association recommends that the fixed income departments of its members be closed for the entire day for purposes of trading in United States government securities and (b) Sterling, any day except for (i)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36</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Aptos" w:hAnsi="Aptos"/>
          <w:sz w:val="22"/>
        </w:rPr>
      </w:pPr>
      <w:r>
        <w:rPr>
          <w:rFonts w:ascii="Times New Roman;Times;serif" w:hAnsi="Times New Roman;Times;serif"/>
          <w:sz w:val="22"/>
        </w:rPr>
        <w:t xml:space="preserve">a Saturday, (ii) a Sunday or (iii) a day on which banks are closed for general business in London; </w:t>
      </w:r>
      <w:r>
        <w:rPr>
          <w:rFonts w:ascii="Times New Roman;Times;serif" w:hAnsi="Times New Roman;Times;serif"/>
          <w:sz w:val="22"/>
          <w:u w:val="single"/>
        </w:rPr>
        <w:t>provided</w:t>
      </w:r>
      <w:r>
        <w:rPr>
          <w:rFonts w:ascii="Times New Roman;Times;serif" w:hAnsi="Times New Roman;Times;serif"/>
          <w:sz w:val="22"/>
        </w:rPr>
        <w:t xml:space="preserve">, that for purposes of notice requirements in </w:t>
      </w:r>
      <w:r>
        <w:rPr>
          <w:rFonts w:ascii="Times New Roman;Times;serif" w:hAnsi="Times New Roman;Times;serif"/>
          <w:sz w:val="22"/>
          <w:u w:val="single"/>
        </w:rPr>
        <w:t>Sections 2.5(a)</w:t>
      </w:r>
      <w:r>
        <w:rPr>
          <w:rFonts w:ascii="Aptos" w:hAnsi="Aptos"/>
          <w:sz w:val="22"/>
        </w:rPr>
        <w:t xml:space="preserve"> </w:t>
      </w:r>
      <w:r>
        <w:rPr>
          <w:rFonts w:ascii="Times New Roman;Times;serif" w:hAnsi="Times New Roman;Times;serif"/>
          <w:sz w:val="22"/>
        </w:rPr>
        <w:t xml:space="preserve">and </w:t>
      </w:r>
      <w:r>
        <w:rPr>
          <w:rFonts w:ascii="Times New Roman;Times;serif" w:hAnsi="Times New Roman;Times;serif"/>
          <w:sz w:val="22"/>
          <w:u w:val="single"/>
        </w:rPr>
        <w:t>2.7(b)</w:t>
      </w:r>
      <w:r>
        <w:rPr>
          <w:rFonts w:ascii="Times New Roman;Times;serif" w:hAnsi="Times New Roman;Times;serif"/>
          <w:sz w:val="22"/>
        </w:rPr>
        <w:t>, in each case, such day is also a Business Day.</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RFR Loan</w:t>
      </w:r>
      <w:r>
        <w:rPr>
          <w:rFonts w:ascii="Aptos" w:hAnsi="Aptos"/>
          <w:sz w:val="22"/>
        </w:rPr>
        <w:t xml:space="preserve">” </w:t>
      </w:r>
      <w:r>
        <w:rPr>
          <w:rFonts w:ascii="Times New Roman;Times;serif" w:hAnsi="Times New Roman;Times;serif"/>
          <w:sz w:val="22"/>
        </w:rPr>
        <w:t>means a Daily Simple RFR Loan or a Term RFR Loan, as the context may require.</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RFR Rate Day</w:t>
      </w:r>
      <w:r>
        <w:rPr>
          <w:rFonts w:ascii="Aptos" w:hAnsi="Aptos"/>
          <w:sz w:val="22"/>
        </w:rPr>
        <w:t xml:space="preserve">” </w:t>
      </w:r>
      <w:r>
        <w:rPr>
          <w:rFonts w:ascii="Times New Roman;Times;serif" w:hAnsi="Times New Roman;Times;serif"/>
          <w:sz w:val="22"/>
        </w:rPr>
        <w:t>has the meaning assigned thereto in the definition of “Daily Simple RFR”.</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Sanctioned Country</w:t>
      </w:r>
      <w:r>
        <w:rPr>
          <w:rFonts w:ascii="Aptos" w:hAnsi="Aptos"/>
          <w:sz w:val="22"/>
        </w:rPr>
        <w:t xml:space="preserve">” </w:t>
      </w:r>
      <w:r>
        <w:rPr>
          <w:rFonts w:ascii="Times New Roman;Times;serif" w:hAnsi="Times New Roman;Times;serif"/>
          <w:sz w:val="22"/>
        </w:rPr>
        <w:t>means at any time, a country, region or territory which is itself (or whose government is) the subject or target of any Sanctions (which, as of the Sixth Amendment Effective Date, includes Cuba, Iran, North Korea, Syria and Crimea).</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Sanctioned Person</w:t>
      </w:r>
      <w:r>
        <w:rPr>
          <w:rFonts w:ascii="Aptos" w:hAnsi="Aptos"/>
          <w:sz w:val="22"/>
        </w:rPr>
        <w:t xml:space="preserve">” </w:t>
      </w:r>
      <w:r>
        <w:rPr>
          <w:rFonts w:ascii="Times New Roman;Times;serif" w:hAnsi="Times New Roman;Times;serif"/>
          <w:sz w:val="22"/>
        </w:rPr>
        <w:t>means, at any time, (a) any Person listed in any Sanctions-related list of designated Persons maintained by OFAC (including, without limitation, OFAC’s Specially Designated Nationals and Blocked Persons List and OFAC’s Consolidated Non-SDN List), the U.S. Department of State, the United Nations Security Council, the European Union, His Majesty’s Treasury, or other relevant sanctions authority, (b) any Person organized or resident in a Sanctioned Country, (c) any Person owned or controlled by any such Person or Persons described in clauses (a) and (b).</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Sanctions</w:t>
      </w:r>
      <w:r>
        <w:rPr>
          <w:rFonts w:ascii="Aptos" w:hAnsi="Aptos"/>
          <w:sz w:val="22"/>
        </w:rPr>
        <w:t xml:space="preserve">” </w:t>
      </w:r>
      <w:r>
        <w:rPr>
          <w:rFonts w:ascii="Times New Roman;Times;serif" w:hAnsi="Times New Roman;Times;serif"/>
          <w:sz w:val="22"/>
        </w:rPr>
        <w:t>means economic or financial sanctions or trade embargoes imposed, administered or enforced from time to time by the U.S. government (including those administered by OFAC), the United Nations Security Council, the European Union or His Majesty’s Treasury of the United Kingdom.</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Screen Rate</w:t>
      </w:r>
      <w:r>
        <w:rPr>
          <w:rFonts w:ascii="Aptos" w:hAnsi="Aptos"/>
          <w:sz w:val="22"/>
        </w:rPr>
        <w:t xml:space="preserve">” </w:t>
      </w:r>
      <w:r>
        <w:rPr>
          <w:rFonts w:ascii="Times New Roman;Times;serif" w:hAnsi="Times New Roman;Times;serif"/>
          <w:sz w:val="22"/>
        </w:rPr>
        <w:t>means, for any Eurodollar Fixed Rate Loan denominated in Euros, the EURIBOR Rate, for any Eurodollar Fixed Rate Loan denominated in Canadian Dollars, the CDOR Rate, for any Eurodollar Fixed Rate Loan denominated in Australian Dollars, the BBSY Rate and for any Eurodollar Fixed Rate Loan denominated in New Zealand Dollars, the BKBM Rate.</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SEC</w:t>
      </w:r>
      <w:r>
        <w:rPr>
          <w:rFonts w:ascii="Aptos" w:hAnsi="Aptos"/>
          <w:sz w:val="22"/>
        </w:rPr>
        <w:t xml:space="preserve">” </w:t>
      </w:r>
      <w:r>
        <w:rPr>
          <w:rFonts w:ascii="Times New Roman;Times;serif" w:hAnsi="Times New Roman;Times;serif"/>
          <w:sz w:val="22"/>
        </w:rPr>
        <w:t>means the United States Securities and Exchange Commission, or any governmental body or agency succeeding to any of its principal functions.</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Secured Hedge Agreement</w:t>
      </w:r>
      <w:r>
        <w:rPr>
          <w:rFonts w:ascii="Aptos" w:hAnsi="Aptos"/>
          <w:sz w:val="22"/>
        </w:rPr>
        <w:t xml:space="preserve">” </w:t>
      </w:r>
      <w:r>
        <w:rPr>
          <w:rFonts w:ascii="Times New Roman;Times;serif" w:hAnsi="Times New Roman;Times;serif"/>
          <w:sz w:val="22"/>
        </w:rPr>
        <w:t>means (a) any Hedge Agreement between or among any Credit Party or any of its Subsidiaries and a counterparty that is the Agent or any of its Affiliates, (b) any Hedge Agreement in effect on the Closing Date between or among any Credit Party or any of its Subsidiaries and a counterparty that is a Lender or an Affiliate of a Lender as of the Closing Date or (c) any Hedge Agreement entered into after the Closing Date between or among any Credit Party or any of its Subsidiaries and a counterparty that is a Lender, an Agent or an Affiliate of a Lender or an Agent at the time such Hedge Agreement is entered into.</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Secured Hedge Obligations</w:t>
      </w:r>
      <w:r>
        <w:rPr>
          <w:rFonts w:ascii="Aptos" w:hAnsi="Aptos"/>
          <w:sz w:val="22"/>
        </w:rPr>
        <w:t xml:space="preserve">” </w:t>
      </w:r>
      <w:r>
        <w:rPr>
          <w:rFonts w:ascii="Times New Roman;Times;serif" w:hAnsi="Times New Roman;Times;serif"/>
          <w:sz w:val="22"/>
        </w:rPr>
        <w:t xml:space="preserve">means all existing or future payment and other obligations owing by any Credit Party or any of its Subsidiaries under any Secured Hedge Agreement; </w:t>
      </w:r>
      <w:r>
        <w:rPr>
          <w:rFonts w:ascii="Times New Roman;Times;serif" w:hAnsi="Times New Roman;Times;serif"/>
          <w:sz w:val="22"/>
          <w:u w:val="single"/>
        </w:rPr>
        <w:t>provided</w:t>
      </w:r>
      <w:r>
        <w:rPr>
          <w:rFonts w:ascii="Aptos" w:hAnsi="Aptos"/>
          <w:sz w:val="22"/>
        </w:rPr>
        <w:t xml:space="preserve"> </w:t>
      </w:r>
      <w:r>
        <w:rPr>
          <w:rFonts w:ascii="Times New Roman;Times;serif" w:hAnsi="Times New Roman;Times;serif"/>
          <w:sz w:val="22"/>
        </w:rPr>
        <w:t>that the “Secured Hedge Obligations” of a Credit Party shall exclude (a) any Excluded Swap Obligations with respect to such Credit Party and (b) any Permitted Bond Hedge Transaction.</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Secured Net Leverage Ratio</w:t>
      </w:r>
      <w:r>
        <w:rPr>
          <w:rFonts w:ascii="Aptos" w:hAnsi="Aptos"/>
          <w:sz w:val="22"/>
        </w:rPr>
        <w:t xml:space="preserve">” </w:t>
      </w:r>
      <w:r>
        <w:rPr>
          <w:rFonts w:ascii="Times New Roman;Times;serif" w:hAnsi="Times New Roman;Times;serif"/>
          <w:sz w:val="22"/>
        </w:rPr>
        <w:t xml:space="preserve">means, as any date of determination, the ratio of (a) Consolidated Funded Indebtedness (as of the end of the most recently completed fiscal quarter of the US Borrower) that is secured by a Lien on any assets of the US Borrower or any of its Subsidiaries </w:t>
      </w:r>
      <w:r>
        <w:rPr>
          <w:rFonts w:ascii="Times New Roman;Times;serif" w:hAnsi="Times New Roman;Times;serif"/>
          <w:sz w:val="22"/>
          <w:u w:val="single"/>
        </w:rPr>
        <w:t>minus</w:t>
      </w:r>
      <w:r>
        <w:rPr>
          <w:rFonts w:ascii="Aptos" w:hAnsi="Aptos"/>
          <w:sz w:val="22"/>
        </w:rPr>
        <w:t xml:space="preserve"> </w:t>
      </w:r>
      <w:r>
        <w:rPr>
          <w:rFonts w:ascii="Times New Roman;Times;serif" w:hAnsi="Times New Roman;Times;serif"/>
          <w:sz w:val="22"/>
        </w:rPr>
        <w:t>seventy percent (70%) of Unrestricted cash and Cash Equivalents of the Companies as of such date of determination to (b) Consolidated EBITDA (for the most recently completed four fiscal quarters of the US Borrower).</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37</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Secured Obligations</w:t>
      </w:r>
      <w:r>
        <w:rPr>
          <w:rFonts w:ascii="Aptos" w:hAnsi="Aptos"/>
          <w:sz w:val="22"/>
        </w:rPr>
        <w:t xml:space="preserve">” </w:t>
      </w:r>
      <w:r>
        <w:rPr>
          <w:rFonts w:ascii="Times New Roman;Times;serif" w:hAnsi="Times New Roman;Times;serif"/>
          <w:sz w:val="22"/>
        </w:rPr>
        <w:t>means, collectively, (a) the Obligations, (b) any Secured Hedge Obligations, and (c) the Bank Product Obligations owing to a Lender (or an entity that is an affiliate of a then existing Lender) under Bank Product Agreements.</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Secured Parties</w:t>
      </w:r>
      <w:r>
        <w:rPr>
          <w:rFonts w:ascii="Aptos" w:hAnsi="Aptos"/>
          <w:sz w:val="22"/>
        </w:rPr>
        <w:t xml:space="preserve">” </w:t>
      </w:r>
      <w:r>
        <w:rPr>
          <w:rFonts w:ascii="Times New Roman;Times;serif" w:hAnsi="Times New Roman;Times;serif"/>
          <w:sz w:val="22"/>
        </w:rPr>
        <w:t xml:space="preserve">means, collectively, Agent, the Lenders, the Fronting Lender, the holders of any Secured Hedge Obligations, any Lender (or an entity that is an affiliate of a then existing Lender) party to a Bank Product Agreement with a Company, each co-agent or sub-agent appointed by Agent from time to time pursuant to </w:t>
      </w:r>
      <w:r>
        <w:rPr>
          <w:rFonts w:ascii="Times New Roman;Times;serif" w:hAnsi="Times New Roman;Times;serif"/>
          <w:sz w:val="22"/>
          <w:u w:val="single"/>
        </w:rPr>
        <w:t>Section 9.5</w:t>
      </w:r>
      <w:r>
        <w:rPr>
          <w:rFonts w:ascii="Aptos" w:hAnsi="Aptos"/>
          <w:sz w:val="22"/>
        </w:rPr>
        <w:t xml:space="preserve"> </w:t>
      </w:r>
      <w:r>
        <w:rPr>
          <w:rFonts w:ascii="Times New Roman;Times;serif" w:hAnsi="Times New Roman;Times;serif"/>
          <w:sz w:val="22"/>
        </w:rPr>
        <w:t>hereof, any other holder from time to time of any of any Secured Obligations and, in each case, their respective successors and permitted assigns.</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Securities Account</w:t>
      </w:r>
      <w:r>
        <w:rPr>
          <w:rFonts w:ascii="Aptos" w:hAnsi="Aptos"/>
          <w:sz w:val="22"/>
        </w:rPr>
        <w:t xml:space="preserve">” </w:t>
      </w:r>
      <w:r>
        <w:rPr>
          <w:rFonts w:ascii="Times New Roman;Times;serif" w:hAnsi="Times New Roman;Times;serif"/>
          <w:sz w:val="22"/>
        </w:rPr>
        <w:t>means a securities account, as that term is defined in the U.C.C.</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Securities Account Control Agreement</w:t>
      </w:r>
      <w:r>
        <w:rPr>
          <w:rFonts w:ascii="Aptos" w:hAnsi="Aptos"/>
          <w:sz w:val="22"/>
        </w:rPr>
        <w:t xml:space="preserve">” </w:t>
      </w:r>
      <w:r>
        <w:rPr>
          <w:rFonts w:ascii="Times New Roman;Times;serif" w:hAnsi="Times New Roman;Times;serif"/>
          <w:sz w:val="22"/>
        </w:rPr>
        <w:t>means each Securities Account Control Agreement among US Borrower or a Domestic Guarantor of Payment, Agent and a Securities Intermediary, dated on or after the Closing Date, to be in form and substance reasonably satisfactory to Agent, as the same may from time to time be amended, restated or otherwise modified.</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Securities Intermediary</w:t>
      </w:r>
      <w:r>
        <w:rPr>
          <w:rFonts w:ascii="Aptos" w:hAnsi="Aptos"/>
          <w:sz w:val="22"/>
        </w:rPr>
        <w:t xml:space="preserve">” </w:t>
      </w:r>
      <w:r>
        <w:rPr>
          <w:rFonts w:ascii="Times New Roman;Times;serif" w:hAnsi="Times New Roman;Times;serif"/>
          <w:sz w:val="22"/>
        </w:rPr>
        <w:t>means a clearing corporation or a Person, including, without limitation, a bank or broker, that in the ordinary course of its business maintains Securities Accounts for others and is acting in that capacity.</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Security Agreement</w:t>
      </w:r>
      <w:r>
        <w:rPr>
          <w:rFonts w:ascii="Aptos" w:hAnsi="Aptos"/>
          <w:sz w:val="22"/>
        </w:rPr>
        <w:t xml:space="preserve">” </w:t>
      </w:r>
      <w:r>
        <w:rPr>
          <w:rFonts w:ascii="Times New Roman;Times;serif" w:hAnsi="Times New Roman;Times;serif"/>
          <w:sz w:val="22"/>
        </w:rPr>
        <w:t>means the Second Amended and Restated Security Agreement, executed and delivered by a Credit Party in favor of Agent, for the benefit of the Secured Parties, dated on or after the Ninth Amendment Effective Date, as the same may from time to time be amended, restated or otherwise modified.</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Security Agreement Joinder</w:t>
      </w:r>
      <w:r>
        <w:rPr>
          <w:rFonts w:ascii="Aptos" w:hAnsi="Aptos"/>
          <w:sz w:val="22"/>
        </w:rPr>
        <w:t xml:space="preserve">” </w:t>
      </w:r>
      <w:r>
        <w:rPr>
          <w:rFonts w:ascii="Times New Roman;Times;serif" w:hAnsi="Times New Roman;Times;serif"/>
          <w:sz w:val="22"/>
        </w:rPr>
        <w:t>means each Security Agreement Joinder, executed and delivered by a Guarantor of Payment for the purpose of adding such Guarantor of Payment as a party to the previously executed Security Agreement.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Security Documents</w:t>
      </w:r>
      <w:r>
        <w:rPr>
          <w:rFonts w:ascii="Aptos" w:hAnsi="Aptos"/>
          <w:sz w:val="22"/>
        </w:rPr>
        <w:t xml:space="preserve">” </w:t>
      </w:r>
      <w:r>
        <w:rPr>
          <w:rFonts w:ascii="Times New Roman;Times;serif" w:hAnsi="Times New Roman;Times;serif"/>
          <w:sz w:val="22"/>
        </w:rPr>
        <w:t>means the Security Agreement, each Security Agreement Joinder, each Control Agreement, each U.C.C. Financing Statement or similar filing as to a jurisdiction located outside of the United States of America filed in connection herewith or perfecting any interest created in any of the foregoing documents, and any other document pursuant to which any Lien is granted by a Company or any other Person to Agent, for the benefit of the Secured Parties, as security for the Secured Obligations, or any part thereof, and each other agreement executed or provided to Agent in connection with any of the foregoing, as any of the foregoing may from time to time be amended, restated or otherwise modified or replaced.</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Significant Positive EBITDA Acquisition</w:t>
      </w:r>
      <w:r>
        <w:rPr>
          <w:rFonts w:ascii="Aptos" w:hAnsi="Aptos"/>
          <w:sz w:val="22"/>
        </w:rPr>
        <w:t xml:space="preserve">” </w:t>
      </w:r>
      <w:r>
        <w:rPr>
          <w:rFonts w:ascii="Times New Roman;Times;serif" w:hAnsi="Times New Roman;Times;serif"/>
          <w:sz w:val="22"/>
        </w:rPr>
        <w:t>means an Acquisition that, as measured for the four fiscal quarters then most recently ended, generated positive EBITDA in excess of Five Million Dollars ($5,000,000) for the Person or assets being acquired.</w:t>
      </w:r>
    </w:p>
    <w:p>
      <w:pPr>
        <w:pStyle w:val="TextBody"/>
        <w:pBdr/>
        <w:bidi w:val="0"/>
        <w:spacing w:lineRule="auto" w:line="285" w:before="0" w:after="0"/>
        <w:ind w:left="0" w:right="0" w:firstLine="720"/>
        <w:jc w:val="both"/>
        <w:rPr/>
      </w:pPr>
      <w:r>
        <w:rPr/>
        <w:t>“</w:t>
      </w:r>
      <w:r>
        <w:rPr>
          <w:rFonts w:ascii="Times New Roman;Times;serif" w:hAnsi="Times New Roman;Times;serif"/>
          <w:sz w:val="22"/>
          <w:u w:val="single"/>
        </w:rPr>
        <w:t>Significant Positive EBITDA Disposition</w:t>
      </w:r>
      <w:r>
        <w:rPr>
          <w:rFonts w:ascii="Aptos" w:hAnsi="Aptos"/>
          <w:sz w:val="22"/>
        </w:rPr>
        <w:t xml:space="preserve">” </w:t>
      </w:r>
      <w:r>
        <w:rPr>
          <w:rFonts w:ascii="Times New Roman;Times;serif" w:hAnsi="Times New Roman;Times;serif"/>
          <w:sz w:val="22"/>
        </w:rPr>
        <w:t>means a Disposition that, as measured for the four fiscal quarters then most recently ended, generated positive EBITDA for the Company effecting such Disposition in excess of Five Million Dollars ($5,000,000).</w:t>
      </w:r>
    </w:p>
    <w:p>
      <w:pPr>
        <w:pStyle w:val="TextBody"/>
        <w:shd w:fill="FFFFFF" w:val="clear"/>
        <w:bidi w:val="0"/>
        <w:spacing w:lineRule="auto" w:line="285" w:before="0" w:after="0"/>
        <w:ind w:left="0" w:right="0" w:firstLine="720"/>
        <w:jc w:val="both"/>
        <w:rPr/>
      </w:pPr>
      <w:r>
        <w:rPr/>
        <w:t>“</w:t>
      </w:r>
      <w:r>
        <w:rPr>
          <w:rFonts w:ascii="Times New Roman;Times;serif" w:hAnsi="Times New Roman;Times;serif"/>
          <w:sz w:val="22"/>
          <w:u w:val="single"/>
        </w:rPr>
        <w:t>Sixth Amendment Effective Date</w:t>
      </w:r>
      <w:r>
        <w:rPr>
          <w:rFonts w:ascii="Aptos" w:hAnsi="Aptos"/>
          <w:sz w:val="22"/>
        </w:rPr>
        <w:t xml:space="preserve">” </w:t>
      </w:r>
      <w:r>
        <w:rPr>
          <w:rFonts w:ascii="Times New Roman;Times;serif" w:hAnsi="Times New Roman;Times;serif"/>
          <w:sz w:val="22"/>
        </w:rPr>
        <w:t>means November 23, 2021.</w:t>
      </w:r>
    </w:p>
    <w:p>
      <w:pPr>
        <w:pStyle w:val="TextBody"/>
        <w:shd w:fill="FFFFFF" w:val="clear"/>
        <w:bidi w:val="0"/>
        <w:spacing w:lineRule="auto" w:line="331" w:before="0" w:after="160"/>
        <w:ind w:left="0" w:right="0" w:firstLine="720"/>
        <w:jc w:val="both"/>
        <w:rPr/>
      </w:pPr>
      <w:r>
        <w:rPr/>
        <w: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SOFR</w:t>
      </w:r>
      <w:r>
        <w:rPr>
          <w:rFonts w:ascii="Aptos" w:hAnsi="Aptos"/>
          <w:sz w:val="22"/>
        </w:rPr>
        <w:t xml:space="preserve">” </w:t>
      </w:r>
      <w:r>
        <w:rPr>
          <w:rFonts w:ascii="Times New Roman;Times;serif" w:hAnsi="Times New Roman;Times;serif"/>
          <w:sz w:val="22"/>
        </w:rPr>
        <w:t>means a rate equal to the secured overnight financing rate as administered by the SOFR Administrator.</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38</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SOFR Administrator</w:t>
      </w:r>
      <w:r>
        <w:rPr>
          <w:rFonts w:ascii="Aptos" w:hAnsi="Aptos"/>
          <w:sz w:val="22"/>
        </w:rPr>
        <w:t xml:space="preserve">” </w:t>
      </w:r>
      <w:r>
        <w:rPr>
          <w:rFonts w:ascii="Times New Roman;Times;serif" w:hAnsi="Times New Roman;Times;serif"/>
          <w:sz w:val="22"/>
        </w:rPr>
        <w:t>means the Federal Reserve Bank of New York (or a successor administrator of the secured overnight financing rate).</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SOFR Administrator’s Website</w:t>
      </w:r>
      <w:r>
        <w:rPr>
          <w:rFonts w:ascii="Aptos" w:hAnsi="Aptos"/>
          <w:sz w:val="22"/>
        </w:rPr>
        <w:t xml:space="preserve">” </w:t>
      </w:r>
      <w:r>
        <w:rPr>
          <w:rFonts w:ascii="Times New Roman;Times;serif" w:hAnsi="Times New Roman;Times;serif"/>
          <w:sz w:val="22"/>
        </w:rPr>
        <w:t xml:space="preserve">means the website of the Federal Reserve Bank of New York, currently at </w:t>
      </w:r>
      <w:r>
        <w:rPr>
          <w:rFonts w:ascii="Times New Roman;Times;serif" w:hAnsi="Times New Roman;Times;serif"/>
          <w:color w:val="0000FF"/>
          <w:sz w:val="22"/>
          <w:u w:val="single"/>
        </w:rPr>
        <w:t>http://www.newyorkfed.org</w:t>
      </w:r>
      <w:r>
        <w:rPr>
          <w:rFonts w:ascii="Times New Roman;Times;serif" w:hAnsi="Times New Roman;Times;serif"/>
          <w:sz w:val="22"/>
        </w:rPr>
        <w:t>, or any successor source for the secured overnight financing rate identified as such by the SOFR Administrator from time to time.</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SONIA</w:t>
      </w:r>
      <w:r>
        <w:rPr>
          <w:rFonts w:ascii="Aptos" w:hAnsi="Aptos"/>
          <w:sz w:val="22"/>
        </w:rPr>
        <w:t xml:space="preserve">” </w:t>
      </w:r>
      <w:r>
        <w:rPr>
          <w:rFonts w:ascii="Times New Roman;Times;serif" w:hAnsi="Times New Roman;Times;serif"/>
          <w:sz w:val="22"/>
        </w:rPr>
        <w:t>means a rate equal to the Sterling Overnight Index Average as administered by the SONIA Administrator.</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SONIA Administrator</w:t>
      </w:r>
      <w:r>
        <w:rPr>
          <w:rFonts w:ascii="Aptos" w:hAnsi="Aptos"/>
          <w:sz w:val="22"/>
        </w:rPr>
        <w:t xml:space="preserve">” </w:t>
      </w:r>
      <w:r>
        <w:rPr>
          <w:rFonts w:ascii="Times New Roman;Times;serif" w:hAnsi="Times New Roman;Times;serif"/>
          <w:sz w:val="22"/>
        </w:rPr>
        <w:t>means the Bank of England (or any successor administrator of the Sterling Overnight Index Average).</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SONIA Administrator’s Website</w:t>
      </w:r>
      <w:r>
        <w:rPr>
          <w:rFonts w:ascii="Aptos" w:hAnsi="Aptos"/>
          <w:sz w:val="22"/>
        </w:rPr>
        <w:t xml:space="preserve">” </w:t>
      </w:r>
      <w:r>
        <w:rPr>
          <w:rFonts w:ascii="Times New Roman;Times;serif" w:hAnsi="Times New Roman;Times;serif"/>
          <w:sz w:val="22"/>
        </w:rPr>
        <w:t>means the Bank of England’s website, currently at http://www.bankofengland.co.uk, or any successor source for the Sterling Overnight Index Average identified as such by the SONIA Administrator from time to time.</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Special Notice Currency</w:t>
      </w:r>
      <w:r>
        <w:rPr>
          <w:rFonts w:ascii="Aptos" w:hAnsi="Aptos"/>
          <w:sz w:val="22"/>
        </w:rPr>
        <w:t xml:space="preserve">” </w:t>
      </w:r>
      <w:r>
        <w:rPr>
          <w:rFonts w:ascii="Times New Roman;Times;serif" w:hAnsi="Times New Roman;Times;serif"/>
          <w:sz w:val="22"/>
        </w:rPr>
        <w:t>means, at any time, an Alternate Currency other than the currency of a country that is a member of the Organization for Economic Cooperation and Development at such time located in North America.</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Spread Adjusted SOFR</w:t>
      </w:r>
      <w:r>
        <w:rPr>
          <w:rFonts w:ascii="Aptos" w:hAnsi="Aptos"/>
          <w:sz w:val="22"/>
        </w:rPr>
        <w:t xml:space="preserve">” </w:t>
      </w:r>
      <w:r>
        <w:rPr>
          <w:rFonts w:ascii="Times New Roman;Times;serif" w:hAnsi="Times New Roman;Times;serif"/>
          <w:sz w:val="22"/>
        </w:rPr>
        <w:t>means with respect to any RFR Business Day, a rate per annum equal to the sum of (a) SOFR for such RFR Business Day and (b) 0.11448% per annum.</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Spread Adjusted Term SOFR</w:t>
      </w:r>
      <w:r>
        <w:rPr>
          <w:rFonts w:ascii="Aptos" w:hAnsi="Aptos"/>
          <w:sz w:val="22"/>
        </w:rPr>
        <w:t xml:space="preserve">” </w:t>
      </w:r>
      <w:r>
        <w:rPr>
          <w:rFonts w:ascii="Times New Roman;Times;serif" w:hAnsi="Times New Roman;Times;serif"/>
          <w:sz w:val="22"/>
        </w:rPr>
        <w:t>means, for any Interest Period, a rate per annum equal to the sum of (a) the forward-looking term rate based on SOFR for a tenor comparable to the applicable Interest Period on the day (such day, the “</w:t>
      </w:r>
      <w:r>
        <w:rPr>
          <w:rFonts w:ascii="Times New Roman;Times;serif" w:hAnsi="Times New Roman;Times;serif"/>
          <w:sz w:val="22"/>
          <w:u w:val="single"/>
        </w:rPr>
        <w:t>Periodic Term SOFR Determination Day</w:t>
      </w:r>
      <w:r>
        <w:rPr>
          <w:rFonts w:ascii="Aptos" w:hAnsi="Aptos"/>
          <w:sz w:val="22"/>
        </w:rPr>
        <w:t>”</w:t>
      </w:r>
      <w:r>
        <w:rPr>
          <w:rFonts w:ascii="Times New Roman;Times;serif" w:hAnsi="Times New Roman;Times;serif"/>
          <w:sz w:val="22"/>
        </w:rPr>
        <w:t>) that is two (2) RFR Business Days prior to the first day of such Interest Period, as such rate is published by CME Group Benchmark Administration Limited (CBA) (or a successor administrator of the forward-looking term rate based on SOFR selected by the Agent in its reasonable discretion) (the “</w:t>
      </w:r>
      <w:r>
        <w:rPr>
          <w:rFonts w:ascii="Times New Roman;Times;serif" w:hAnsi="Times New Roman;Times;serif"/>
          <w:sz w:val="22"/>
          <w:u w:val="single"/>
        </w:rPr>
        <w:t>Term SOFR Administrator</w:t>
      </w:r>
      <w:r>
        <w:rPr>
          <w:rFonts w:ascii="Aptos" w:hAnsi="Aptos"/>
          <w:sz w:val="22"/>
        </w:rPr>
        <w:t>”</w:t>
      </w:r>
      <w:r>
        <w:rPr>
          <w:rFonts w:ascii="Times New Roman;Times;serif" w:hAnsi="Times New Roman;Times;serif"/>
          <w:sz w:val="22"/>
        </w:rPr>
        <w:t xml:space="preserve">);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xml:space="preserve">, that if as of 5:00 p.m. (Eastern time) on any Periodic Term SOFR Determination Day the SOFR for the applicable tenor has not been published by the Term SOFR Administrator and a Benchmark Replacement Date with respect to SOFR has not occurred, then this clause (a) will be deemed to refer to SOFR for such tenor as published by the Term SOFR Administrator on the first preceding RFR Business Day for which SOFR for such tenor was published by the Term SOFR Administrator so long as such first preceding RFR Business Day is not more than three (3) RFR Business Days prior to such Periodic Term SOFR Determination Day, </w:t>
      </w:r>
      <w:r>
        <w:rPr>
          <w:rFonts w:ascii="Times New Roman;Times;serif" w:hAnsi="Times New Roman;Times;serif"/>
          <w:sz w:val="22"/>
          <w:u w:val="single"/>
        </w:rPr>
        <w:t>plus</w:t>
      </w:r>
      <w:r>
        <w:rPr>
          <w:rFonts w:ascii="Aptos" w:hAnsi="Aptos"/>
          <w:sz w:val="22"/>
        </w:rPr>
        <w:t xml:space="preserve"> </w:t>
      </w:r>
      <w:r>
        <w:rPr>
          <w:rFonts w:ascii="Times New Roman;Times;serif" w:hAnsi="Times New Roman;Times;serif"/>
          <w:sz w:val="22"/>
        </w:rPr>
        <w:t>(b) (i) with respect to an Interest Period of one month, 0.11448% per annum, (ii) with respect to an Interest Period of three months, 0.26161% per annum and (iii) with respect to an Interest Period of six months, 0.42826% per annum.</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Sterling</w:t>
      </w:r>
      <w:r>
        <w:rPr>
          <w:rFonts w:ascii="Aptos" w:hAnsi="Aptos"/>
          <w:sz w:val="22"/>
        </w:rPr>
        <w:t xml:space="preserve">” </w:t>
      </w:r>
      <w:r>
        <w:rPr>
          <w:rFonts w:ascii="Times New Roman;Times;serif" w:hAnsi="Times New Roman;Times;serif"/>
          <w:sz w:val="22"/>
        </w:rPr>
        <w:t>or “</w:t>
      </w:r>
      <w:r>
        <w:rPr>
          <w:rFonts w:ascii="Times New Roman;Times;serif" w:hAnsi="Times New Roman;Times;serif"/>
          <w:sz w:val="22"/>
          <w:u w:val="single"/>
        </w:rPr>
        <w:t>£</w:t>
      </w:r>
      <w:r>
        <w:rPr>
          <w:rFonts w:ascii="Aptos" w:hAnsi="Aptos"/>
          <w:sz w:val="22"/>
        </w:rPr>
        <w:t xml:space="preserve">” </w:t>
      </w:r>
      <w:r>
        <w:rPr>
          <w:rFonts w:ascii="Times New Roman;Times;serif" w:hAnsi="Times New Roman;Times;serif"/>
          <w:sz w:val="22"/>
        </w:rPr>
        <w:t>means the lawful currency of the United Kingdom.</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Subordinated Indebtedness</w:t>
      </w:r>
      <w:r>
        <w:rPr>
          <w:rFonts w:ascii="Aptos" w:hAnsi="Aptos"/>
          <w:sz w:val="22"/>
        </w:rPr>
        <w:t xml:space="preserve">” </w:t>
      </w:r>
      <w:r>
        <w:rPr>
          <w:rFonts w:ascii="Times New Roman;Times;serif" w:hAnsi="Times New Roman;Times;serif"/>
          <w:sz w:val="22"/>
        </w:rPr>
        <w:t>means Indebtedness that shall have been subordinated (by written terms or written agreement being, in either case, in form and substance reasonably satisfactory to Agent and, if the aggregate amount of such Subordinated Indebtedness is in excess of Ten Million Dollars ($10,000,000), the Required Lenders) in favor of the prior payment in full of the Obligations.</w:t>
      </w:r>
    </w:p>
    <w:p>
      <w:pPr>
        <w:pStyle w:val="TextBody"/>
        <w:bidi w:val="0"/>
        <w:spacing w:lineRule="auto" w:line="285" w:before="0" w:after="0"/>
        <w:ind w:left="0" w:right="0" w:firstLine="720"/>
        <w:jc w:val="both"/>
        <w:rPr/>
      </w:pPr>
      <w:r>
        <w:rPr/>
        <w:t>“</w:t>
      </w:r>
      <w:r>
        <w:rPr>
          <w:rFonts w:ascii="Times New Roman;Times;serif" w:hAnsi="Times New Roman;Times;serif"/>
          <w:sz w:val="22"/>
          <w:u w:val="single"/>
        </w:rPr>
        <w:t>Subsidiary</w:t>
      </w:r>
      <w:r>
        <w:rPr>
          <w:rFonts w:ascii="Aptos" w:hAnsi="Aptos"/>
          <w:sz w:val="22"/>
        </w:rPr>
        <w:t xml:space="preserve">” </w:t>
      </w:r>
      <w:r>
        <w:rPr>
          <w:rFonts w:ascii="Times New Roman;Times;serif" w:hAnsi="Times New Roman;Times;serif"/>
          <w:sz w:val="22"/>
        </w:rPr>
        <w:t xml:space="preserve">means (a) a corporation more than fifty percent (50%) of the Voting Power of which is owned, directly or indirectly, by such Person or by one or more other subsidiaries of such Person or by such Person and one or more subsidiaries of such Person, (b) a partnership, limited liability company or unlimited liability company of which such Person, one or more other subsidiaries of such Person or such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39</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Person and one or more subsidiaries of such Person, directly or indirectly, is a general partner or managing member, as the case may be, or otherwise has an ownership interest greater than fifty percent (50%) of all of the ownership interests in such partnership, limited liability company or unlimited liability company, or (c) any other Person (other than a corporation, partnership, limited liability company or unlimited liability company) in which such Person, one or more other subsidiaries of such Person or such Person and one or more subsidiaries of such Person, directly or indirectly, has at least a majority interest in the Voting Power or the power to elect or direct the election of a majority of directors or other governing body of such Person.  Unless the context otherwise requires, Subsidiary herein shall be a reference to a Subsidiary of US Borrower.</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Supporting Letter of Credit</w:t>
      </w:r>
      <w:r>
        <w:rPr>
          <w:rFonts w:ascii="Aptos" w:hAnsi="Aptos"/>
          <w:sz w:val="22"/>
        </w:rPr>
        <w:t xml:space="preserve">” </w:t>
      </w:r>
      <w:r>
        <w:rPr>
          <w:rFonts w:ascii="Times New Roman;Times;serif" w:hAnsi="Times New Roman;Times;serif"/>
          <w:sz w:val="22"/>
        </w:rPr>
        <w:t>means a standby letter of credit, in form and substance reasonably satisfactory to Agent and the Fronting Lender, issued by an issuer reasonably satisfactory to Agent and the Fronting Lender.</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Swap Obligation</w:t>
      </w:r>
      <w:r>
        <w:rPr>
          <w:rFonts w:ascii="Aptos" w:hAnsi="Aptos"/>
          <w:sz w:val="22"/>
        </w:rPr>
        <w:t xml:space="preserve">” </w:t>
      </w:r>
      <w:r>
        <w:rPr>
          <w:rFonts w:ascii="Times New Roman;Times;serif" w:hAnsi="Times New Roman;Times;serif"/>
          <w:sz w:val="22"/>
        </w:rPr>
        <w:t>means, with respect to any Guarantor of Payment, any obligation to pay or perform under any agreement, contract or transaction that constitutes a “swap” within the meaning of section 1a(47) of the Commodity Exchange Act.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Sweep Arrangement</w:t>
      </w:r>
      <w:r>
        <w:rPr>
          <w:rFonts w:ascii="Aptos" w:hAnsi="Aptos"/>
          <w:sz w:val="22"/>
        </w:rPr>
        <w:t xml:space="preserve">” </w:t>
      </w:r>
      <w:r>
        <w:rPr>
          <w:rFonts w:ascii="Times New Roman;Times;serif" w:hAnsi="Times New Roman;Times;serif"/>
          <w:sz w:val="22"/>
        </w:rPr>
        <w:t xml:space="preserve">means that term as defined in </w:t>
      </w:r>
      <w:r>
        <w:rPr>
          <w:rFonts w:ascii="Times New Roman;Times;serif" w:hAnsi="Times New Roman;Times;serif"/>
          <w:sz w:val="22"/>
          <w:u w:val="single"/>
        </w:rPr>
        <w:t>Section 2.2(c)(i)(B)</w:t>
      </w:r>
      <w:r>
        <w:rPr>
          <w:rFonts w:ascii="Aptos" w:hAnsi="Aptos"/>
          <w:sz w:val="22"/>
        </w:rPr>
        <w:t xml:space="preserve"> </w:t>
      </w:r>
      <w:r>
        <w:rPr>
          <w:rFonts w:ascii="Times New Roman;Times;serif" w:hAnsi="Times New Roman;Times;serif"/>
          <w:sz w:val="22"/>
        </w:rPr>
        <w:t>hereof.</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Swing Line Commitment</w:t>
      </w:r>
      <w:r>
        <w:rPr>
          <w:rFonts w:ascii="Aptos" w:hAnsi="Aptos"/>
          <w:sz w:val="22"/>
        </w:rPr>
        <w:t xml:space="preserve">” </w:t>
      </w:r>
      <w:r>
        <w:rPr>
          <w:rFonts w:ascii="Times New Roman;Times;serif" w:hAnsi="Times New Roman;Times;serif"/>
          <w:sz w:val="22"/>
        </w:rPr>
        <w:t>means the commitment of the Swing Line Lender to make Swing Loans to US Borrower up to the aggregate amount at any time outstanding of Fifteen Million Dollars ($15,000,000).</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Swing Line Exposure</w:t>
      </w:r>
      <w:r>
        <w:rPr>
          <w:rFonts w:ascii="Aptos" w:hAnsi="Aptos"/>
          <w:sz w:val="22"/>
        </w:rPr>
        <w:t xml:space="preserve">” </w:t>
      </w:r>
      <w:r>
        <w:rPr>
          <w:rFonts w:ascii="Times New Roman;Times;serif" w:hAnsi="Times New Roman;Times;serif"/>
          <w:sz w:val="22"/>
        </w:rPr>
        <w:t>means, at any time, the aggregate principal amount of all Swing Loans outstanding.</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Swing Line Lender</w:t>
      </w:r>
      <w:r>
        <w:rPr>
          <w:rFonts w:ascii="Aptos" w:hAnsi="Aptos"/>
          <w:sz w:val="22"/>
        </w:rPr>
        <w:t xml:space="preserve">” </w:t>
      </w:r>
      <w:r>
        <w:rPr>
          <w:rFonts w:ascii="Times New Roman;Times;serif" w:hAnsi="Times New Roman;Times;serif"/>
          <w:sz w:val="22"/>
        </w:rPr>
        <w:t>means Wells Fargo, as holder of the Swing Line Commitment.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Swing Line Note</w:t>
      </w:r>
      <w:r>
        <w:rPr>
          <w:rFonts w:ascii="Aptos" w:hAnsi="Aptos"/>
          <w:sz w:val="22"/>
        </w:rPr>
        <w:t xml:space="preserve">” </w:t>
      </w:r>
      <w:r>
        <w:rPr>
          <w:rFonts w:ascii="Times New Roman;Times;serif" w:hAnsi="Times New Roman;Times;serif"/>
          <w:sz w:val="22"/>
        </w:rPr>
        <w:t xml:space="preserve">means the Swing Line Note, in the form of the attached </w:t>
      </w:r>
      <w:r>
        <w:rPr>
          <w:rFonts w:ascii="Times New Roman;Times;serif" w:hAnsi="Times New Roman;Times;serif"/>
          <w:sz w:val="22"/>
          <w:u w:val="single"/>
        </w:rPr>
        <w:t>Exhibit C</w:t>
      </w:r>
      <w:r>
        <w:rPr>
          <w:rFonts w:ascii="Times New Roman;Times;serif" w:hAnsi="Times New Roman;Times;serif"/>
          <w:sz w:val="22"/>
        </w:rPr>
        <w:t xml:space="preserve">, executed and delivered by US Borrower pursuant to </w:t>
      </w:r>
      <w:r>
        <w:rPr>
          <w:rFonts w:ascii="Times New Roman;Times;serif" w:hAnsi="Times New Roman;Times;serif"/>
          <w:sz w:val="22"/>
          <w:u w:val="single"/>
        </w:rPr>
        <w:t>Section 2.4(c)</w:t>
      </w:r>
      <w:r>
        <w:rPr>
          <w:rFonts w:ascii="Aptos" w:hAnsi="Aptos"/>
          <w:sz w:val="22"/>
        </w:rPr>
        <w:t xml:space="preserve"> </w:t>
      </w:r>
      <w:r>
        <w:rPr>
          <w:rFonts w:ascii="Times New Roman;Times;serif" w:hAnsi="Times New Roman;Times;serif"/>
          <w:sz w:val="22"/>
        </w:rPr>
        <w:t>hereof.</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Swing Loan</w:t>
      </w:r>
      <w:r>
        <w:rPr>
          <w:rFonts w:ascii="Aptos" w:hAnsi="Aptos"/>
          <w:sz w:val="22"/>
        </w:rPr>
        <w:t xml:space="preserve">” </w:t>
      </w:r>
      <w:r>
        <w:rPr>
          <w:rFonts w:ascii="Times New Roman;Times;serif" w:hAnsi="Times New Roman;Times;serif"/>
          <w:sz w:val="22"/>
        </w:rPr>
        <w:t xml:space="preserve">means a loan that shall be denominated in Dollars made to US Borrower by the Swing Line Lender under the Swing Line Commitment, in accordance with </w:t>
      </w:r>
      <w:r>
        <w:rPr>
          <w:rFonts w:ascii="Times New Roman;Times;serif" w:hAnsi="Times New Roman;Times;serif"/>
          <w:sz w:val="22"/>
          <w:u w:val="single"/>
        </w:rPr>
        <w:t>Section 2.2(c)</w:t>
      </w:r>
      <w:r>
        <w:rPr>
          <w:rFonts w:ascii="Aptos" w:hAnsi="Aptos"/>
          <w:sz w:val="22"/>
        </w:rPr>
        <w:t xml:space="preserve"> </w:t>
      </w:r>
      <w:r>
        <w:rPr>
          <w:rFonts w:ascii="Times New Roman;Times;serif" w:hAnsi="Times New Roman;Times;serif"/>
          <w:sz w:val="22"/>
        </w:rPr>
        <w:t>hereof.</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Swing Loan Maturity Date</w:t>
      </w:r>
      <w:r>
        <w:rPr>
          <w:rFonts w:ascii="Aptos" w:hAnsi="Aptos"/>
          <w:sz w:val="22"/>
        </w:rPr>
        <w:t xml:space="preserve">” </w:t>
      </w:r>
      <w:r>
        <w:rPr>
          <w:rFonts w:ascii="Times New Roman;Times;serif" w:hAnsi="Times New Roman;Times;serif"/>
          <w:sz w:val="22"/>
        </w:rPr>
        <w:t>means, with respect to any Swing Loan, the earlier of (a) twenty (20) days after the date such Swing Loan is made, or (b) the Revolving Credit Maturity Date.</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Synthetic Lease</w:t>
      </w:r>
      <w:r>
        <w:rPr>
          <w:rFonts w:ascii="Aptos" w:hAnsi="Aptos"/>
          <w:sz w:val="22"/>
        </w:rPr>
        <w:t xml:space="preserve">” </w:t>
      </w:r>
      <w:r>
        <w:rPr>
          <w:rFonts w:ascii="Times New Roman;Times;serif" w:hAnsi="Times New Roman;Times;serif"/>
          <w:sz w:val="22"/>
        </w:rPr>
        <w:t>means any lease (a) that is accounted for by the lessee as an Operating Lease, and (b) under which the lessee is intended to be the “owner” of the leased property for federal income tax purposes.</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TARGET2</w:t>
      </w:r>
      <w:r>
        <w:rPr>
          <w:rFonts w:ascii="Aptos" w:hAnsi="Aptos"/>
          <w:sz w:val="22"/>
        </w:rPr>
        <w:t xml:space="preserve">” </w:t>
      </w:r>
      <w:r>
        <w:rPr>
          <w:rFonts w:ascii="Times New Roman;Times;serif" w:hAnsi="Times New Roman;Times;serif"/>
          <w:sz w:val="22"/>
        </w:rPr>
        <w:t>means the Trans-European Automated Real-time Gross Settlement Express Transfer payment system which utilizes a single shared platform and which was launched on November 19, 2007.</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TARGET Day</w:t>
      </w:r>
      <w:r>
        <w:rPr>
          <w:rFonts w:ascii="Aptos" w:hAnsi="Aptos"/>
          <w:sz w:val="22"/>
        </w:rPr>
        <w:t xml:space="preserve">” </w:t>
      </w:r>
      <w:r>
        <w:rPr>
          <w:rFonts w:ascii="Times New Roman;Times;serif" w:hAnsi="Times New Roman;Times;serif"/>
          <w:sz w:val="22"/>
        </w:rPr>
        <w:t>means any day on which TARGET2 is open for the settlement of payments in Euros.</w:t>
      </w:r>
    </w:p>
    <w:p>
      <w:pPr>
        <w:pStyle w:val="TextBody"/>
        <w:bidi w:val="0"/>
        <w:spacing w:lineRule="auto" w:line="285" w:before="0" w:after="0"/>
        <w:ind w:left="0" w:right="0" w:firstLine="720"/>
        <w:jc w:val="both"/>
        <w:rPr/>
      </w:pPr>
      <w:r>
        <w:rPr/>
        <w:t>“</w:t>
      </w:r>
      <w:r>
        <w:rPr>
          <w:rFonts w:ascii="Times New Roman;Times;serif" w:hAnsi="Times New Roman;Times;serif"/>
          <w:sz w:val="22"/>
          <w:u w:val="single"/>
        </w:rPr>
        <w:t>Taxes</w:t>
      </w:r>
      <w:r>
        <w:rPr>
          <w:rFonts w:ascii="Aptos" w:hAnsi="Aptos"/>
          <w:sz w:val="22"/>
        </w:rPr>
        <w:t xml:space="preserve">” </w:t>
      </w:r>
      <w:r>
        <w:rPr>
          <w:rFonts w:ascii="Times New Roman;Times;serif" w:hAnsi="Times New Roman;Times;serif"/>
          <w:sz w:val="22"/>
        </w:rPr>
        <w:t xml:space="preserve">means any and all present or future taxes of any kind, including but not limited to, levies, imposts, duties, surtaxes, charges, fees, deductions or withholdings now or hereafter imposed, levied,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40</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collected, withheld or assessed by any Governmental Authority (together with any interest, penalties, fines, additions to taxes or similar liabilities with respect thereto).</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Tenth Amendment Effective Date</w:t>
      </w:r>
      <w:r>
        <w:rPr>
          <w:rFonts w:ascii="Aptos" w:hAnsi="Aptos"/>
          <w:sz w:val="22"/>
        </w:rPr>
        <w:t xml:space="preserve">” </w:t>
      </w:r>
      <w:r>
        <w:rPr>
          <w:rFonts w:ascii="Times New Roman;Times;serif" w:hAnsi="Times New Roman;Times;serif"/>
          <w:sz w:val="22"/>
        </w:rPr>
        <w:t>means November 5, 2025.</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Term RFR</w:t>
      </w:r>
      <w:r>
        <w:rPr>
          <w:rFonts w:ascii="Aptos" w:hAnsi="Aptos"/>
          <w:sz w:val="22"/>
        </w:rPr>
        <w:t xml:space="preserve">” </w:t>
      </w:r>
      <w:r>
        <w:rPr>
          <w:rFonts w:ascii="Times New Roman;Times;serif" w:hAnsi="Times New Roman;Times;serif"/>
          <w:sz w:val="22"/>
        </w:rPr>
        <w:t>means, for any Interest Period, a rate per annum equal to (a) for any Obligations, interest, fees, commissions or other amounts denominated in, or calculated with respect to, Dollars, the greater of (i) Spread Adjusted Term SOFR and (ii) the Floor and (b) for any Obligations, interest, fees, commissions or other amounts denominated in, or calculated with respect to, Sterling, the greater of (i) the forward-looking term rate for a period comparable to such Interest Period based on the RFR for such Currency that is published by an authorized benchmark administrator and is displayed on a screen or other information service, each as identified or selected by the Agent in its reasonable discretion at approximately a time and as of a date prior to the commencement of such Interest Period determined by the Agent in its reasonable discretion in a manner substantially consistent with market practice and (ii) the Floor.</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Term RFR Loan</w:t>
      </w:r>
      <w:r>
        <w:rPr>
          <w:rFonts w:ascii="Aptos" w:hAnsi="Aptos"/>
          <w:sz w:val="22"/>
        </w:rPr>
        <w:t xml:space="preserve">” </w:t>
      </w:r>
      <w:r>
        <w:rPr>
          <w:rFonts w:ascii="Times New Roman;Times;serif" w:hAnsi="Times New Roman;Times;serif"/>
          <w:sz w:val="22"/>
        </w:rPr>
        <w:t>means a Loan that bears interest at a rate based on Term RFR other than pursuant to clause (c) of the definition of “Base Rate”.</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Term RFR Notice</w:t>
      </w:r>
      <w:r>
        <w:rPr>
          <w:rFonts w:ascii="Aptos" w:hAnsi="Aptos"/>
          <w:sz w:val="22"/>
        </w:rPr>
        <w:t xml:space="preserve">” </w:t>
      </w:r>
      <w:r>
        <w:rPr>
          <w:rFonts w:ascii="Times New Roman;Times;serif" w:hAnsi="Times New Roman;Times;serif"/>
          <w:sz w:val="22"/>
        </w:rPr>
        <w:t>means a notification by the Agent to the Lenders and the US Borrower of the occurrence of a Term RFR Transition Event.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Term RFR Transition Date</w:t>
      </w:r>
      <w:r>
        <w:rPr>
          <w:rFonts w:ascii="Aptos" w:hAnsi="Aptos"/>
          <w:sz w:val="22"/>
        </w:rPr>
        <w:t xml:space="preserve">” </w:t>
      </w:r>
      <w:r>
        <w:rPr>
          <w:rFonts w:ascii="Times New Roman;Times;serif" w:hAnsi="Times New Roman;Times;serif"/>
          <w:sz w:val="22"/>
        </w:rPr>
        <w:t xml:space="preserve">means, in the case of a Term RFR Transition Event, the date that is thirty (30) calendar days after the Agent has provided the related Term RFR Notice to the Lenders and the Administrative Borrower pursuant to </w:t>
      </w:r>
      <w:r>
        <w:rPr>
          <w:rFonts w:ascii="Times New Roman;Times;serif" w:hAnsi="Times New Roman;Times;serif"/>
          <w:sz w:val="22"/>
          <w:u w:val="single"/>
        </w:rPr>
        <w:t>Section 3.5(c)(i)(C)</w:t>
      </w:r>
      <w:r>
        <w:rPr>
          <w:rFonts w:ascii="Times New Roman;Times;serif" w:hAnsi="Times New Roman;Times;serif"/>
          <w:sz w:val="22"/>
        </w:rPr>
        <w: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Term RFR Transition Event</w:t>
      </w:r>
      <w:r>
        <w:rPr>
          <w:rFonts w:ascii="Aptos" w:hAnsi="Aptos"/>
          <w:sz w:val="22"/>
        </w:rPr>
        <w:t xml:space="preserve">” </w:t>
      </w:r>
      <w:r>
        <w:rPr>
          <w:rFonts w:ascii="Times New Roman;Times;serif" w:hAnsi="Times New Roman;Times;serif"/>
          <w:sz w:val="22"/>
        </w:rPr>
        <w:t>means, with respect to any Currency for any Interest Period, the determination by the Agent that the applicable Term RFR for such Currency has been recommended for use by the Relevant Governmental Body.</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TIBOR</w:t>
      </w:r>
      <w:r>
        <w:rPr>
          <w:rFonts w:ascii="Aptos" w:hAnsi="Aptos"/>
          <w:sz w:val="22"/>
        </w:rPr>
        <w:t xml:space="preserve">” </w:t>
      </w:r>
      <w:r>
        <w:rPr>
          <w:rFonts w:ascii="Times New Roman;Times;serif" w:hAnsi="Times New Roman;Times;serif"/>
          <w:sz w:val="22"/>
        </w:rPr>
        <w:t>has the meaning assigned thereto in the definition of “Eurodollar Rate”.</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TIBOR Rate</w:t>
      </w:r>
      <w:r>
        <w:rPr>
          <w:rFonts w:ascii="Aptos" w:hAnsi="Aptos"/>
          <w:sz w:val="22"/>
        </w:rPr>
        <w:t xml:space="preserve">” </w:t>
      </w:r>
      <w:r>
        <w:rPr>
          <w:rFonts w:ascii="Times New Roman;Times;serif" w:hAnsi="Times New Roman;Times;serif"/>
          <w:sz w:val="22"/>
        </w:rPr>
        <w:t>has the meaning assigned thereto in the definition of “Eurodollar Rate”.</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Transitioned RFR Loan</w:t>
      </w:r>
      <w:r>
        <w:rPr>
          <w:rFonts w:ascii="Aptos" w:hAnsi="Aptos"/>
          <w:sz w:val="22"/>
        </w:rPr>
        <w:t xml:space="preserve">” </w:t>
      </w:r>
      <w:r>
        <w:rPr>
          <w:rFonts w:ascii="Times New Roman;Times;serif" w:hAnsi="Times New Roman;Times;serif"/>
          <w:sz w:val="22"/>
        </w:rPr>
        <w:t>means a Loan that is an RFR Loan that would not have borne interest based upon a Daily Simple RFR or a Term RFR on the Closing Date.  To the extent that Loans denominated in Dollars bear interest based on a Daily Simple RFR or Term RFR after the Closing Date, such Loans would be Transitioned RFR Loans.</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U.C.C.</w:t>
      </w:r>
      <w:r>
        <w:rPr>
          <w:rFonts w:ascii="Aptos" w:hAnsi="Aptos"/>
          <w:sz w:val="22"/>
        </w:rPr>
        <w:t xml:space="preserve">” </w:t>
      </w:r>
      <w:r>
        <w:rPr>
          <w:rFonts w:ascii="Times New Roman;Times;serif" w:hAnsi="Times New Roman;Times;serif"/>
          <w:sz w:val="22"/>
        </w:rPr>
        <w:t>means the Uniform Commercial Code, as in effect from time to time in the State of New York.</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U.C.C. Financing Statement</w:t>
      </w:r>
      <w:r>
        <w:rPr>
          <w:rFonts w:ascii="Aptos" w:hAnsi="Aptos"/>
          <w:sz w:val="22"/>
        </w:rPr>
        <w:t xml:space="preserve">” </w:t>
      </w:r>
      <w:r>
        <w:rPr>
          <w:rFonts w:ascii="Times New Roman;Times;serif" w:hAnsi="Times New Roman;Times;serif"/>
          <w:sz w:val="22"/>
        </w:rPr>
        <w:t>means a financing statement filed or to be filed in accordance with the Uniform Commercial Code, as in effect from time to time, in the relevant state or states.</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UK Financial Institution</w:t>
      </w:r>
      <w:r>
        <w:rPr>
          <w:rFonts w:ascii="Aptos" w:hAnsi="Aptos"/>
          <w:sz w:val="22"/>
        </w:rPr>
        <w:t xml:space="preserve">” </w:t>
      </w:r>
      <w:r>
        <w:rPr>
          <w:rFonts w:ascii="Times New Roman;Times;serif" w:hAnsi="Times New Roman;Times;serif"/>
          <w:sz w:val="22"/>
        </w:rPr>
        <w:t>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41</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UK Resolution Authority</w:t>
      </w:r>
      <w:r>
        <w:rPr>
          <w:rFonts w:ascii="Aptos" w:hAnsi="Aptos"/>
          <w:sz w:val="22"/>
        </w:rPr>
        <w:t xml:space="preserve">” </w:t>
      </w:r>
      <w:r>
        <w:rPr>
          <w:rFonts w:ascii="Times New Roman;Times;serif" w:hAnsi="Times New Roman;Times;serif"/>
          <w:sz w:val="22"/>
        </w:rPr>
        <w:t>means the Bank of England or any other public administrative authority having responsibility for the resolution of any UK Financial Institution.</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Unadjusted Benchmark Replacement</w:t>
      </w:r>
      <w:r>
        <w:rPr>
          <w:rFonts w:ascii="Aptos" w:hAnsi="Aptos"/>
          <w:sz w:val="22"/>
        </w:rPr>
        <w:t xml:space="preserve">” </w:t>
      </w:r>
      <w:r>
        <w:rPr>
          <w:rFonts w:ascii="Times New Roman;Times;serif" w:hAnsi="Times New Roman;Times;serif"/>
          <w:sz w:val="22"/>
        </w:rPr>
        <w:t>means the applicable Benchmark Replacement excluding the related Benchmark Replacement Adjustment.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Unrestricted</w:t>
      </w:r>
      <w:r>
        <w:rPr>
          <w:rFonts w:ascii="Aptos" w:hAnsi="Aptos"/>
          <w:sz w:val="22"/>
        </w:rPr>
        <w:t xml:space="preserve">” </w:t>
      </w:r>
      <w:r>
        <w:rPr>
          <w:rFonts w:ascii="Times New Roman;Times;serif" w:hAnsi="Times New Roman;Times;serif"/>
          <w:sz w:val="22"/>
        </w:rPr>
        <w:t xml:space="preserve">means, when referring to cash and Cash Equivalents of any Person, that such cash and Cash Equivalents (a) do not appear, or would not be required to appear, as “restricted” on the financial statements of such Person and its Subsidiaries (unless related to the Loan Documents or the Liens created thereunder), (b) are not subject to a Lien in favor of any Person other than Agent under the Loan Documents or Liens permitted under </w:t>
      </w:r>
      <w:r>
        <w:rPr>
          <w:rFonts w:ascii="Times New Roman;Times;serif" w:hAnsi="Times New Roman;Times;serif"/>
          <w:sz w:val="22"/>
          <w:u w:val="single"/>
        </w:rPr>
        <w:t>Section 5.9(l)</w:t>
      </w:r>
      <w:r>
        <w:rPr>
          <w:rFonts w:ascii="Aptos" w:hAnsi="Aptos"/>
          <w:sz w:val="22"/>
        </w:rPr>
        <w:t xml:space="preserve"> </w:t>
      </w:r>
      <w:r>
        <w:rPr>
          <w:rFonts w:ascii="Times New Roman;Times;serif" w:hAnsi="Times New Roman;Times;serif"/>
          <w:sz w:val="22"/>
        </w:rPr>
        <w:t>hereof or (c) are not otherwise unavailable to such Person or its Subsidiaries.</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US Borrower</w:t>
      </w:r>
      <w:r>
        <w:rPr>
          <w:rFonts w:ascii="Aptos" w:hAnsi="Aptos"/>
          <w:sz w:val="22"/>
        </w:rPr>
        <w:t xml:space="preserve">” </w:t>
      </w:r>
      <w:r>
        <w:rPr>
          <w:rFonts w:ascii="Times New Roman;Times;serif" w:hAnsi="Times New Roman;Times;serif"/>
          <w:sz w:val="22"/>
        </w:rPr>
        <w:t>means that term as defined in the first paragraph hereof.</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US Borrower Revolving Credit Note</w:t>
      </w:r>
      <w:r>
        <w:rPr>
          <w:rFonts w:ascii="Aptos" w:hAnsi="Aptos"/>
          <w:sz w:val="22"/>
        </w:rPr>
        <w:t xml:space="preserve">” </w:t>
      </w:r>
      <w:r>
        <w:rPr>
          <w:rFonts w:ascii="Times New Roman;Times;serif" w:hAnsi="Times New Roman;Times;serif"/>
          <w:sz w:val="22"/>
        </w:rPr>
        <w:t xml:space="preserve">means a US Borrower Revolving Credit Note, in the form of the attached </w:t>
      </w:r>
      <w:r>
        <w:rPr>
          <w:rFonts w:ascii="Times New Roman;Times;serif" w:hAnsi="Times New Roman;Times;serif"/>
          <w:sz w:val="22"/>
          <w:u w:val="single"/>
        </w:rPr>
        <w:t>Exhibit A</w:t>
      </w:r>
      <w:r>
        <w:rPr>
          <w:rFonts w:ascii="Times New Roman;Times;serif" w:hAnsi="Times New Roman;Times;serif"/>
          <w:sz w:val="22"/>
        </w:rPr>
        <w:t xml:space="preserve">, executed and delivered by US Borrower pursuant to </w:t>
      </w:r>
      <w:r>
        <w:rPr>
          <w:rFonts w:ascii="Times New Roman;Times;serif" w:hAnsi="Times New Roman;Times;serif"/>
          <w:sz w:val="22"/>
          <w:u w:val="single"/>
        </w:rPr>
        <w:t>Section 2.4(a)</w:t>
      </w:r>
      <w:r>
        <w:rPr>
          <w:rFonts w:ascii="Aptos" w:hAnsi="Aptos"/>
          <w:sz w:val="22"/>
        </w:rPr>
        <w:t xml:space="preserve"> </w:t>
      </w:r>
      <w:r>
        <w:rPr>
          <w:rFonts w:ascii="Times New Roman;Times;serif" w:hAnsi="Times New Roman;Times;serif"/>
          <w:sz w:val="22"/>
        </w:rPr>
        <w:t>hereof.</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USD LIBOR</w:t>
      </w:r>
      <w:r>
        <w:rPr>
          <w:rFonts w:ascii="Aptos" w:hAnsi="Aptos"/>
          <w:sz w:val="22"/>
        </w:rPr>
        <w:t xml:space="preserve">” </w:t>
      </w:r>
      <w:r>
        <w:rPr>
          <w:rFonts w:ascii="Times New Roman;Times;serif" w:hAnsi="Times New Roman;Times;serif"/>
          <w:sz w:val="22"/>
        </w:rPr>
        <w:t>has the meaning assigned thereto in the definition of “Eurodollar Rate”.</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USD LIBOR Rate</w:t>
      </w:r>
      <w:r>
        <w:rPr>
          <w:rFonts w:ascii="Aptos" w:hAnsi="Aptos"/>
          <w:sz w:val="22"/>
        </w:rPr>
        <w:t xml:space="preserve">” </w:t>
      </w:r>
      <w:r>
        <w:rPr>
          <w:rFonts w:ascii="Times New Roman;Times;serif" w:hAnsi="Times New Roman;Times;serif"/>
          <w:sz w:val="22"/>
        </w:rPr>
        <w:t>has the meaning assigned thereto in the definition of “Eurodollar Rate”.</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USD LIBOR Transition Date</w:t>
      </w:r>
      <w:r>
        <w:rPr>
          <w:rFonts w:ascii="Aptos" w:hAnsi="Aptos"/>
          <w:sz w:val="22"/>
        </w:rPr>
        <w:t xml:space="preserve">” </w:t>
      </w:r>
      <w:r>
        <w:rPr>
          <w:rFonts w:ascii="Times New Roman;Times;serif" w:hAnsi="Times New Roman;Times;serif"/>
          <w:sz w:val="22"/>
        </w:rPr>
        <w:t>means, the earlier of (a) the date that all Available Tenors of USD LIBOR have either (i) permanently or indefinitely ceased to be provided by IBA; provided that, at the time of such cessation, there is no successor administrator that will continue to provide any Available Tenor of USD LIBOR or (ii) been announced by the FCA pursuant to public statement or publication of information to be no longer representative (in which case the date shall be the later of the date of such announcement or the date specified in such announcement as the date it will no longer be representative) and (b) the Early Opt-in Effective Date.</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Voting Power</w:t>
      </w:r>
      <w:r>
        <w:rPr>
          <w:rFonts w:ascii="Aptos" w:hAnsi="Aptos"/>
          <w:sz w:val="22"/>
        </w:rPr>
        <w:t xml:space="preserve">” </w:t>
      </w:r>
      <w:r>
        <w:rPr>
          <w:rFonts w:ascii="Times New Roman;Times;serif" w:hAnsi="Times New Roman;Times;serif"/>
          <w:sz w:val="22"/>
        </w:rPr>
        <w:t>means, with respect to any Person, the exclusive ability to control, through the ownership of shares of capital stock, partnership interests, membership interests or otherwise, the election of members of the board of directors or other similar governing body of such Person.  The holding of a designated percentage of Voting Power of a Person means the ownership of shares of capital stock, partnership interests, membership interests or other interests of such Person sufficient to control exclusively the election of that percentage of the members of the board of directors or similar governing body of such Person.</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Waterfall</w:t>
      </w:r>
      <w:r>
        <w:rPr>
          <w:rFonts w:ascii="Aptos" w:hAnsi="Aptos"/>
          <w:sz w:val="22"/>
        </w:rPr>
        <w:t xml:space="preserve">” </w:t>
      </w:r>
      <w:r>
        <w:rPr>
          <w:rFonts w:ascii="Times New Roman;Times;serif" w:hAnsi="Times New Roman;Times;serif"/>
          <w:sz w:val="22"/>
        </w:rPr>
        <w:t xml:space="preserve">means that term as defined in </w:t>
      </w:r>
      <w:r>
        <w:rPr>
          <w:rFonts w:ascii="Times New Roman;Times;serif" w:hAnsi="Times New Roman;Times;serif"/>
          <w:sz w:val="22"/>
          <w:u w:val="single"/>
        </w:rPr>
        <w:t>Section 8.7(b)(ii)</w:t>
      </w:r>
      <w:r>
        <w:rPr>
          <w:rFonts w:ascii="Aptos" w:hAnsi="Aptos"/>
          <w:sz w:val="22"/>
        </w:rPr>
        <w:t xml:space="preserve"> </w:t>
      </w:r>
      <w:r>
        <w:rPr>
          <w:rFonts w:ascii="Times New Roman;Times;serif" w:hAnsi="Times New Roman;Times;serif"/>
          <w:sz w:val="22"/>
        </w:rPr>
        <w:t>hereof.</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Welfare Plan</w:t>
      </w:r>
      <w:r>
        <w:rPr>
          <w:rFonts w:ascii="Aptos" w:hAnsi="Aptos"/>
          <w:sz w:val="22"/>
        </w:rPr>
        <w:t xml:space="preserve">” </w:t>
      </w:r>
      <w:r>
        <w:rPr>
          <w:rFonts w:ascii="Times New Roman;Times;serif" w:hAnsi="Times New Roman;Times;serif"/>
          <w:sz w:val="22"/>
        </w:rPr>
        <w:t>means an ERISA Plan that is a “welfare plan” within the meaning of ERISA Section 3(l).</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Wells Fargo</w:t>
      </w:r>
      <w:r>
        <w:rPr>
          <w:rFonts w:ascii="Aptos" w:hAnsi="Aptos"/>
          <w:sz w:val="22"/>
        </w:rPr>
        <w:t xml:space="preserve">” </w:t>
      </w:r>
      <w:r>
        <w:rPr>
          <w:rFonts w:ascii="Times New Roman;Times;serif" w:hAnsi="Times New Roman;Times;serif"/>
          <w:sz w:val="22"/>
        </w:rPr>
        <w:t>means Wells Fargo Bank, National Association, a national banking association.</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Wholly Owned Subsidiary</w:t>
      </w:r>
      <w:r>
        <w:rPr>
          <w:rFonts w:ascii="Aptos" w:hAnsi="Aptos"/>
          <w:sz w:val="22"/>
        </w:rPr>
        <w:t xml:space="preserve">” </w:t>
      </w:r>
      <w:r>
        <w:rPr>
          <w:rFonts w:ascii="Times New Roman;Times;serif" w:hAnsi="Times New Roman;Times;serif"/>
          <w:sz w:val="22"/>
        </w:rPr>
        <w:t>means any Person, the equity interests of which are one hundred percent (100%) owned (other than, with respect to the ownership of equity interests of Foreign Subsidiaries, such equity interests as are necessary to qualify directors where required by applicable law or to satisfy other requirements of applicable law) are at the time owned by US Borrower, directly, or indirectly through other Persons one hundred percent (100%) of whose equity interests are at the time owned, directly or indirectly, by US Borrower.</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42</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Withholding Agent</w:t>
      </w:r>
      <w:r>
        <w:rPr>
          <w:rFonts w:ascii="Aptos" w:hAnsi="Aptos"/>
          <w:sz w:val="22"/>
        </w:rPr>
        <w:t xml:space="preserve">” </w:t>
      </w:r>
      <w:r>
        <w:rPr>
          <w:rFonts w:ascii="Times New Roman;Times;serif" w:hAnsi="Times New Roman;Times;serif"/>
          <w:sz w:val="22"/>
        </w:rPr>
        <w:t>means any Credit Party and Agent.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Write-Down and Conversion Powers</w:t>
      </w:r>
      <w:r>
        <w:rPr>
          <w:rFonts w:ascii="Aptos" w:hAnsi="Aptos"/>
          <w:sz w:val="22"/>
        </w:rPr>
        <w:t xml:space="preserve">” </w:t>
      </w:r>
      <w:r>
        <w:rPr>
          <w:rFonts w:ascii="Times New Roman;Times;serif" w:hAnsi="Times New Roman;Times;serif"/>
          <w:sz w:val="22"/>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Yen</w:t>
      </w:r>
      <w:r>
        <w:rPr>
          <w:rFonts w:ascii="Aptos" w:hAnsi="Aptos"/>
          <w:sz w:val="22"/>
        </w:rPr>
        <w:t xml:space="preserve">” </w:t>
      </w:r>
      <w:r>
        <w:rPr>
          <w:rFonts w:ascii="Times New Roman;Times;serif" w:hAnsi="Times New Roman;Times;serif"/>
          <w:sz w:val="22"/>
        </w:rPr>
        <w:t>or “</w:t>
      </w:r>
      <w:r>
        <w:rPr>
          <w:rFonts w:ascii="Times New Roman;Times;serif" w:hAnsi="Times New Roman;Times;serif"/>
          <w:sz w:val="22"/>
          <w:u w:val="single"/>
        </w:rPr>
        <w:t>¥</w:t>
      </w:r>
      <w:r>
        <w:rPr>
          <w:rFonts w:ascii="Aptos" w:hAnsi="Aptos"/>
          <w:sz w:val="22"/>
        </w:rPr>
        <w:t xml:space="preserve">” </w:t>
      </w:r>
      <w:r>
        <w:rPr>
          <w:rFonts w:ascii="Times New Roman;Times;serif" w:hAnsi="Times New Roman;Times;serif"/>
          <w:sz w:val="22"/>
        </w:rPr>
        <w:t>mean the lawful currency of Japan.</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1.2</w:t>
      </w:r>
      <w:bookmarkStart w:id="1793" w:name="_Toc236844291"/>
      <w:bookmarkStart w:id="1794" w:name="_Toc172896636"/>
      <w:bookmarkEnd w:id="1793"/>
      <w:bookmarkEnd w:id="1794"/>
      <w:r>
        <w:rPr>
          <w:rFonts w:ascii="Times New Roman;Times;serif" w:hAnsi="Times New Roman;Times;serif"/>
          <w:sz w:val="22"/>
          <w:u w:val="single"/>
        </w:rPr>
        <w:t>Accounting Terms</w:t>
      </w:r>
      <w:r>
        <w:rPr>
          <w:rFonts w:ascii="Times New Roman;Times;serif" w:hAnsi="Times New Roman;Times;serif"/>
          <w:sz w:val="22"/>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 xml:space="preserve">(a)Any accounting term not specifically defined in this </w:t>
      </w:r>
      <w:r>
        <w:rPr>
          <w:rFonts w:ascii="Times New Roman;Times;serif" w:hAnsi="Times New Roman;Times;serif"/>
          <w:sz w:val="22"/>
          <w:u w:val="single"/>
        </w:rPr>
        <w:t>Article I</w:t>
      </w:r>
      <w:r>
        <w:rPr>
          <w:rFonts w:ascii="Aptos" w:hAnsi="Aptos"/>
          <w:sz w:val="24"/>
        </w:rPr>
        <w:t xml:space="preserve"> </w:t>
      </w:r>
      <w:r>
        <w:rPr>
          <w:rFonts w:ascii="Times New Roman;Times;serif" w:hAnsi="Times New Roman;Times;serif"/>
          <w:sz w:val="22"/>
        </w:rPr>
        <w:t>shall have the meaning ascribed thereto by GAAP.</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 xml:space="preserve">(b)If any change in the rules, regulations, pronouncements, opinions or other requirements of the Financial Accounting Standards Board (or any successor thereto or agency with similar function) with respect to GAAP, or if US Borrower adopts the International Financial Reporting Standards, and such change or adoption results in a change in the calculation of any component (or components in the aggregate) of the financial covenants set forth in </w:t>
      </w:r>
      <w:r>
        <w:rPr>
          <w:rFonts w:ascii="Times New Roman;Times;serif" w:hAnsi="Times New Roman;Times;serif"/>
          <w:sz w:val="22"/>
          <w:u w:val="single"/>
        </w:rPr>
        <w:t>Section 5.7</w:t>
      </w:r>
      <w:r>
        <w:rPr>
          <w:rFonts w:ascii="Aptos" w:hAnsi="Aptos"/>
          <w:sz w:val="24"/>
        </w:rPr>
        <w:t xml:space="preserve"> </w:t>
      </w:r>
      <w:r>
        <w:rPr>
          <w:rFonts w:ascii="Times New Roman;Times;serif" w:hAnsi="Times New Roman;Times;serif"/>
          <w:sz w:val="22"/>
        </w:rPr>
        <w:t xml:space="preserve">hereof or the related financial definitions, at the option of Agent, the Required Lenders or US Borrower, the parties hereto will enter into good faith negotiations to amend such financial covenants and financial definitions in such manner as the parties shall agree, each acting reasonably, in order to reflect fairly such change or adoption so that the criteria for evaluating the financial condition of Borrowers shall be the same in commercial effect after, as well as before, such change or adoption is made (in which case the method and calculating such financial covenants and definitions hereunder shall be determined in the manner so agreed);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that, until so amended, such calculations shall continue to be computed in accordance with GAAP as in effect prior to such change or adoption.</w:t>
      </w:r>
    </w:p>
    <w:p>
      <w:pPr>
        <w:pStyle w:val="TextBody"/>
        <w:bidi w:val="0"/>
        <w:spacing w:lineRule="auto" w:line="285"/>
        <w:ind w:left="0" w:right="0" w:hanging="0"/>
        <w:jc w:val="both"/>
        <w:rPr>
          <w:rFonts w:ascii="Aptos" w:hAnsi="Aptos"/>
          <w:sz w:val="24"/>
        </w:rPr>
      </w:pPr>
      <w:r>
        <w:rPr>
          <w:rFonts w:ascii="Times New Roman;Times;serif" w:hAnsi="Times New Roman;Times;serif"/>
          <w:sz w:val="22"/>
        </w:rPr>
        <w:t xml:space="preserve">(c)Notwithstanding any other provision contained herein, all terms of an accounting or financial nature used herein shall be construed, and all computations of amounts and ratios referred to herein shall be made (i) without giving effect to any election under Financial Accounting Standards Board Accounting Standards Codification 825-10-25 (or any other Accounting Standards Codification or Financial Accounting Standard having a similar result or effect) to value any Indebtedness or other liabilities of the Companies at “fair value”, as defined therein and (ii) without giving effect to any treatment of Indebtedness in respect of convertible debt instruments under Financial Accounting Standards Board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In addition, notwithstanding anything to the contrary contained in </w:t>
      </w:r>
      <w:r>
        <w:rPr>
          <w:rFonts w:ascii="Times New Roman;Times;serif" w:hAnsi="Times New Roman;Times;serif"/>
          <w:sz w:val="22"/>
          <w:u w:val="single"/>
        </w:rPr>
        <w:t>Section 1.2(b)</w:t>
      </w:r>
      <w:r>
        <w:rPr>
          <w:rFonts w:ascii="Aptos" w:hAnsi="Aptos"/>
          <w:sz w:val="24"/>
        </w:rPr>
        <w:t xml:space="preserve"> </w:t>
      </w:r>
      <w:r>
        <w:rPr>
          <w:rFonts w:ascii="Times New Roman;Times;serif" w:hAnsi="Times New Roman;Times;serif"/>
          <w:sz w:val="22"/>
        </w:rPr>
        <w:t>above or the definition of “Capitalized Lease Obligations”, in the event of an accounting change pursuant to FASB ASC 842 in relation to the requirements for leases to be capitalized, only those leases that would have constituted capital leases prior to the effective date of FASB ASC 842 (assuming for purposes hereof that they were in existence prior to the effective date of FASB ASC 842) shall be considered capital leases, and all calculations and deliverables under this Agreement or any other Loan Document shall be made in accordance therewith.</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43</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1.3</w:t>
      </w:r>
      <w:bookmarkStart w:id="1795" w:name="_Toc236844292"/>
      <w:bookmarkStart w:id="1796" w:name="_Toc172896637"/>
      <w:bookmarkEnd w:id="1795"/>
      <w:bookmarkEnd w:id="1796"/>
      <w:r>
        <w:rPr>
          <w:rFonts w:ascii="Times New Roman;Times;serif" w:hAnsi="Times New Roman;Times;serif"/>
          <w:sz w:val="22"/>
          <w:u w:val="single"/>
        </w:rPr>
        <w:t>Terms Generally</w:t>
      </w:r>
      <w:r>
        <w:rPr>
          <w:rFonts w:ascii="Times New Roman;Times;serif" w:hAnsi="Times New Roman;Times;serif"/>
          <w:sz w:val="22"/>
        </w:rPr>
        <w:t xml:space="preserve">.  The foregoing definitions shall be applicable to the singular and plural forms of the foregoing defined terms.  Unless otherwise defined in this </w:t>
      </w:r>
      <w:r>
        <w:rPr>
          <w:rFonts w:ascii="Times New Roman;Times;serif" w:hAnsi="Times New Roman;Times;serif"/>
          <w:sz w:val="22"/>
          <w:u w:val="single"/>
        </w:rPr>
        <w:t>Article I</w:t>
      </w:r>
      <w:r>
        <w:rPr>
          <w:rFonts w:ascii="Times New Roman;Times;serif" w:hAnsi="Times New Roman;Times;serif"/>
          <w:sz w:val="22"/>
        </w:rPr>
        <w:t>, terms that are defined in the U.C.C. are used herein as so defined.</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1.4</w:t>
      </w:r>
      <w:bookmarkStart w:id="1797" w:name="_Toc236844293"/>
      <w:bookmarkStart w:id="1798" w:name="_Toc172896638"/>
      <w:bookmarkEnd w:id="1797"/>
      <w:bookmarkEnd w:id="1798"/>
      <w:r>
        <w:rPr>
          <w:rFonts w:ascii="Times New Roman;Times;serif" w:hAnsi="Times New Roman;Times;serif"/>
          <w:sz w:val="22"/>
          <w:u w:val="single"/>
        </w:rPr>
        <w:t>Confirmation of Recitals</w:t>
      </w:r>
      <w:r>
        <w:rPr>
          <w:rFonts w:ascii="Times New Roman;Times;serif" w:hAnsi="Times New Roman;Times;serif"/>
          <w:sz w:val="22"/>
        </w:rPr>
        <w:t>.  Borrowers, Agent and the Lenders hereby confirm the statements set forth in the recitals of this Agreement.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1.5</w:t>
      </w:r>
      <w:bookmarkStart w:id="1799" w:name="_Toc236844294"/>
      <w:bookmarkStart w:id="1800" w:name="_Toc172896639"/>
      <w:bookmarkEnd w:id="1799"/>
      <w:bookmarkEnd w:id="1800"/>
      <w:r>
        <w:rPr>
          <w:rFonts w:ascii="Times New Roman;Times;serif" w:hAnsi="Times New Roman;Times;serif"/>
          <w:sz w:val="22"/>
          <w:u w:val="single"/>
        </w:rPr>
        <w:t>Divisions</w:t>
      </w:r>
      <w:r>
        <w:rPr>
          <w:rFonts w:ascii="Times New Roman;Times;serif" w:hAnsi="Times New Roman;Times;serif"/>
          <w:sz w:val="22"/>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capital stock or other equity interests at such time.</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1.6</w:t>
      </w:r>
      <w:bookmarkStart w:id="1801" w:name="_Toc236844295"/>
      <w:bookmarkStart w:id="1802" w:name="_Toc172896640"/>
      <w:bookmarkEnd w:id="1801"/>
      <w:bookmarkEnd w:id="1802"/>
      <w:r>
        <w:rPr>
          <w:rFonts w:ascii="Times New Roman;Times;serif" w:hAnsi="Times New Roman;Times;serif"/>
          <w:sz w:val="22"/>
          <w:u w:val="single"/>
        </w:rPr>
        <w:t>Rates</w:t>
      </w:r>
      <w:r>
        <w:rPr>
          <w:rFonts w:ascii="Times New Roman;Times;serif" w:hAnsi="Times New Roman;Times;serif"/>
          <w:sz w:val="22"/>
        </w:rPr>
        <w:t>.  The interest rate on Loans denominated in Dollars or an Alternate Currency may be determined by reference to a benchmark rate that is, or may in the future become, the subject of regulatory reform or cessation.  </w:t>
      </w:r>
      <w:r>
        <w:rPr>
          <w:rFonts w:ascii="Times New Roman;Times;serif" w:hAnsi="Times New Roman;Times;serif"/>
          <w:spacing w:val="-3"/>
          <w:sz w:val="22"/>
        </w:rPr>
        <w:t>Regulators have signaled the need to use alternative reference rates for some of these benchmark rates and, as a result, such benchmark rates may cease to comply with applicable laws and regulations, may be permanently discontinued or the basis on which they are calculated may change.  </w:t>
      </w:r>
      <w:r>
        <w:rPr>
          <w:rFonts w:ascii="Times New Roman;Times;serif" w:hAnsi="Times New Roman;Times;serif"/>
          <w:sz w:val="22"/>
        </w:rPr>
        <w:t>The London interbank offered rate, which may be one of the benchmark rates with reference to which the interest rate on Loans may be determined, is intended to represent the rate at which contributing banks may obtain short-term borrowings from each other in the London interbank market.  On March 5, 2021, the ICE Benchmark Administration (“</w:t>
      </w:r>
      <w:r>
        <w:rPr>
          <w:rFonts w:ascii="Times New Roman;Times;serif" w:hAnsi="Times New Roman;Times;serif"/>
          <w:sz w:val="22"/>
          <w:u w:val="single"/>
        </w:rPr>
        <w:t>IBA</w:t>
      </w:r>
      <w:r>
        <w:rPr>
          <w:rFonts w:ascii="Aptos" w:hAnsi="Aptos"/>
          <w:sz w:val="24"/>
        </w:rPr>
        <w:t>”</w:t>
      </w:r>
      <w:r>
        <w:rPr>
          <w:rFonts w:ascii="Times New Roman;Times;serif" w:hAnsi="Times New Roman;Times;serif"/>
          <w:sz w:val="22"/>
        </w:rPr>
        <w:t>), the administrator of the London interbank offered rate, and the Financial Conduct Authority (the “</w:t>
      </w:r>
      <w:r>
        <w:rPr>
          <w:rFonts w:ascii="Times New Roman;Times;serif" w:hAnsi="Times New Roman;Times;serif"/>
          <w:sz w:val="22"/>
          <w:u w:val="single"/>
        </w:rPr>
        <w:t>FCA</w:t>
      </w:r>
      <w:r>
        <w:rPr>
          <w:rFonts w:ascii="Aptos" w:hAnsi="Aptos"/>
          <w:sz w:val="24"/>
        </w:rPr>
        <w:t>”</w:t>
      </w:r>
      <w:r>
        <w:rPr>
          <w:rFonts w:ascii="Times New Roman;Times;serif" w:hAnsi="Times New Roman;Times;serif"/>
          <w:sz w:val="22"/>
        </w:rPr>
        <w:t>), the regulatory supervisor of IBA, announced in public statements (the “</w:t>
      </w:r>
      <w:r>
        <w:rPr>
          <w:rFonts w:ascii="Times New Roman;Times;serif" w:hAnsi="Times New Roman;Times;serif"/>
          <w:sz w:val="22"/>
          <w:u w:val="single"/>
        </w:rPr>
        <w:t>Announcements</w:t>
      </w:r>
      <w:r>
        <w:rPr>
          <w:rFonts w:ascii="Aptos" w:hAnsi="Aptos"/>
          <w:sz w:val="24"/>
        </w:rPr>
        <w:t>”</w:t>
      </w:r>
      <w:r>
        <w:rPr>
          <w:rFonts w:ascii="Times New Roman;Times;serif" w:hAnsi="Times New Roman;Times;serif"/>
          <w:sz w:val="22"/>
        </w:rPr>
        <w:t xml:space="preserve">) that the final publication or representativeness date for the London interbank offered rate for: (a) Sterling, Yen and Euros will be December 31, 2021, (b) Dollars for 1-week and 2-month tenor settings will be December 31, 2021 and (c) Dollars for overnight, 1-month, 3-month, 6-month and 12-month tenor settings will be June 30, 2023.  No successor administrator for IBA was identified in such Announcements.  As a result, it is possible that commencing immediately after such dates, the London interbank offered rate for such currencies and tenors may no longer be available or may no longer be deemed a representative reference rate upon which to determine the interest rate on applicable Loans.  There is no assurance that the dates set forth in the Announcements will not change or that IBA or the FCA will not take further action that could impact the availability, composition or characteristics of any London interbank offered rate.  Public and private sector industry initiatives have been and continue, as of the date hereof, to be underway to implement new or alternative reference rates to be used in place of London interbank offered rates.  In the event that the London interbank offered rate or any other then-current Benchmark is no longer available or in certain other circumstances set forth in </w:t>
      </w:r>
      <w:r>
        <w:rPr>
          <w:rFonts w:ascii="Times New Roman;Times;serif" w:hAnsi="Times New Roman;Times;serif"/>
          <w:sz w:val="22"/>
          <w:u w:val="single"/>
        </w:rPr>
        <w:t>Section 3.5(c)</w:t>
      </w:r>
      <w:r>
        <w:rPr>
          <w:rFonts w:ascii="Times New Roman;Times;serif" w:hAnsi="Times New Roman;Times;serif"/>
          <w:sz w:val="22"/>
        </w:rPr>
        <w:t xml:space="preserve">, such </w:t>
      </w:r>
      <w:r>
        <w:rPr>
          <w:rFonts w:ascii="Times New Roman;Times;serif" w:hAnsi="Times New Roman;Times;serif"/>
          <w:sz w:val="22"/>
          <w:u w:val="single"/>
        </w:rPr>
        <w:t>Section 3.5(c)</w:t>
      </w:r>
      <w:r>
        <w:rPr>
          <w:rFonts w:ascii="Aptos" w:hAnsi="Aptos"/>
          <w:sz w:val="24"/>
        </w:rPr>
        <w:t xml:space="preserve"> </w:t>
      </w:r>
      <w:r>
        <w:rPr>
          <w:rFonts w:ascii="Times New Roman;Times;serif" w:hAnsi="Times New Roman;Times;serif"/>
          <w:sz w:val="22"/>
        </w:rPr>
        <w:t xml:space="preserve">provides a mechanism for determining an alternative rate of interest.  The Agent will notify the Borrower, pursuant to </w:t>
      </w:r>
      <w:r>
        <w:rPr>
          <w:rFonts w:ascii="Times New Roman;Times;serif" w:hAnsi="Times New Roman;Times;serif"/>
          <w:sz w:val="22"/>
          <w:u w:val="single"/>
        </w:rPr>
        <w:t>Section 3.5(c)</w:t>
      </w:r>
      <w:r>
        <w:rPr>
          <w:rFonts w:ascii="Times New Roman;Times;serif" w:hAnsi="Times New Roman;Times;serif"/>
          <w:sz w:val="22"/>
        </w:rPr>
        <w:t xml:space="preserve">, of any change to the reference rate upon which the interest rate on Loans is based.  However, the Agent does not warrant or accept any responsibility for, and shall not have any liability with respect to, (i) the continuation of, administration of, submission of, calculation of or any other matter related to the London interbank offered rate, the rates in the definition of “Eurodollar Rate” or any Benchmark, any component definition thereof or rates referenced in the definition thereof or with respect to any alternative, successor or replacement rate thereto (including any then-current Benchmark or any Benchmark Replacement), including whether the composition or characteristics of any such alternative, successor or replacement rate (including any Benchmark Replacement), as it may or may not be adjusted pursuant to </w:t>
      </w:r>
      <w:r>
        <w:rPr>
          <w:rFonts w:ascii="Times New Roman;Times;serif" w:hAnsi="Times New Roman;Times;serif"/>
          <w:sz w:val="22"/>
          <w:u w:val="single"/>
        </w:rPr>
        <w:t>Section 3.5(c)</w:t>
      </w:r>
      <w:r>
        <w:rPr>
          <w:rFonts w:ascii="Times New Roman;Times;serif" w:hAnsi="Times New Roman;Times;serif"/>
          <w:sz w:val="22"/>
        </w:rPr>
        <w:t xml:space="preserve">, will be similar to, or produce the same value or economic equivalence of, or have the same volume or liquidity as, such Benchmark or any other Benchmark prior to its discontinuance or unavailability, or (ii) the effect, implementation or composition of any Benchmark Replacement Conforming Changes.  The Agent and its Affiliates or other related entities may engage in transactions that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44</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affect the calculation of a Benchmark, any alternative, successor or replacement rate (including any Benchmark Replacement) or any relevant adjustments thereto and such transactions may be adverse to the Borrower.  The Agent may select information sources or services in its reasonable discretion to ascertain any Benchmark, any component definition thereof or rates referenced in the definition thereof, in each case pursuant to the terms of this Agreement, and shall have no liability to the Borrower, any Lender</w:t>
      </w:r>
      <w:r>
        <w:rPr>
          <w:rFonts w:ascii="Aptos" w:hAnsi="Aptos"/>
          <w:sz w:val="24"/>
        </w:rPr>
        <w:t xml:space="preserve"> </w:t>
      </w:r>
      <w:r>
        <w:rPr>
          <w:rFonts w:ascii="Times New Roman;Times;serif" w:hAnsi="Times New Roman;Times;serif"/>
          <w:sz w:val="22"/>
        </w:rPr>
        <w:t>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1.7</w:t>
      </w:r>
      <w:bookmarkStart w:id="1803" w:name="_Toc236844296"/>
      <w:bookmarkStart w:id="1804" w:name="_Toc172896641"/>
      <w:bookmarkEnd w:id="1803"/>
      <w:bookmarkEnd w:id="1804"/>
      <w:r>
        <w:rPr>
          <w:rFonts w:ascii="Times New Roman;Times;serif" w:hAnsi="Times New Roman;Times;serif"/>
          <w:sz w:val="22"/>
          <w:u w:val="single"/>
        </w:rPr>
        <w:t>Exchange Rates; Currency Equivalents</w:t>
      </w:r>
      <w:r>
        <w:rPr>
          <w:rFonts w:ascii="Times New Roman;Times;serif" w:hAnsi="Times New Roman;Times;serif"/>
          <w:sz w:val="22"/>
        </w:rPr>
        <w:t>.</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(a)The Agent or the applicable Fronting Lender (with notice thereof to the Agent), as applicable, shall determine the Dollar Equivalent amounts of Credit Events denominated in Alternate Currencies.  Such Dollar Equivalent shall become effective as of such Revaluation Date and shall be the Dollar Equivalent of such amounts until the next Revaluation Date to occur.  Except for purposes of financial statements delivered by the US Borrower hereunder or calculating financial covenants hereunder or except as otherwise provided herein, the applicable amount of any Currency (other than Dollars) for purposes of the Loan Documents shall be such Dollar Equivalent amount as so determined by the Agent or the applicable Fronting Lender, as applicable.</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(b)Wherever in this Agreement in connection with a borrowing, conversion, continuation or prepayment of an RFR Loan or Eurodollar Fixed Rate Loan or the issuance, amendment or extension of a Letter of Credit, an amount, such as a required minimum or multiple amount, is expressed in Dollars, but such borrowing, Loan or Letter of Credit is denominated in an Alternate Currency, such amount shall be the relevant Alternate Currency Equivalent of such Dollar amount (rounded to the nearest unit of such Alternate Currency, with 0.5 of a unit being rounded upward), as determined by the Agent or the applicable Fronting Lender, as the case may be.</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1.8</w:t>
      </w:r>
      <w:bookmarkStart w:id="1805" w:name="_Toc236844297"/>
      <w:bookmarkStart w:id="1806" w:name="_Toc172896642"/>
      <w:bookmarkEnd w:id="1805"/>
      <w:bookmarkEnd w:id="1806"/>
      <w:r>
        <w:rPr>
          <w:rFonts w:ascii="Times New Roman;Times;serif" w:hAnsi="Times New Roman;Times;serif"/>
          <w:sz w:val="22"/>
          <w:u w:val="single"/>
        </w:rPr>
        <w:t>Change of Currency</w:t>
      </w:r>
      <w:r>
        <w:rPr>
          <w:rFonts w:ascii="Times New Roman;Times;serif" w:hAnsi="Times New Roman;Times;serif"/>
          <w:sz w:val="22"/>
        </w:rPr>
        <w:t>.</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(a)The obligation of the Borrowers to make a payment denominated in the national currency unit of any member state of the European Union that adopts the Euro as its lawful currency after the date hereof shall be redenominated into Euro at the time of such adoption (in accordance with the EMU Legislation).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provided that if any borrowing in the currency of such member state is outstanding immediately prior to such date, such replacement shall take effect, with respect to such borrowing, at the end of the then current Interest Period.</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(b)Each provision of this Agreement shall be subject to such reasonable changes of construction as the Agent may from time to time specify to be appropriate to reflect the adoption of the Euro by any member state of the European Union and any relevant market conventions or practices relating to the Euro.</w:t>
      </w:r>
    </w:p>
    <w:p>
      <w:pPr>
        <w:pStyle w:val="TextBody"/>
        <w:bidi w:val="0"/>
        <w:spacing w:lineRule="auto" w:line="285"/>
        <w:ind w:left="0" w:right="0" w:hanging="0"/>
        <w:jc w:val="both"/>
        <w:rPr>
          <w:rFonts w:ascii="Times New Roman;Times;serif" w:hAnsi="Times New Roman;Times;serif"/>
          <w:sz w:val="22"/>
        </w:rPr>
      </w:pPr>
      <w:r>
        <w:rPr>
          <w:rFonts w:ascii="Times New Roman;Times;serif" w:hAnsi="Times New Roman;Times;serif"/>
          <w:sz w:val="22"/>
        </w:rPr>
        <w:t>(c)Each provision of this Agreement also shall be subject to such reasonable changes of construction as the Agent may from time to time specify to be appropriate to reflect a change in currency of any other country and any relevant market conventions or practices relating to the change in currency.</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45</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center"/>
        <w:rPr>
          <w:rFonts w:ascii="Aptos" w:hAnsi="Aptos"/>
          <w:sz w:val="24"/>
        </w:rPr>
      </w:pPr>
      <w:r>
        <w:rPr>
          <w:rFonts w:ascii="Times New Roman;Times;serif" w:hAnsi="Times New Roman;Times;serif"/>
          <w:caps/>
          <w:sz w:val="22"/>
        </w:rPr>
        <w:t>ARTICLE II.</w:t>
      </w:r>
      <w:r>
        <w:rPr>
          <w:rFonts w:ascii="Aptos" w:hAnsi="Aptos"/>
          <w:caps/>
          <w:sz w:val="24"/>
        </w:rPr>
        <w:t xml:space="preserve"> </w:t>
      </w:r>
      <w:bookmarkStart w:id="1807" w:name="_Toc236844298"/>
      <w:bookmarkStart w:id="1808" w:name="_Toc172896643"/>
      <w:bookmarkEnd w:id="1807"/>
      <w:bookmarkEnd w:id="1808"/>
      <w:r>
        <w:rPr>
          <w:rFonts w:ascii="Times New Roman;Times;serif" w:hAnsi="Times New Roman;Times;serif"/>
          <w:caps/>
          <w:sz w:val="22"/>
        </w:rPr>
        <w:t>AMOUNT AND TERMS OF CREDIT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2.1</w:t>
      </w:r>
      <w:bookmarkStart w:id="1809" w:name="_Toc236844299"/>
      <w:bookmarkStart w:id="1810" w:name="_Toc172896644"/>
      <w:bookmarkEnd w:id="1809"/>
      <w:bookmarkEnd w:id="1810"/>
      <w:r>
        <w:rPr>
          <w:rFonts w:ascii="Times New Roman;Times;serif" w:hAnsi="Times New Roman;Times;serif"/>
          <w:sz w:val="22"/>
          <w:u w:val="single"/>
        </w:rPr>
        <w:t>Amount and Nature of Revolving Credit</w:t>
      </w:r>
      <w:r>
        <w:rPr>
          <w:rFonts w:ascii="Times New Roman;Times;serif" w:hAnsi="Times New Roman;Times;serif"/>
          <w:sz w:val="22"/>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 xml:space="preserve">(a)Subject to the terms and conditions of this Agreement, the Revolving Lenders, during the Commitment Period and to the extent hereinafter provided, shall make Revolving Loans to Borrowers, participate in Swing Loans made by the Swing Line Lender to US Borrower, and participate in Letters of Credit at the request of Administrative Borrower, in such aggregate amount as Borrowers shall request pursuant to the Revolving Credit Commitment;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that in no event shall the aggregate principal amount of all Revolving Loans, Swing Loans and Letters of Credit outstanding under this Agreement be in excess of the Revolving Amount.</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(b)Each Lender, for itself and not one for any other, agrees to make Revolving Loans, participate in Swing Loans, and participate in Letters of Credit, during the Commitment Period, on such basis that, immediately after the completion of any borrowing by Borrowers or the issuance of a Letter of Credit:</w:t>
      </w:r>
    </w:p>
    <w:p>
      <w:pPr>
        <w:pStyle w:val="TextBody"/>
        <w:bidi w:val="0"/>
        <w:spacing w:lineRule="auto" w:line="285" w:before="0" w:after="240"/>
        <w:ind w:left="720" w:right="0" w:hanging="0"/>
        <w:jc w:val="both"/>
        <w:rPr>
          <w:rFonts w:ascii="Times New Roman;Times;serif" w:hAnsi="Times New Roman;Times;serif"/>
          <w:sz w:val="22"/>
        </w:rPr>
      </w:pPr>
      <w:r>
        <w:rPr>
          <w:rFonts w:ascii="Times New Roman;Times;serif" w:hAnsi="Times New Roman;Times;serif"/>
          <w:sz w:val="22"/>
        </w:rPr>
        <w:t>(i)the Dollar Equivalent of the aggregate outstanding principal amount of Revolving Loans and Swing Loans made by such Lender (other than Swing Loans made by the Swing Line Lender), when combined with such Lender’s pro rata share of the Letter of Credit Exposure and the Swing Line Exposure, shall not be in excess of the Revolving Amount for such Lender; and</w:t>
      </w:r>
    </w:p>
    <w:p>
      <w:pPr>
        <w:pStyle w:val="TextBody"/>
        <w:bidi w:val="0"/>
        <w:spacing w:lineRule="auto" w:line="285" w:before="0" w:after="0"/>
        <w:ind w:left="720" w:right="0" w:hanging="0"/>
        <w:jc w:val="both"/>
        <w:rPr>
          <w:rFonts w:ascii="Times New Roman;Times;serif" w:hAnsi="Times New Roman;Times;serif"/>
          <w:sz w:val="22"/>
        </w:rPr>
      </w:pPr>
      <w:r>
        <w:rPr>
          <w:rFonts w:ascii="Times New Roman;Times;serif" w:hAnsi="Times New Roman;Times;serif"/>
          <w:sz w:val="22"/>
        </w:rPr>
        <w:t>(ii)the aggregate outstanding principal amount of Revolving Loans made by such Lender shall represent that percentage of the aggregate principal amount then outstanding on all Revolving Loans that shall be such Lender’s Commitment Percentage.  Each borrowing of Revolving Loans from the Lenders shall be made pro rata according to the respective Commitment Percentages of the Lenders (provided that, for the avoidance of doubt, Swing Loans shall be risk participated on a pro rata basis).</w:t>
      </w:r>
    </w:p>
    <w:p>
      <w:pPr>
        <w:pStyle w:val="TextBody"/>
        <w:bidi w:val="0"/>
        <w:spacing w:lineRule="auto" w:line="285" w:before="0" w:after="0"/>
        <w:ind w:left="0" w:right="0" w:hanging="0"/>
        <w:jc w:val="both"/>
        <w:rPr>
          <w:rFonts w:ascii="Aptos" w:hAnsi="Aptos"/>
          <w:sz w:val="24"/>
        </w:rPr>
      </w:pPr>
      <w:r>
        <w:rPr>
          <w:rFonts w:ascii="Times New Roman;Times;serif" w:hAnsi="Times New Roman;Times;serif"/>
          <w:sz w:val="22"/>
        </w:rPr>
        <w:t xml:space="preserve">(c)The Loans may be made as Revolving Loans as described in </w:t>
      </w:r>
      <w:r>
        <w:rPr>
          <w:rFonts w:ascii="Times New Roman;Times;serif" w:hAnsi="Times New Roman;Times;serif"/>
          <w:sz w:val="22"/>
          <w:u w:val="single"/>
        </w:rPr>
        <w:t>Section 2.2(a</w:t>
      </w:r>
      <w:r>
        <w:rPr>
          <w:rFonts w:ascii="Times New Roman;Times;serif" w:hAnsi="Times New Roman;Times;serif"/>
          <w:sz w:val="22"/>
        </w:rPr>
        <w:t xml:space="preserve">) hereof and as Swing Loans as described in </w:t>
      </w:r>
      <w:r>
        <w:rPr>
          <w:rFonts w:ascii="Times New Roman;Times;serif" w:hAnsi="Times New Roman;Times;serif"/>
          <w:sz w:val="22"/>
          <w:u w:val="single"/>
        </w:rPr>
        <w:t>Section 2.2(c)</w:t>
      </w:r>
      <w:r>
        <w:rPr>
          <w:rFonts w:ascii="Aptos" w:hAnsi="Aptos"/>
          <w:sz w:val="24"/>
        </w:rPr>
        <w:t xml:space="preserve"> </w:t>
      </w:r>
      <w:r>
        <w:rPr>
          <w:rFonts w:ascii="Times New Roman;Times;serif" w:hAnsi="Times New Roman;Times;serif"/>
          <w:sz w:val="22"/>
        </w:rPr>
        <w:t xml:space="preserve">hereof, and Letters of Credit may be issued in accordance with </w:t>
      </w:r>
      <w:r>
        <w:rPr>
          <w:rFonts w:ascii="Times New Roman;Times;serif" w:hAnsi="Times New Roman;Times;serif"/>
          <w:sz w:val="22"/>
          <w:u w:val="single"/>
        </w:rPr>
        <w:t>Section 2.2(b)</w:t>
      </w:r>
      <w:r>
        <w:rPr>
          <w:rFonts w:ascii="Aptos" w:hAnsi="Aptos"/>
          <w:sz w:val="24"/>
        </w:rPr>
        <w:t xml:space="preserve"> </w:t>
      </w:r>
      <w:r>
        <w:rPr>
          <w:rFonts w:ascii="Times New Roman;Times;serif" w:hAnsi="Times New Roman;Times;serif"/>
          <w:sz w:val="22"/>
        </w:rPr>
        <w:t>hereof.</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2.2</w:t>
      </w:r>
      <w:bookmarkStart w:id="1811" w:name="_Toc236844300"/>
      <w:bookmarkStart w:id="1812" w:name="_Toc172896645"/>
      <w:bookmarkEnd w:id="1811"/>
      <w:bookmarkEnd w:id="1812"/>
      <w:r>
        <w:rPr>
          <w:rFonts w:ascii="Times New Roman;Times;serif" w:hAnsi="Times New Roman;Times;serif"/>
          <w:sz w:val="22"/>
          <w:u w:val="single"/>
        </w:rPr>
        <w:t>Revolving Credit Commitment</w:t>
      </w:r>
      <w:r>
        <w:rPr>
          <w:rFonts w:ascii="Times New Roman;Times;serif" w:hAnsi="Times New Roman;Times;serif"/>
          <w:sz w:val="22"/>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(a)</w:t>
      </w:r>
      <w:r>
        <w:rPr>
          <w:rFonts w:ascii="Times New Roman;Times;serif" w:hAnsi="Times New Roman;Times;serif"/>
          <w:sz w:val="22"/>
          <w:u w:val="single"/>
        </w:rPr>
        <w:t>Revolving Loans</w:t>
      </w:r>
      <w:r>
        <w:rPr>
          <w:rFonts w:ascii="Times New Roman;Times;serif" w:hAnsi="Times New Roman;Times;serif"/>
          <w:sz w:val="22"/>
        </w:rPr>
        <w:t xml:space="preserve">.  Subject to the terms and conditions of this Agreement, during the Commitment Period, the Lenders shall make a Revolving Loan or Revolving Loans to US Borrower or a Foreign Borrower in such amount or amounts as Administrative Borrower, through an Authorized Officer, may from time to time request, but not exceeding in aggregate principal amount at any time outstanding hereunder the Revolving Credit Commitment, when such Revolving Loans are combined with the Letter of Credit Exposure and the Swing Line Exposure;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 xml:space="preserve">that Borrowers shall not request any Alternate Currency Loan (and the Lenders shall not be obligated to make an Alternate Currency Loan) if, after giving effect thereto, the Alternate Currency Exposure would exceed the Alternate Currency Maximum Amount.  Borrowers shall have the option, subject to the terms and conditions set forth herein, to borrow Revolving Loans, maturing on the Revolving Credit Maturity Date, by means of any combination of Base Rate Loans, Term RFR Loans or Alternate Currency Loans.  With respect to each Alternate Currency Loan, US Borrower or the appropriate Foreign Borrower, as applicable, shall receive all of the proceeds of such Alternate Currency Loan in one Alternate Currency and repay such Alternate Currency Loan in the same Alternate Currency.  Subject to the provisions of this Agreement, Borrowers shall be entitled under this </w:t>
      </w:r>
      <w:r>
        <w:rPr>
          <w:rFonts w:ascii="Times New Roman;Times;serif" w:hAnsi="Times New Roman;Times;serif"/>
          <w:sz w:val="22"/>
          <w:u w:val="single"/>
        </w:rPr>
        <w:t>Section 2.2(a)</w:t>
      </w:r>
      <w:r>
        <w:rPr>
          <w:rFonts w:ascii="Aptos" w:hAnsi="Aptos"/>
          <w:sz w:val="24"/>
        </w:rPr>
        <w:t xml:space="preserve"> </w:t>
      </w:r>
      <w:r>
        <w:rPr>
          <w:rFonts w:ascii="Times New Roman;Times;serif" w:hAnsi="Times New Roman;Times;serif"/>
          <w:sz w:val="22"/>
        </w:rPr>
        <w:t>to borrow Revolving Loans, repay the same in whole or in part and re-borrow Revolving Loans hereunder at any time and from time to time during the Commitment Period.</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46</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(b)</w:t>
      </w:r>
      <w:r>
        <w:rPr>
          <w:rFonts w:ascii="Times New Roman;Times;serif" w:hAnsi="Times New Roman;Times;serif"/>
          <w:sz w:val="22"/>
          <w:u w:val="single"/>
        </w:rPr>
        <w:t>Letters of Credit</w:t>
      </w:r>
      <w:r>
        <w:rPr>
          <w:rFonts w:ascii="Times New Roman;Times;serif" w:hAnsi="Times New Roman;Times;serif"/>
          <w:sz w:val="22"/>
        </w:rPr>
        <w:t>.</w:t>
      </w:r>
    </w:p>
    <w:p>
      <w:pPr>
        <w:pStyle w:val="TextBody"/>
        <w:bidi w:val="0"/>
        <w:spacing w:lineRule="auto" w:line="285" w:before="0" w:after="240"/>
        <w:ind w:left="720" w:right="0" w:hanging="0"/>
        <w:jc w:val="both"/>
        <w:rPr>
          <w:rFonts w:ascii="Aptos" w:hAnsi="Aptos"/>
          <w:sz w:val="24"/>
        </w:rPr>
      </w:pPr>
      <w:r>
        <w:rPr>
          <w:rFonts w:ascii="Times New Roman;Times;serif" w:hAnsi="Times New Roman;Times;serif"/>
          <w:sz w:val="22"/>
        </w:rPr>
        <w:t>(i)</w:t>
      </w:r>
      <w:r>
        <w:rPr>
          <w:rFonts w:ascii="Times New Roman;Times;serif" w:hAnsi="Times New Roman;Times;serif"/>
          <w:sz w:val="22"/>
          <w:u w:val="single"/>
        </w:rPr>
        <w:t>Generally</w:t>
      </w:r>
      <w:r>
        <w:rPr>
          <w:rFonts w:ascii="Times New Roman;Times;serif" w:hAnsi="Times New Roman;Times;serif"/>
          <w:sz w:val="22"/>
        </w:rPr>
        <w:t>.  Subject to the terms and conditions of this Agreement, during the Commitment Period, the Fronting Lender shall, in its own name, on behalf of the Lenders, issue such Letters of Credit for the account of US Borrower or a Domestic Guarantor of Payment, as Administrative Borrower may from time to time request.  Administrative Borrower shall not request any Letter of Credit (and the Fronting Lender shall not be obligated to issue any Letter of Credit) if, after giving effect thereto, (A) the Letter of Credit Exposure would exceed the Letter of Credit Commitment, (B) the Revolving Credit Exposure would exceed the Revolving Credit Commitment, (C) with respect to a request for a Letter of Credit to be issued in an Alternate Currency, the Alternate Currency Exposure would exceed the Alternate Currency Maximum Amount or (D) the beneficiary of such Letter of Credit is a Sanctioned Person.  The issuance of each Letter of Credit shall confer upon each Lender the benefits and liabilities of a participation consisting of an undivided pro rata interest in the Letter of Credit to the extent of such Lender’s Commitment Percentage.</w:t>
      </w:r>
    </w:p>
    <w:p>
      <w:pPr>
        <w:pStyle w:val="TextBody"/>
        <w:bidi w:val="0"/>
        <w:spacing w:lineRule="auto" w:line="285" w:before="0" w:after="240"/>
        <w:ind w:left="720" w:right="0" w:hanging="0"/>
        <w:jc w:val="both"/>
        <w:rPr>
          <w:rFonts w:ascii="Aptos" w:hAnsi="Aptos"/>
          <w:sz w:val="24"/>
        </w:rPr>
      </w:pPr>
      <w:r>
        <w:rPr>
          <w:rFonts w:ascii="Times New Roman;Times;serif" w:hAnsi="Times New Roman;Times;serif"/>
          <w:sz w:val="22"/>
        </w:rPr>
        <w:t>(ii)</w:t>
      </w:r>
      <w:r>
        <w:rPr>
          <w:rFonts w:ascii="Times New Roman;Times;serif" w:hAnsi="Times New Roman;Times;serif"/>
          <w:sz w:val="22"/>
          <w:u w:val="single"/>
        </w:rPr>
        <w:t>Request for Letter of Credit</w:t>
      </w:r>
      <w:r>
        <w:rPr>
          <w:rFonts w:ascii="Times New Roman;Times;serif" w:hAnsi="Times New Roman;Times;serif"/>
          <w:sz w:val="22"/>
        </w:rPr>
        <w:t>.  Each request for a Letter of Credit shall be delivered to Agent (and to the Fronting Lender, if the Fronting Lender is a Lender other than Agent) by an Authorized Officer not later than 1:00 P.M. (Eastern time) three Business Days prior to the date of the proposed issuance of the Letter of Credit.  Each such request shall be in a form acceptable to Agent (and the Fronting Lender, if the Fronting Lender is a Lender other than Agent) and shall specify the face amount thereof, the account party, the beneficiary, the requested date of issuance, amendment, renewal or extension, the expiry date thereof, the Alternate Currency if a Letter of Credit denominated in an Alternate Currency is requested, and the nature of the transaction or obligation to be supported thereby.  Concurrently with each such request, Administrative Borrower, and any Domestic Guarantor of Payment for whose account the Letter of Credit is to be issued, shall execute and deliver to the Fronting Lender an appropriate application and agreement, being in the standard form of the Fronting Lender for such letters of credit, as amended to conform to the provisions of this Agreement if required by Agent.  Agent shall give the Fronting Lender and each Lender notice of each such request for a Letter of Credit.</w:t>
      </w:r>
    </w:p>
    <w:p>
      <w:pPr>
        <w:pStyle w:val="TextBody"/>
        <w:bidi w:val="0"/>
        <w:spacing w:lineRule="auto" w:line="285" w:before="0" w:after="240"/>
        <w:ind w:left="720" w:right="0" w:hanging="0"/>
        <w:jc w:val="both"/>
        <w:rPr>
          <w:rFonts w:ascii="Aptos" w:hAnsi="Aptos"/>
          <w:sz w:val="24"/>
        </w:rPr>
      </w:pPr>
      <w:r>
        <w:rPr>
          <w:rFonts w:ascii="Times New Roman;Times;serif" w:hAnsi="Times New Roman;Times;serif"/>
          <w:sz w:val="22"/>
        </w:rPr>
        <w:t>(iii)</w:t>
      </w:r>
      <w:r>
        <w:rPr>
          <w:rFonts w:ascii="Times New Roman;Times;serif" w:hAnsi="Times New Roman;Times;serif"/>
          <w:sz w:val="22"/>
          <w:u w:val="single"/>
        </w:rPr>
        <w:t>Standby Letters of Credit Fees</w:t>
      </w:r>
      <w:r>
        <w:rPr>
          <w:rFonts w:ascii="Times New Roman;Times;serif" w:hAnsi="Times New Roman;Times;serif"/>
          <w:sz w:val="22"/>
        </w:rPr>
        <w:t>.  With respect to each Letter of Credit and the drafts thereunder, if any, whether issued for the account of US Borrower or any Domestic Guarantor of Payment, US Borrower agrees to (A) pay to Agent, for the pro rata benefit of the Lenders with a Revolving Credit Commitment, a non-refundable commission, which shall be paid quarterly in arrears, on each Regularly Scheduled Payment Date, at a rate per annum equal to the Applicable Margin for Eurodollar Fixed Rate Loans or Transitioned RFR Loans (in effect on such Regularly Scheduled Payment Date) multiplied by the daily undrawn face amount of such Letter of Credit, (B) pay to Agent, for the sole benefit of the Fronting Lender, an additional Letter of Credit fee, which shall be paid quarterly in arrears, on each Regularly Scheduled Payment Date, at the rate per annum equal to one-eighth percent (1/8%) multiplied by the daily undrawn face amount of such Letter of Credit, and (C) pay to Agent, for the sole benefit of the Fronting Lender, such other issuance, amendment, renewal, negotiation, draw, acceptance, telex, courier, postage and similar transactional fees as are customarily charged by the Fronting Lender in respect of the issuance and administration of similar letters of credit under its fee schedule as in effect from time to time.</w:t>
      </w:r>
    </w:p>
    <w:p>
      <w:pPr>
        <w:pStyle w:val="TextBody"/>
        <w:bidi w:val="0"/>
        <w:spacing w:lineRule="auto" w:line="285" w:before="0" w:after="240"/>
        <w:ind w:left="720" w:right="0" w:hanging="0"/>
        <w:jc w:val="both"/>
        <w:rPr>
          <w:rFonts w:ascii="Aptos" w:hAnsi="Aptos"/>
          <w:sz w:val="24"/>
        </w:rPr>
      </w:pPr>
      <w:r>
        <w:rPr>
          <w:rFonts w:ascii="Times New Roman;Times;serif" w:hAnsi="Times New Roman;Times;serif"/>
          <w:sz w:val="22"/>
        </w:rPr>
        <w:t>(iv)</w:t>
      </w:r>
      <w:r>
        <w:rPr>
          <w:rFonts w:ascii="Times New Roman;Times;serif" w:hAnsi="Times New Roman;Times;serif"/>
          <w:sz w:val="22"/>
          <w:u w:val="single"/>
        </w:rPr>
        <w:t>Refunding of Letters of Credit with Revolving Loans</w:t>
      </w:r>
      <w:r>
        <w:rPr>
          <w:rFonts w:ascii="Times New Roman;Times;serif" w:hAnsi="Times New Roman;Times;serif"/>
          <w:sz w:val="22"/>
        </w:rPr>
        <w:t xml:space="preserve">.  Whenever a Letter of Credit shall be drawn, US Borrower shall promptly reimburse the Fronting Lender for the amount drawn.  In the event that the amount drawn shall not have been reimbursed by US Borrower on the date of the drawing of such Letter of Credit, at the sole option of Agent (and the Fronting Lender, if the Fronting Lender is a Lender other than Agent), US Borrower shall be deemed to have requested a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47</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720" w:right="0" w:hanging="0"/>
        <w:jc w:val="both"/>
        <w:rPr>
          <w:rFonts w:ascii="Aptos" w:hAnsi="Aptos"/>
          <w:sz w:val="24"/>
        </w:rPr>
      </w:pPr>
      <w:r>
        <w:rPr>
          <w:rFonts w:ascii="Times New Roman;Times;serif" w:hAnsi="Times New Roman;Times;serif"/>
          <w:sz w:val="22"/>
        </w:rPr>
        <w:t xml:space="preserve">Revolving Loan, subject to the provisions of </w:t>
      </w:r>
      <w:r>
        <w:rPr>
          <w:rFonts w:ascii="Times New Roman;Times;serif" w:hAnsi="Times New Roman;Times;serif"/>
          <w:sz w:val="22"/>
          <w:u w:val="single"/>
        </w:rPr>
        <w:t>Sections 2.2(a)</w:t>
      </w:r>
      <w:r>
        <w:rPr>
          <w:rFonts w:ascii="Aptos" w:hAnsi="Aptos"/>
          <w:sz w:val="24"/>
        </w:rPr>
        <w:t xml:space="preserve"> </w:t>
      </w:r>
      <w:r>
        <w:rPr>
          <w:rFonts w:ascii="Times New Roman;Times;serif" w:hAnsi="Times New Roman;Times;serif"/>
          <w:sz w:val="22"/>
        </w:rPr>
        <w:t xml:space="preserve">and </w:t>
      </w:r>
      <w:r>
        <w:rPr>
          <w:rFonts w:ascii="Times New Roman;Times;serif" w:hAnsi="Times New Roman;Times;serif"/>
          <w:sz w:val="22"/>
          <w:u w:val="single"/>
        </w:rPr>
        <w:t>2.5</w:t>
      </w:r>
      <w:r>
        <w:rPr>
          <w:rFonts w:ascii="Aptos" w:hAnsi="Aptos"/>
          <w:sz w:val="24"/>
        </w:rPr>
        <w:t xml:space="preserve"> </w:t>
      </w:r>
      <w:r>
        <w:rPr>
          <w:rFonts w:ascii="Times New Roman;Times;serif" w:hAnsi="Times New Roman;Times;serif"/>
          <w:sz w:val="22"/>
        </w:rPr>
        <w:t xml:space="preserve">hereof (other than the requirement set forth in </w:t>
      </w:r>
      <w:r>
        <w:rPr>
          <w:rFonts w:ascii="Times New Roman;Times;serif" w:hAnsi="Times New Roman;Times;serif"/>
          <w:sz w:val="22"/>
          <w:u w:val="single"/>
        </w:rPr>
        <w:t>Section 2.5(d)</w:t>
      </w:r>
      <w:r>
        <w:rPr>
          <w:rFonts w:ascii="Aptos" w:hAnsi="Aptos"/>
          <w:sz w:val="24"/>
        </w:rPr>
        <w:t xml:space="preserve"> </w:t>
      </w:r>
      <w:r>
        <w:rPr>
          <w:rFonts w:ascii="Times New Roman;Times;serif" w:hAnsi="Times New Roman;Times;serif"/>
          <w:sz w:val="22"/>
        </w:rPr>
        <w:t xml:space="preserve">hereof), in the amount drawn (or the Dollar Equivalent with respect to a Letter of Credit funded in an Alternate Currency).  Such Revolving Loan shall be evidenced by the Revolving Credit Notes (or, if a Lender has not requested a Revolving Credit Note, by the records of Agent and such Lender).  Each Lender agrees to make a Revolving Loan on the date of such notice, subject to no conditions precedent whatsoever.  Each Lender acknowledges and agrees that its obligation to make a Revolving Loan pursuant to </w:t>
      </w:r>
      <w:r>
        <w:rPr>
          <w:rFonts w:ascii="Times New Roman;Times;serif" w:hAnsi="Times New Roman;Times;serif"/>
          <w:sz w:val="22"/>
          <w:u w:val="single"/>
        </w:rPr>
        <w:t>Section 2.2(a)</w:t>
      </w:r>
      <w:r>
        <w:rPr>
          <w:rFonts w:ascii="Aptos" w:hAnsi="Aptos"/>
          <w:sz w:val="24"/>
        </w:rPr>
        <w:t xml:space="preserve"> </w:t>
      </w:r>
      <w:r>
        <w:rPr>
          <w:rFonts w:ascii="Times New Roman;Times;serif" w:hAnsi="Times New Roman;Times;serif"/>
          <w:sz w:val="22"/>
        </w:rPr>
        <w:t xml:space="preserve">hereof when required by this </w:t>
      </w:r>
      <w:r>
        <w:rPr>
          <w:rFonts w:ascii="Times New Roman;Times;serif" w:hAnsi="Times New Roman;Times;serif"/>
          <w:sz w:val="22"/>
          <w:u w:val="single"/>
        </w:rPr>
        <w:t>Section 2.2(b)(iv)</w:t>
      </w:r>
      <w:r>
        <w:rPr>
          <w:rFonts w:ascii="Aptos" w:hAnsi="Aptos"/>
          <w:sz w:val="24"/>
        </w:rPr>
        <w:t xml:space="preserve"> </w:t>
      </w:r>
      <w:r>
        <w:rPr>
          <w:rFonts w:ascii="Times New Roman;Times;serif" w:hAnsi="Times New Roman;Times;serif"/>
          <w:sz w:val="22"/>
        </w:rPr>
        <w:t xml:space="preserve">shall be absolute and unconditional and shall not be affected by any circumstance whatsoever, including, without limitation, the occurrence and continuance of a Default or Event of Default, and that its payment to Agent, for the account of the Fronting Lender, of the proceeds of such Revolving Loan shall be made without any offset, abatement, recoupment, counterclaim, withholding or reduction whatsoever and whether or not the Revolving Credit Commitment shall have been reduced or terminated.  US Borrower irrevocably authorizes and instructs Agent to apply the proceeds of any borrowing pursuant to this </w:t>
      </w:r>
      <w:r>
        <w:rPr>
          <w:rFonts w:ascii="Times New Roman;Times;serif" w:hAnsi="Times New Roman;Times;serif"/>
          <w:sz w:val="22"/>
          <w:u w:val="single"/>
        </w:rPr>
        <w:t>Section 2.2(b)(iv)</w:t>
      </w:r>
      <w:r>
        <w:rPr>
          <w:rFonts w:ascii="Aptos" w:hAnsi="Aptos"/>
          <w:sz w:val="24"/>
        </w:rPr>
        <w:t xml:space="preserve"> </w:t>
      </w:r>
      <w:r>
        <w:rPr>
          <w:rFonts w:ascii="Times New Roman;Times;serif" w:hAnsi="Times New Roman;Times;serif"/>
          <w:sz w:val="22"/>
        </w:rPr>
        <w:t>to reimburse, in full (other than the Fronting Lender’s pro rata share of such borrowing), the Fronting Lender for the amount drawn on such Letter of Credit.  Each such Revolving Loan shall be deemed to be a Base Rate Loan.  Each Lender is hereby authorized to record on its records relating to its Revolving Credit Note (or, if such Lender has not requested a Revolving Credit Note, its records relating to Revolving Loans) such Lender’s pro rata share of the amounts paid and not reimbursed on the Letters of Credit.</w:t>
      </w:r>
    </w:p>
    <w:p>
      <w:pPr>
        <w:pStyle w:val="TextBody"/>
        <w:bidi w:val="0"/>
        <w:spacing w:lineRule="auto" w:line="285" w:before="0" w:after="240"/>
        <w:ind w:left="720" w:right="0" w:hanging="0"/>
        <w:jc w:val="both"/>
        <w:rPr>
          <w:rFonts w:ascii="Aptos" w:hAnsi="Aptos"/>
          <w:sz w:val="24"/>
        </w:rPr>
      </w:pPr>
      <w:r>
        <w:rPr>
          <w:rFonts w:ascii="Times New Roman;Times;serif" w:hAnsi="Times New Roman;Times;serif"/>
          <w:sz w:val="22"/>
        </w:rPr>
        <w:t>(v)</w:t>
      </w:r>
      <w:r>
        <w:rPr>
          <w:rFonts w:ascii="Times New Roman;Times;serif" w:hAnsi="Times New Roman;Times;serif"/>
          <w:sz w:val="22"/>
          <w:u w:val="single"/>
        </w:rPr>
        <w:t>Participation in Letters of Credit</w:t>
      </w:r>
      <w:r>
        <w:rPr>
          <w:rFonts w:ascii="Times New Roman;Times;serif" w:hAnsi="Times New Roman;Times;serif"/>
          <w:sz w:val="22"/>
        </w:rPr>
        <w:t xml:space="preserve">.  If, for any reason, Agent (and the Fronting Lender if the Fronting Lender is a Lender other than Agent) shall be unable to or, in the opinion of Agent, it shall be impracticable to, convert any Letter of Credit to a Revolving Loan pursuant to the preceding subsection, or if the amount not reimbursed is a Letter of Credit drawn in an Alternate Currency, Agent (and the Fronting Lender if the Fronting Lender is a Lender other than Agent) shall have the right to request that each Lender fund a participation in the amount due (or the Dollar Equivalent with respect to a Letter of Credit in an Alternate Currency) with respect to such Letter of Credit, and Agent shall promptly notify each Lender thereof (by facsimile or telephone, confirmed in writing).  Upon such notice, but without further action, the Fronting Lender hereby agrees to grant to each Lender, and each Lender hereby agrees to acquire from the Fronting Lender, an undivided participation interest in the amount due with respect to such Letter of Credit in an amount equal to such Lender’s Commitment Percentage of the principal amount due with respect to such Letter of Credit.  In consideration and in furtherance of the foregoing, each Lender hereby absolutely and unconditionally agrees, upon receipt of notice as provided above, to pay to Agent, for the account of the Fronting Lender, such Lender’s ratable share of the amount due with respect to such Letter of Credit (determined in accordance with such Lender’s Commitment Percentage).  Each Lender acknowledges and agrees that its obligation to acquire participations in the amount due under any Letter of Credit that is drawn but not reimbursed by Borrowers pursuant to this </w:t>
      </w:r>
      <w:r>
        <w:rPr>
          <w:rFonts w:ascii="Times New Roman;Times;serif" w:hAnsi="Times New Roman;Times;serif"/>
          <w:sz w:val="22"/>
          <w:u w:val="single"/>
        </w:rPr>
        <w:t>Section 2.2(b)(v)</w:t>
      </w:r>
      <w:r>
        <w:rPr>
          <w:rFonts w:ascii="Aptos" w:hAnsi="Aptos"/>
          <w:sz w:val="24"/>
        </w:rPr>
        <w:t xml:space="preserve"> </w:t>
      </w:r>
      <w:r>
        <w:rPr>
          <w:rFonts w:ascii="Times New Roman;Times;serif" w:hAnsi="Times New Roman;Times;serif"/>
          <w:sz w:val="22"/>
        </w:rPr>
        <w:t xml:space="preserve">shall be absolute and unconditional and shall not be affected by any circumstance whatsoever, including, without limitation, the occurrence and continuance of a Default or Event of Default, and that each such payment shall be made without any offset, abatement, recoupment, counterclaim, withholding or reduction whatsoever and whether or not the Revolving Credit Commitment shall have been reduced or terminated.  Each Lender shall comply with its obligation under this </w:t>
      </w:r>
      <w:r>
        <w:rPr>
          <w:rFonts w:ascii="Times New Roman;Times;serif" w:hAnsi="Times New Roman;Times;serif"/>
          <w:sz w:val="22"/>
          <w:u w:val="single"/>
        </w:rPr>
        <w:t>Section 2.2(b)(v)</w:t>
      </w:r>
      <w:r>
        <w:rPr>
          <w:rFonts w:ascii="Aptos" w:hAnsi="Aptos"/>
          <w:sz w:val="24"/>
        </w:rPr>
        <w:t xml:space="preserve"> </w:t>
      </w:r>
      <w:r>
        <w:rPr>
          <w:rFonts w:ascii="Times New Roman;Times;serif" w:hAnsi="Times New Roman;Times;serif"/>
          <w:sz w:val="22"/>
        </w:rPr>
        <w:t xml:space="preserve">by wire transfer of immediately available funds (in Dollars, in the Dollar Equivalent for amounts drawn in such Alternate Currency), in the same manner as provided in </w:t>
      </w:r>
      <w:r>
        <w:rPr>
          <w:rFonts w:ascii="Times New Roman;Times;serif" w:hAnsi="Times New Roman;Times;serif"/>
          <w:sz w:val="22"/>
          <w:u w:val="single"/>
        </w:rPr>
        <w:t>Section 2.5</w:t>
      </w:r>
      <w:r>
        <w:rPr>
          <w:rFonts w:ascii="Aptos" w:hAnsi="Aptos"/>
          <w:sz w:val="24"/>
        </w:rPr>
        <w:t xml:space="preserve"> </w:t>
      </w:r>
      <w:r>
        <w:rPr>
          <w:rFonts w:ascii="Times New Roman;Times;serif" w:hAnsi="Times New Roman;Times;serif"/>
          <w:sz w:val="22"/>
        </w:rPr>
        <w:t>hereof with respect to Revolving Loans.  Each Lender is hereby authorized to record on its records such Lender’s pro rata share of the amounts paid and not reimbursed on the Letters of Credit.  In addition, each Lender agrees to risk participate in the Existing Letters of Credit as provided in subsection (vi) below.</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48</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720" w:right="0" w:hanging="0"/>
        <w:jc w:val="both"/>
        <w:rPr>
          <w:rFonts w:ascii="Aptos" w:hAnsi="Aptos"/>
          <w:sz w:val="24"/>
        </w:rPr>
      </w:pPr>
      <w:r>
        <w:rPr>
          <w:rFonts w:ascii="Times New Roman;Times;serif" w:hAnsi="Times New Roman;Times;serif"/>
          <w:sz w:val="22"/>
        </w:rPr>
        <w:t>(vi)</w:t>
      </w:r>
      <w:r>
        <w:rPr>
          <w:rFonts w:ascii="Times New Roman;Times;serif" w:hAnsi="Times New Roman;Times;serif"/>
          <w:sz w:val="22"/>
          <w:u w:val="single"/>
        </w:rPr>
        <w:t>Existing Letters of Credit</w:t>
      </w:r>
      <w:r>
        <w:rPr>
          <w:rFonts w:ascii="Times New Roman;Times;serif" w:hAnsi="Times New Roman;Times;serif"/>
          <w:sz w:val="22"/>
        </w:rPr>
        <w:t>.  </w:t>
      </w:r>
      <w:r>
        <w:rPr>
          <w:rFonts w:ascii="Times New Roman;Times;serif" w:hAnsi="Times New Roman;Times;serif"/>
          <w:sz w:val="22"/>
          <w:u w:val="single"/>
        </w:rPr>
        <w:t>Schedule 2.2</w:t>
      </w:r>
      <w:r>
        <w:rPr>
          <w:rFonts w:ascii="Aptos" w:hAnsi="Aptos"/>
          <w:sz w:val="24"/>
        </w:rPr>
        <w:t xml:space="preserve"> </w:t>
      </w:r>
      <w:r>
        <w:rPr>
          <w:rFonts w:ascii="Times New Roman;Times;serif" w:hAnsi="Times New Roman;Times;serif"/>
          <w:sz w:val="22"/>
        </w:rPr>
        <w:t>hereto contains a description of all letters of credit outstanding on, and to continue in effect after, the Closing Date. Each such letter of credit issued by a bank that is or becomes a Lender under this Agreement on the Closing Date (each, an “</w:t>
      </w:r>
      <w:r>
        <w:rPr>
          <w:rFonts w:ascii="Times New Roman;Times;serif" w:hAnsi="Times New Roman;Times;serif"/>
          <w:sz w:val="22"/>
          <w:u w:val="single"/>
        </w:rPr>
        <w:t>Existing Letter of Credit</w:t>
      </w:r>
      <w:r>
        <w:rPr>
          <w:rFonts w:ascii="Aptos" w:hAnsi="Aptos"/>
          <w:sz w:val="24"/>
        </w:rPr>
        <w:t>”</w:t>
      </w:r>
      <w:r>
        <w:rPr>
          <w:rFonts w:ascii="Times New Roman;Times;serif" w:hAnsi="Times New Roman;Times;serif"/>
          <w:sz w:val="22"/>
        </w:rPr>
        <w:t>) shall constitute a “Letter of Credit” for all purposes of this Agreement, issued, for purposes of subsection (v) above, on the Closing Date.  US Borrower, Agent and the Lenders hereby agree that, from and after such date, the terms of this Agreement shall apply to the Existing Letters of Credit, superseding any other agreement theretofore applicable to them to the extent inconsistent with the terms hereof.  Notwithstanding anything to the contrary in any reimbursement agreement applicable to the Existing Letters of Credit, the fees payable in connection with each Existing Letter of Credit to be shared with the Lenders shall accrue from the Closing Date at the rate provided in this subsection (vi).</w:t>
      </w:r>
    </w:p>
    <w:p>
      <w:pPr>
        <w:pStyle w:val="TextBody"/>
        <w:bidi w:val="0"/>
        <w:spacing w:lineRule="auto" w:line="285" w:before="0" w:after="240"/>
        <w:ind w:left="720" w:right="0" w:hanging="0"/>
        <w:jc w:val="both"/>
        <w:rPr>
          <w:rFonts w:ascii="Aptos" w:hAnsi="Aptos"/>
          <w:sz w:val="24"/>
        </w:rPr>
      </w:pPr>
      <w:r>
        <w:rPr>
          <w:rFonts w:ascii="Times New Roman;Times;serif" w:hAnsi="Times New Roman;Times;serif"/>
          <w:sz w:val="22"/>
        </w:rPr>
        <w:t>(vii)</w:t>
      </w:r>
      <w:r>
        <w:rPr>
          <w:rFonts w:ascii="Times New Roman;Times;serif" w:hAnsi="Times New Roman;Times;serif"/>
          <w:sz w:val="22"/>
          <w:u w:val="single"/>
        </w:rPr>
        <w:t>Auto-Renewal Letters of Credit</w:t>
      </w:r>
      <w:r>
        <w:rPr>
          <w:rFonts w:ascii="Times New Roman;Times;serif" w:hAnsi="Times New Roman;Times;serif"/>
          <w:sz w:val="22"/>
        </w:rPr>
        <w:t xml:space="preserve">.  If Administrative Borrower so requests, a Letter of Credit shall have an automatic renewal provision;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that any Letter of Credit that has an automatic renewal provision must permit Agent (or the Fronting Lender if the Fronting Lender is a Lender other than Agent) to prevent any such renewal by giving prior notice to the beneficiary thereof not later than thirty (30) days prior to the renewal date of such Letter of Credit.  Once any such Letter of Credit that has automatic renewal provisions has been issued, the Revolving Lenders shall be deemed to have authorized (but may not require) Agent (and the Fronting Lender) to permit at any time the renewal of such Letter of Credit to an expiry date not later than one year after the Revolving Credit Maturity Date.</w:t>
      </w:r>
    </w:p>
    <w:p>
      <w:pPr>
        <w:pStyle w:val="TextBody"/>
        <w:bidi w:val="0"/>
        <w:spacing w:lineRule="auto" w:line="285" w:before="0" w:after="240"/>
        <w:ind w:left="720" w:right="0" w:hanging="0"/>
        <w:jc w:val="both"/>
        <w:rPr>
          <w:rFonts w:ascii="Aptos" w:hAnsi="Aptos"/>
          <w:sz w:val="24"/>
        </w:rPr>
      </w:pPr>
      <w:r>
        <w:rPr>
          <w:rFonts w:ascii="Times New Roman;Times;serif" w:hAnsi="Times New Roman;Times;serif"/>
          <w:sz w:val="22"/>
        </w:rPr>
        <w:t>(viii)</w:t>
      </w:r>
      <w:r>
        <w:rPr>
          <w:rFonts w:ascii="Times New Roman;Times;serif" w:hAnsi="Times New Roman;Times;serif"/>
          <w:sz w:val="22"/>
          <w:u w:val="single"/>
        </w:rPr>
        <w:t>Letters of Credit Outstanding Beyond the Revolving Credit Maturity Date</w:t>
      </w:r>
      <w:r>
        <w:rPr>
          <w:rFonts w:ascii="Times New Roman;Times;serif" w:hAnsi="Times New Roman;Times;serif"/>
          <w:sz w:val="22"/>
        </w:rPr>
        <w:t>.  If any Letter of Credit is outstanding on the Revolving Credit Maturity Date, then, upon such termination, US Borrower shall deposit with Agent, for the benefit of the Fronting Lender, with respect to all outstanding Letters of Credit, either cash or a Supporting Letter of Credit, which, in each case, is (A) in an amount equal to one hundred five percent (105%) of the undrawn amount of the outstanding Letters of Credit, and (B) free and clear of all rights and claims of third parties.  The cash shall be deposited in an escrow account at a financial institution designated by the Fronting Lender.  The Fronting Lender shall be entitled to withdraw (with respect to the cash) or draw (with respect to the Supporting Letter of Credit) amounts necessary to reimburse the Fronting Lender for payments to be made under the Letters of Credit and any fees and expenses associated with such Letters of Credit, or incurred pursuant to the reimbursement agreements with respect to such Letters of Credit.  US Borrower shall also execute such documentation as Agent or the Fronting Lender may reasonably require in connection with the survival of the Letters of Credit beyond the Commitment or this Agreement.  After expiration of all undrawn Letters of Credit, the Supporting Letter of Credit or the remainder of the cash, as the case may be, shall promptly be returned to Administrative Borrower.</w:t>
      </w:r>
    </w:p>
    <w:p>
      <w:pPr>
        <w:pStyle w:val="TextBody"/>
        <w:bidi w:val="0"/>
        <w:spacing w:lineRule="auto" w:line="285" w:before="0" w:after="0"/>
        <w:ind w:left="720" w:right="0" w:hanging="0"/>
        <w:jc w:val="both"/>
        <w:rPr>
          <w:rFonts w:ascii="Aptos" w:hAnsi="Aptos"/>
          <w:sz w:val="24"/>
        </w:rPr>
      </w:pPr>
      <w:r>
        <w:rPr>
          <w:rFonts w:ascii="Times New Roman;Times;serif" w:hAnsi="Times New Roman;Times;serif"/>
          <w:sz w:val="22"/>
        </w:rPr>
        <w:t>(ix)</w:t>
      </w:r>
      <w:r>
        <w:rPr>
          <w:rFonts w:ascii="Times New Roman;Times;serif" w:hAnsi="Times New Roman;Times;serif"/>
          <w:sz w:val="22"/>
          <w:u w:val="single"/>
        </w:rPr>
        <w:t>Defaulting Lenders</w:t>
      </w:r>
      <w:r>
        <w:rPr>
          <w:rFonts w:ascii="Times New Roman;Times;serif" w:hAnsi="Times New Roman;Times;serif"/>
          <w:sz w:val="22"/>
        </w:rPr>
        <w:t xml:space="preserve">.  Notwithstanding anything to the contrary contained in this Agreement, this </w:t>
      </w:r>
      <w:r>
        <w:rPr>
          <w:rFonts w:ascii="Times New Roman;Times;serif" w:hAnsi="Times New Roman;Times;serif"/>
          <w:sz w:val="22"/>
          <w:u w:val="single"/>
        </w:rPr>
        <w:t>Section 2.2(b)</w:t>
      </w:r>
      <w:r>
        <w:rPr>
          <w:rFonts w:ascii="Aptos" w:hAnsi="Aptos"/>
          <w:sz w:val="24"/>
        </w:rPr>
        <w:t xml:space="preserve"> </w:t>
      </w:r>
      <w:r>
        <w:rPr>
          <w:rFonts w:ascii="Times New Roman;Times;serif" w:hAnsi="Times New Roman;Times;serif"/>
          <w:sz w:val="22"/>
        </w:rPr>
        <w:t xml:space="preserve">shall be subject to the terms and conditions of </w:t>
      </w:r>
      <w:r>
        <w:rPr>
          <w:rFonts w:ascii="Times New Roman;Times;serif" w:hAnsi="Times New Roman;Times;serif"/>
          <w:sz w:val="22"/>
          <w:u w:val="single"/>
        </w:rPr>
        <w:t>Section 3.7</w:t>
      </w:r>
      <w:r>
        <w:rPr>
          <w:rFonts w:ascii="Aptos" w:hAnsi="Aptos"/>
          <w:sz w:val="24"/>
        </w:rPr>
        <w:t xml:space="preserve"> </w:t>
      </w:r>
      <w:r>
        <w:rPr>
          <w:rFonts w:ascii="Times New Roman;Times;serif" w:hAnsi="Times New Roman;Times;serif"/>
          <w:sz w:val="22"/>
        </w:rPr>
        <w:t xml:space="preserve">and </w:t>
      </w:r>
      <w:r>
        <w:rPr>
          <w:rFonts w:ascii="Times New Roman;Times;serif" w:hAnsi="Times New Roman;Times;serif"/>
          <w:sz w:val="22"/>
          <w:u w:val="single"/>
        </w:rPr>
        <w:t>Section 3.8</w:t>
      </w:r>
      <w:r>
        <w:rPr>
          <w:rFonts w:ascii="Aptos" w:hAnsi="Aptos"/>
          <w:sz w:val="24"/>
        </w:rPr>
        <w:t xml:space="preserve"> </w:t>
      </w:r>
      <w:r>
        <w:rPr>
          <w:rFonts w:ascii="Times New Roman;Times;serif" w:hAnsi="Times New Roman;Times;serif"/>
          <w:sz w:val="22"/>
        </w:rPr>
        <w:t>hereof.</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(c)Swing Loans.</w:t>
      </w:r>
    </w:p>
    <w:p>
      <w:pPr>
        <w:pStyle w:val="TextBody"/>
        <w:bidi w:val="0"/>
        <w:spacing w:lineRule="auto" w:line="285" w:before="0" w:after="240"/>
        <w:ind w:left="720" w:right="0" w:hanging="0"/>
        <w:jc w:val="both"/>
        <w:rPr>
          <w:rFonts w:ascii="Times New Roman;Times;serif" w:hAnsi="Times New Roman;Times;serif"/>
          <w:sz w:val="22"/>
        </w:rPr>
      </w:pPr>
      <w:r>
        <w:rPr>
          <w:rFonts w:ascii="Times New Roman;Times;serif" w:hAnsi="Times New Roman;Times;serif"/>
          <w:sz w:val="22"/>
        </w:rPr>
        <w:t>(i)Generally.</w:t>
      </w:r>
    </w:p>
    <w:p>
      <w:pPr>
        <w:pStyle w:val="TextBody"/>
        <w:bidi w:val="0"/>
        <w:spacing w:lineRule="auto" w:line="285" w:before="0" w:after="240"/>
        <w:ind w:left="1440" w:right="0" w:hanging="0"/>
        <w:jc w:val="both"/>
        <w:rPr>
          <w:rFonts w:ascii="Aptos" w:hAnsi="Aptos"/>
          <w:sz w:val="24"/>
        </w:rPr>
      </w:pPr>
      <w:r>
        <w:rPr>
          <w:rFonts w:ascii="Times New Roman;Times;serif" w:hAnsi="Times New Roman;Times;serif"/>
          <w:sz w:val="24"/>
        </w:rPr>
        <w:t>(A)</w:t>
      </w:r>
      <w:r>
        <w:rPr>
          <w:rFonts w:ascii="Times New Roman;Times;serif" w:hAnsi="Times New Roman;Times;serif"/>
          <w:sz w:val="22"/>
        </w:rPr>
        <w:t xml:space="preserve">Subject to the terms and conditions of this Agreement, during the Commitment Period, the Swing Line Lender shall make a Swing Loan or Swing Loans to US Borrower in such amount or amounts as Administrative Borrower, through an Authorized Officer, may from time to time request;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 xml:space="preserve">that Administrative Borrower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49</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1440" w:right="0" w:hanging="0"/>
        <w:jc w:val="both"/>
        <w:rPr>
          <w:rFonts w:ascii="Aptos" w:hAnsi="Aptos"/>
          <w:sz w:val="24"/>
        </w:rPr>
      </w:pPr>
      <w:r>
        <w:rPr>
          <w:rFonts w:ascii="Times New Roman;Times;serif" w:hAnsi="Times New Roman;Times;serif"/>
          <w:sz w:val="22"/>
        </w:rPr>
        <w:t xml:space="preserve">shall not request any Swing Loan if, after giving effect thereto, (1) the Revolving Credit Exposure would exceed the Revolving Credit Commitment or (2) the Swing Line Exposure would exceed the Swing Line Commitment.  Each Swing Loan shall be due and payable on the Swing Loan Maturity Date applicable thereto.  Each Swing Loan shall be made in Dollars.  US Borrower may prepay Swing Loans in accordance with </w:t>
      </w:r>
      <w:r>
        <w:rPr>
          <w:rFonts w:ascii="Times New Roman;Times;serif" w:hAnsi="Times New Roman;Times;serif"/>
          <w:sz w:val="22"/>
          <w:u w:val="single"/>
        </w:rPr>
        <w:t>Section 2.7</w:t>
      </w:r>
      <w:r>
        <w:rPr>
          <w:rFonts w:ascii="Aptos" w:hAnsi="Aptos"/>
          <w:sz w:val="24"/>
        </w:rPr>
        <w:t xml:space="preserve"> </w:t>
      </w:r>
      <w:r>
        <w:rPr>
          <w:rFonts w:ascii="Times New Roman;Times;serif" w:hAnsi="Times New Roman;Times;serif"/>
          <w:sz w:val="22"/>
        </w:rPr>
        <w:t>hereof.</w:t>
      </w:r>
    </w:p>
    <w:p>
      <w:pPr>
        <w:pStyle w:val="TextBody"/>
        <w:bidi w:val="0"/>
        <w:spacing w:lineRule="auto" w:line="285" w:before="0" w:after="0"/>
        <w:ind w:left="1440" w:right="0" w:hanging="0"/>
        <w:jc w:val="both"/>
        <w:rPr>
          <w:rFonts w:ascii="Aptos" w:hAnsi="Aptos"/>
          <w:sz w:val="24"/>
        </w:rPr>
      </w:pPr>
      <w:r>
        <w:rPr>
          <w:rFonts w:ascii="Times New Roman;Times;serif" w:hAnsi="Times New Roman;Times;serif"/>
          <w:sz w:val="24"/>
        </w:rPr>
        <w:t>(B)</w:t>
      </w:r>
      <w:r>
        <w:rPr>
          <w:rFonts w:ascii="Times New Roman;Times;serif" w:hAnsi="Times New Roman;Times;serif"/>
          <w:sz w:val="22"/>
        </w:rPr>
        <w:t>Notwithstanding any provision herein to the contrary and to the extent applicable, in the event the Swing Line Lender and US Borrower have agreed in writing (and the parties hereby acknowledge that any such agreement by US Borrower shall be made at its sole discretion), that up to $10,000,000 of the Swing Line Commitment may be used to automatically draw and repay Swing Loans (subject to the limitations set forth herein) pursuant to cash management arrangements between US Borrower and the Swing Line Lender (the “</w:t>
      </w:r>
      <w:r>
        <w:rPr>
          <w:rFonts w:ascii="Times New Roman;Times;serif" w:hAnsi="Times New Roman;Times;serif"/>
          <w:sz w:val="22"/>
          <w:u w:val="single"/>
        </w:rPr>
        <w:t>Sweep Arrangement</w:t>
      </w:r>
      <w:r>
        <w:rPr>
          <w:rFonts w:ascii="Aptos" w:hAnsi="Aptos"/>
          <w:sz w:val="24"/>
        </w:rPr>
        <w:t>”</w:t>
      </w:r>
      <w:r>
        <w:rPr>
          <w:rFonts w:ascii="Times New Roman;Times;serif" w:hAnsi="Times New Roman;Times;serif"/>
          <w:sz w:val="22"/>
        </w:rPr>
        <w:t xml:space="preserve">).  Principal and interest on Swing Loans deemed requested pursuant to the Sweep Arrangement shall be paid pursuant to the terms and conditions agreed to between US Borrower and the Swing Line Lender (without any deduction, setoff or counterclaim whatsoever).  The borrowing and disbursement provisions set forth in </w:t>
      </w:r>
      <w:r>
        <w:rPr>
          <w:rFonts w:ascii="Times New Roman;Times;serif" w:hAnsi="Times New Roman;Times;serif"/>
          <w:sz w:val="22"/>
          <w:u w:val="single"/>
        </w:rPr>
        <w:t>Section 2.5</w:t>
      </w:r>
      <w:r>
        <w:rPr>
          <w:rFonts w:ascii="Aptos" w:hAnsi="Aptos"/>
          <w:sz w:val="24"/>
        </w:rPr>
        <w:t xml:space="preserve"> </w:t>
      </w:r>
      <w:r>
        <w:rPr>
          <w:rFonts w:ascii="Times New Roman;Times;serif" w:hAnsi="Times New Roman;Times;serif"/>
          <w:sz w:val="22"/>
        </w:rPr>
        <w:t>hereof and any other provision hereof with respect to the timing or amount of payments on the Swing Loans (other than the requirement that all Swing Loans be paid no later than the Revolving Credit Maturity Date) shall not be applicable to any portion of the Swing Loans made and prepaid pursuant to the Sweep Arrangement.  Unless sooner paid pursuant to the provisions hereof or the provisions of the Sweep Arrangement, the principal amount of all Swing Loans made pursuant to the Sweep Arrangement shall be paid in full, together with accrued interest thereon, on the Revolving Credit Maturity Date.</w:t>
      </w:r>
    </w:p>
    <w:p>
      <w:pPr>
        <w:pStyle w:val="TextBody"/>
        <w:bidi w:val="0"/>
        <w:spacing w:lineRule="auto" w:line="285" w:before="0" w:after="240"/>
        <w:ind w:left="720" w:right="0" w:hanging="0"/>
        <w:jc w:val="both"/>
        <w:rPr>
          <w:rFonts w:ascii="Aptos" w:hAnsi="Aptos"/>
          <w:sz w:val="24"/>
        </w:rPr>
      </w:pPr>
      <w:r>
        <w:rPr>
          <w:rFonts w:ascii="Times New Roman;Times;serif" w:hAnsi="Times New Roman;Times;serif"/>
          <w:sz w:val="22"/>
        </w:rPr>
        <w:t>(ii)</w:t>
      </w:r>
      <w:r>
        <w:rPr>
          <w:rFonts w:ascii="Times New Roman;Times;serif" w:hAnsi="Times New Roman;Times;serif"/>
          <w:sz w:val="22"/>
          <w:u w:val="single"/>
        </w:rPr>
        <w:t>Refunding of Swing Loans</w:t>
      </w:r>
      <w:r>
        <w:rPr>
          <w:rFonts w:ascii="Times New Roman;Times;serif" w:hAnsi="Times New Roman;Times;serif"/>
          <w:sz w:val="22"/>
        </w:rPr>
        <w:t xml:space="preserve">.  If the Swing Line Lender so elects, by giving notice to Administrative Borrower and the Lenders, US Borrower agrees that the Swing Line Lender shall have the right, in its sole discretion, to require that any Swing Loan be refinanced as a Revolving Loan.  Such Revolving Loan shall be a Base Rate Loan unless otherwise requested by and available to US Borrower hereunder.  Upon receipt of such notice by Administrative Borrower and the Lenders, US Borrower shall be deemed, on such day, to have requested a Revolving Loan in the principal amount of the Swing Loan in accordance with </w:t>
      </w:r>
      <w:r>
        <w:rPr>
          <w:rFonts w:ascii="Times New Roman;Times;serif" w:hAnsi="Times New Roman;Times;serif"/>
          <w:sz w:val="22"/>
          <w:u w:val="single"/>
        </w:rPr>
        <w:t>Sections 2.2(a)</w:t>
      </w:r>
      <w:r>
        <w:rPr>
          <w:rFonts w:ascii="Aptos" w:hAnsi="Aptos"/>
          <w:sz w:val="24"/>
        </w:rPr>
        <w:t xml:space="preserve"> </w:t>
      </w:r>
      <w:r>
        <w:rPr>
          <w:rFonts w:ascii="Times New Roman;Times;serif" w:hAnsi="Times New Roman;Times;serif"/>
          <w:sz w:val="22"/>
        </w:rPr>
        <w:t xml:space="preserve">and </w:t>
      </w:r>
      <w:r>
        <w:rPr>
          <w:rFonts w:ascii="Times New Roman;Times;serif" w:hAnsi="Times New Roman;Times;serif"/>
          <w:sz w:val="22"/>
          <w:u w:val="single"/>
        </w:rPr>
        <w:t>2.5</w:t>
      </w:r>
      <w:r>
        <w:rPr>
          <w:rFonts w:ascii="Aptos" w:hAnsi="Aptos"/>
          <w:sz w:val="24"/>
        </w:rPr>
        <w:t xml:space="preserve"> </w:t>
      </w:r>
      <w:r>
        <w:rPr>
          <w:rFonts w:ascii="Times New Roman;Times;serif" w:hAnsi="Times New Roman;Times;serif"/>
          <w:sz w:val="22"/>
        </w:rPr>
        <w:t xml:space="preserve">hereof (other than the requirement set forth in </w:t>
      </w:r>
      <w:r>
        <w:rPr>
          <w:rFonts w:ascii="Times New Roman;Times;serif" w:hAnsi="Times New Roman;Times;serif"/>
          <w:sz w:val="22"/>
          <w:u w:val="single"/>
        </w:rPr>
        <w:t>Section 2.5(d)</w:t>
      </w:r>
      <w:r>
        <w:rPr>
          <w:rFonts w:ascii="Aptos" w:hAnsi="Aptos"/>
          <w:sz w:val="24"/>
        </w:rPr>
        <w:t xml:space="preserve"> </w:t>
      </w:r>
      <w:r>
        <w:rPr>
          <w:rFonts w:ascii="Times New Roman;Times;serif" w:hAnsi="Times New Roman;Times;serif"/>
          <w:sz w:val="22"/>
        </w:rPr>
        <w:t xml:space="preserve">hereof).  Such Revolving Loan shall be evidenced by US Borrower Revolving Credit Notes (or, if a Lender has not requested a US Borrower Revolving Credit Note, by the records of Agent and such Lender).  Each Lender agrees to make a Revolving Loan on the date of such notice, subject to no conditions precedent whatsoever.  Each Lender acknowledges and agrees that such Lender’s obligation to make a Revolving Loan pursuant to </w:t>
      </w:r>
      <w:r>
        <w:rPr>
          <w:rFonts w:ascii="Times New Roman;Times;serif" w:hAnsi="Times New Roman;Times;serif"/>
          <w:sz w:val="22"/>
          <w:u w:val="single"/>
        </w:rPr>
        <w:t>Section 2.2(a)</w:t>
      </w:r>
      <w:r>
        <w:rPr>
          <w:rFonts w:ascii="Aptos" w:hAnsi="Aptos"/>
          <w:sz w:val="24"/>
        </w:rPr>
        <w:t xml:space="preserve"> </w:t>
      </w:r>
      <w:r>
        <w:rPr>
          <w:rFonts w:ascii="Times New Roman;Times;serif" w:hAnsi="Times New Roman;Times;serif"/>
          <w:sz w:val="22"/>
        </w:rPr>
        <w:t xml:space="preserve">hereof when required by this </w:t>
      </w:r>
      <w:r>
        <w:rPr>
          <w:rFonts w:ascii="Times New Roman;Times;serif" w:hAnsi="Times New Roman;Times;serif"/>
          <w:sz w:val="22"/>
          <w:u w:val="single"/>
        </w:rPr>
        <w:t>Section 2.2(c)(ii)</w:t>
      </w:r>
      <w:r>
        <w:rPr>
          <w:rFonts w:ascii="Aptos" w:hAnsi="Aptos"/>
          <w:sz w:val="24"/>
        </w:rPr>
        <w:t xml:space="preserve"> </w:t>
      </w:r>
      <w:r>
        <w:rPr>
          <w:rFonts w:ascii="Times New Roman;Times;serif" w:hAnsi="Times New Roman;Times;serif"/>
          <w:sz w:val="22"/>
        </w:rPr>
        <w:t xml:space="preserve">is absolute and unconditional and shall not be affected by any circumstance whatsoever, including, without limitation, the occurrence and continuance of a Default or Event of Default, and that its payment to Agent, for the account of the Swing Line Lender, of the proceeds of such Revolving Loan shall be made without any offset, abatement, recoupment, counterclaim, withholding or reduction whatsoever and whether or not the Revolving Credit Commitment shall have been reduced or terminated.  US Borrower irrevocably authorizes and instructs Agent to apply the proceeds of any borrowing pursuant to this </w:t>
      </w:r>
      <w:r>
        <w:rPr>
          <w:rFonts w:ascii="Times New Roman;Times;serif" w:hAnsi="Times New Roman;Times;serif"/>
          <w:sz w:val="22"/>
          <w:u w:val="single"/>
        </w:rPr>
        <w:t>Section 2.2(c)(ii)</w:t>
      </w:r>
      <w:r>
        <w:rPr>
          <w:rFonts w:ascii="Aptos" w:hAnsi="Aptos"/>
          <w:sz w:val="24"/>
        </w:rPr>
        <w:t xml:space="preserve"> </w:t>
      </w:r>
      <w:r>
        <w:rPr>
          <w:rFonts w:ascii="Times New Roman;Times;serif" w:hAnsi="Times New Roman;Times;serif"/>
          <w:sz w:val="22"/>
        </w:rPr>
        <w:t>to repay in full such Swing Loan.  Each Lender is hereby authorized to record on its records relating to its US Borrower Revolving Credit Note (or, if such Lender has not requested a US Borrower Revolving Credit Note, its records relating to Revolving Loans) such Lender’s pro rata share of the amounts paid to refund such Swing Loan.</w:t>
      </w:r>
    </w:p>
    <w:p>
      <w:pPr>
        <w:pStyle w:val="TextBody"/>
        <w:bidi w:val="0"/>
        <w:spacing w:lineRule="auto" w:line="285" w:before="0" w:after="240"/>
        <w:ind w:left="720" w:right="0" w:hanging="0"/>
        <w:jc w:val="both"/>
        <w:rPr>
          <w:rFonts w:ascii="Aptos" w:hAnsi="Aptos"/>
          <w:sz w:val="24"/>
        </w:rPr>
      </w:pPr>
      <w:r>
        <w:rPr>
          <w:rFonts w:ascii="Times New Roman;Times;serif" w:hAnsi="Times New Roman;Times;serif"/>
          <w:sz w:val="22"/>
        </w:rPr>
        <w:t>(iii)</w:t>
      </w:r>
      <w:r>
        <w:rPr>
          <w:rFonts w:ascii="Times New Roman;Times;serif" w:hAnsi="Times New Roman;Times;serif"/>
          <w:sz w:val="22"/>
          <w:u w:val="single"/>
        </w:rPr>
        <w:t>Participation in Swing Loans</w:t>
      </w:r>
      <w:r>
        <w:rPr>
          <w:rFonts w:ascii="Times New Roman;Times;serif" w:hAnsi="Times New Roman;Times;serif"/>
          <w:sz w:val="22"/>
        </w:rPr>
        <w:t xml:space="preserve">.  If, for any reason, the Swing Line Lender is unable to or, in the opinion of Agent, it is impracticable to, convert any Swing Loan to a Revolving Loan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50</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720" w:right="0" w:hanging="0"/>
        <w:jc w:val="both"/>
        <w:rPr>
          <w:rFonts w:ascii="Aptos" w:hAnsi="Aptos"/>
          <w:sz w:val="24"/>
        </w:rPr>
      </w:pPr>
      <w:r>
        <w:rPr>
          <w:rFonts w:ascii="Times New Roman;Times;serif" w:hAnsi="Times New Roman;Times;serif"/>
          <w:sz w:val="22"/>
        </w:rPr>
        <w:t xml:space="preserve">pursuant to the preceding </w:t>
      </w:r>
      <w:r>
        <w:rPr>
          <w:rFonts w:ascii="Times New Roman;Times;serif" w:hAnsi="Times New Roman;Times;serif"/>
          <w:sz w:val="22"/>
          <w:u w:val="single"/>
        </w:rPr>
        <w:t>Section 2.2(c)(ii)</w:t>
      </w:r>
      <w:r>
        <w:rPr>
          <w:rFonts w:ascii="Times New Roman;Times;serif" w:hAnsi="Times New Roman;Times;serif"/>
          <w:sz w:val="22"/>
        </w:rPr>
        <w:t xml:space="preserve">, then on any day that a Swing Loan is outstanding (whether before or after the maturity thereof), Agent shall have the right to request that each Lender fund a participation in such Swing Loan, and Agent shall promptly notify each Lender thereof (by facsimile or telephone, confirmed in writing).  Upon such notice, but without further action, the Swing Line Lender hereby agrees to grant to each Lender, and each Lender hereby agrees to acquire from the Swing Line Lender, an undivided participation interest in the right to share in the payment of such Swing Loan in an amount equal to such Lender’s Commitment Percentage of the principal amount of such Swing Loan.  In consideration and in furtherance of the foregoing, each Lender hereby absolutely and unconditionally agrees, upon receipt of notice as provided above, to pay to Agent, for the benefit of the Swing Line Lender, such Lender’s ratable share of such Swing Loan (determined in accordance with such Lender’s Commitment Percentage).  Each Lender acknowledges and agrees that its obligation to acquire participations in Swing Loans pursuant to this </w:t>
      </w:r>
      <w:r>
        <w:rPr>
          <w:rFonts w:ascii="Times New Roman;Times;serif" w:hAnsi="Times New Roman;Times;serif"/>
          <w:sz w:val="22"/>
          <w:u w:val="single"/>
        </w:rPr>
        <w:t>Section 2.2(c)(iii)</w:t>
      </w:r>
      <w:r>
        <w:rPr>
          <w:rFonts w:ascii="Aptos" w:hAnsi="Aptos"/>
          <w:sz w:val="24"/>
        </w:rPr>
        <w:t xml:space="preserve"> </w:t>
      </w:r>
      <w:r>
        <w:rPr>
          <w:rFonts w:ascii="Times New Roman;Times;serif" w:hAnsi="Times New Roman;Times;serif"/>
          <w:sz w:val="22"/>
        </w:rPr>
        <w:t xml:space="preserve">is absolute and unconditional and shall not be affected by any circumstance whatsoever, including, without limitation, the occurrence and continuance of a Default or an Event of Default, and that each such payment shall be made without any offset, abatement, recoupment, counterclaim, withholding or reduction whatsoever and whether or not the Revolving Credit Commitment shall have been reduced or terminated.  Each Lender shall comply with its obligation under this </w:t>
      </w:r>
      <w:r>
        <w:rPr>
          <w:rFonts w:ascii="Times New Roman;Times;serif" w:hAnsi="Times New Roman;Times;serif"/>
          <w:sz w:val="22"/>
          <w:u w:val="single"/>
        </w:rPr>
        <w:t>Section 2.2(c)(iii)</w:t>
      </w:r>
      <w:r>
        <w:rPr>
          <w:rFonts w:ascii="Aptos" w:hAnsi="Aptos"/>
          <w:sz w:val="24"/>
        </w:rPr>
        <w:t xml:space="preserve"> </w:t>
      </w:r>
      <w:r>
        <w:rPr>
          <w:rFonts w:ascii="Times New Roman;Times;serif" w:hAnsi="Times New Roman;Times;serif"/>
          <w:sz w:val="22"/>
        </w:rPr>
        <w:t xml:space="preserve">by wire transfer of immediately available funds, in the same manner as provided in </w:t>
      </w:r>
      <w:r>
        <w:rPr>
          <w:rFonts w:ascii="Times New Roman;Times;serif" w:hAnsi="Times New Roman;Times;serif"/>
          <w:sz w:val="22"/>
          <w:u w:val="single"/>
        </w:rPr>
        <w:t>Section 2.5</w:t>
      </w:r>
      <w:r>
        <w:rPr>
          <w:rFonts w:ascii="Aptos" w:hAnsi="Aptos"/>
          <w:sz w:val="24"/>
        </w:rPr>
        <w:t xml:space="preserve"> </w:t>
      </w:r>
      <w:r>
        <w:rPr>
          <w:rFonts w:ascii="Times New Roman;Times;serif" w:hAnsi="Times New Roman;Times;serif"/>
          <w:sz w:val="22"/>
        </w:rPr>
        <w:t>hereof with respect to Revolving Loans to be made by such Lender.</w:t>
      </w:r>
    </w:p>
    <w:p>
      <w:pPr>
        <w:pStyle w:val="TextBody"/>
        <w:bidi w:val="0"/>
        <w:spacing w:lineRule="auto" w:line="285" w:before="0" w:after="0"/>
        <w:ind w:left="720" w:right="0" w:hanging="0"/>
        <w:jc w:val="both"/>
        <w:rPr>
          <w:rFonts w:ascii="Aptos" w:hAnsi="Aptos"/>
          <w:sz w:val="24"/>
        </w:rPr>
      </w:pPr>
      <w:r>
        <w:rPr>
          <w:rFonts w:ascii="Times New Roman;Times;serif" w:hAnsi="Times New Roman;Times;serif"/>
          <w:sz w:val="22"/>
        </w:rPr>
        <w:t>(iv)</w:t>
      </w:r>
      <w:r>
        <w:rPr>
          <w:rFonts w:ascii="Times New Roman;Times;serif" w:hAnsi="Times New Roman;Times;serif"/>
          <w:sz w:val="22"/>
          <w:u w:val="single"/>
        </w:rPr>
        <w:t>Defaulting Lenders</w:t>
      </w:r>
      <w:r>
        <w:rPr>
          <w:rFonts w:ascii="Times New Roman;Times;serif" w:hAnsi="Times New Roman;Times;serif"/>
          <w:sz w:val="22"/>
        </w:rPr>
        <w:t xml:space="preserve">.  Notwithstanding anything to the contrary contained in this Agreement, this </w:t>
      </w:r>
      <w:r>
        <w:rPr>
          <w:rFonts w:ascii="Times New Roman;Times;serif" w:hAnsi="Times New Roman;Times;serif"/>
          <w:sz w:val="22"/>
          <w:u w:val="single"/>
        </w:rPr>
        <w:t>Section 2.2(c)</w:t>
      </w:r>
      <w:r>
        <w:rPr>
          <w:rFonts w:ascii="Aptos" w:hAnsi="Aptos"/>
          <w:sz w:val="24"/>
        </w:rPr>
        <w:t xml:space="preserve"> </w:t>
      </w:r>
      <w:r>
        <w:rPr>
          <w:rFonts w:ascii="Times New Roman;Times;serif" w:hAnsi="Times New Roman;Times;serif"/>
          <w:sz w:val="22"/>
        </w:rPr>
        <w:t xml:space="preserve">shall be subject to the terms and conditions of </w:t>
      </w:r>
      <w:r>
        <w:rPr>
          <w:rFonts w:ascii="Times New Roman;Times;serif" w:hAnsi="Times New Roman;Times;serif"/>
          <w:sz w:val="22"/>
          <w:u w:val="single"/>
        </w:rPr>
        <w:t>Section 3.7</w:t>
      </w:r>
      <w:r>
        <w:rPr>
          <w:rFonts w:ascii="Aptos" w:hAnsi="Aptos"/>
          <w:sz w:val="24"/>
        </w:rPr>
        <w:t xml:space="preserve"> </w:t>
      </w:r>
      <w:r>
        <w:rPr>
          <w:rFonts w:ascii="Times New Roman;Times;serif" w:hAnsi="Times New Roman;Times;serif"/>
          <w:sz w:val="22"/>
        </w:rPr>
        <w:t xml:space="preserve">and </w:t>
      </w:r>
      <w:r>
        <w:rPr>
          <w:rFonts w:ascii="Times New Roman;Times;serif" w:hAnsi="Times New Roman;Times;serif"/>
          <w:sz w:val="22"/>
          <w:u w:val="single"/>
        </w:rPr>
        <w:t>Section 3.8</w:t>
      </w:r>
      <w:r>
        <w:rPr>
          <w:rFonts w:ascii="Aptos" w:hAnsi="Aptos"/>
          <w:sz w:val="24"/>
        </w:rPr>
        <w:t xml:space="preserve"> </w:t>
      </w:r>
      <w:r>
        <w:rPr>
          <w:rFonts w:ascii="Times New Roman;Times;serif" w:hAnsi="Times New Roman;Times;serif"/>
          <w:sz w:val="22"/>
        </w:rPr>
        <w:t>hereof.</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2.3</w:t>
      </w:r>
      <w:bookmarkStart w:id="1813" w:name="_Toc236844301"/>
      <w:bookmarkStart w:id="1814" w:name="_Toc172896646"/>
      <w:bookmarkEnd w:id="1813"/>
      <w:bookmarkEnd w:id="1814"/>
      <w:r>
        <w:rPr>
          <w:rFonts w:ascii="Times New Roman;Times;serif" w:hAnsi="Times New Roman;Times;serif"/>
          <w:sz w:val="22"/>
          <w:u w:val="single"/>
        </w:rPr>
        <w:t>Interest</w:t>
      </w:r>
      <w:r>
        <w:rPr>
          <w:rFonts w:ascii="Times New Roman;Times;serif" w:hAnsi="Times New Roman;Times;serif"/>
          <w:sz w:val="22"/>
        </w:rPr>
        <w:t>.</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(a)Revolving Loans.</w:t>
      </w:r>
    </w:p>
    <w:p>
      <w:pPr>
        <w:pStyle w:val="TextBody"/>
        <w:bidi w:val="0"/>
        <w:spacing w:lineRule="auto" w:line="285" w:before="0" w:after="240"/>
        <w:ind w:left="720" w:right="0" w:hanging="0"/>
        <w:jc w:val="both"/>
        <w:rPr>
          <w:rFonts w:ascii="Aptos" w:hAnsi="Aptos"/>
          <w:sz w:val="24"/>
        </w:rPr>
      </w:pPr>
      <w:r>
        <w:rPr>
          <w:rFonts w:ascii="Times New Roman;Times;serif" w:hAnsi="Times New Roman;Times;serif"/>
          <w:sz w:val="22"/>
        </w:rPr>
        <w:t>(i)</w:t>
      </w:r>
      <w:r>
        <w:rPr>
          <w:rFonts w:ascii="Times New Roman;Times;serif" w:hAnsi="Times New Roman;Times;serif"/>
          <w:sz w:val="22"/>
          <w:u w:val="single"/>
        </w:rPr>
        <w:t>Base Rate Loan</w:t>
      </w:r>
      <w:r>
        <w:rPr>
          <w:rFonts w:ascii="Times New Roman;Times;serif" w:hAnsi="Times New Roman;Times;serif"/>
          <w:sz w:val="22"/>
        </w:rPr>
        <w:t xml:space="preserve">.  The appropriate Borrower or Borrowers shall pay interest on the unpaid principal amount of a Base Rate Loan outstanding from time to time from the date thereof until paid at the Base Rate </w:t>
      </w:r>
      <w:r>
        <w:rPr>
          <w:rFonts w:ascii="Times New Roman;Times;serif" w:hAnsi="Times New Roman;Times;serif"/>
          <w:sz w:val="22"/>
          <w:u w:val="single"/>
        </w:rPr>
        <w:t>plus</w:t>
      </w:r>
      <w:r>
        <w:rPr>
          <w:rFonts w:ascii="Aptos" w:hAnsi="Aptos"/>
          <w:sz w:val="24"/>
        </w:rPr>
        <w:t xml:space="preserve"> </w:t>
      </w:r>
      <w:r>
        <w:rPr>
          <w:rFonts w:ascii="Times New Roman;Times;serif" w:hAnsi="Times New Roman;Times;serif"/>
          <w:sz w:val="22"/>
        </w:rPr>
        <w:t>the Applicable Margin for Base Rate Loans from time to time in effect.  Interest on such Base Rate Loan shall be payable on each Regularly Scheduled Payment Date thereafter and at the maturity thereof.</w:t>
      </w:r>
    </w:p>
    <w:p>
      <w:pPr>
        <w:pStyle w:val="TextBody"/>
        <w:bidi w:val="0"/>
        <w:spacing w:lineRule="auto" w:line="285" w:before="0" w:after="240"/>
        <w:ind w:left="720" w:right="0" w:hanging="0"/>
        <w:jc w:val="both"/>
        <w:rPr>
          <w:rFonts w:ascii="Aptos" w:hAnsi="Aptos"/>
          <w:sz w:val="24"/>
        </w:rPr>
      </w:pPr>
      <w:r>
        <w:rPr>
          <w:rFonts w:ascii="Times New Roman;Times;serif" w:hAnsi="Times New Roman;Times;serif"/>
          <w:sz w:val="22"/>
        </w:rPr>
        <w:t>(ii)</w:t>
      </w:r>
      <w:r>
        <w:rPr>
          <w:rFonts w:ascii="Times New Roman;Times;serif" w:hAnsi="Times New Roman;Times;serif"/>
          <w:sz w:val="22"/>
          <w:u w:val="single"/>
        </w:rPr>
        <w:t>Eurodollar Fixed Rate Loans</w:t>
      </w:r>
      <w:r>
        <w:rPr>
          <w:rFonts w:ascii="Times New Roman;Times;serif" w:hAnsi="Times New Roman;Times;serif"/>
          <w:sz w:val="22"/>
        </w:rPr>
        <w:t>.  The appropriate Borrower or Borrowers shall pay interest on the unpaid principal amount of each Eurodollar Fixed Rate Loan outstanding from time to time, fixed in advance on the first day of the Interest Period applicable thereto through the last day of the Interest Period applicable thereto (but subject to changes in the Applicable Margin for Eurodollar Fixed Rate Loans), at the Eurodollar Rate plus the Applicable Margin for Eurodollar Fixed Rate Loans.  Interest on such Eurodollar Fixed Rate Loan shall be payable on each Interest Adjustment Date with respect to an Interest Period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that if an Interest Period shall exceed three months, the interest must be paid every three months, commencing three months from the beginning of such Interest Period).</w:t>
      </w:r>
    </w:p>
    <w:p>
      <w:pPr>
        <w:pStyle w:val="TextBody"/>
        <w:bidi w:val="0"/>
        <w:spacing w:lineRule="auto" w:line="285" w:before="0" w:after="240"/>
        <w:ind w:left="720" w:right="0" w:hanging="0"/>
        <w:jc w:val="both"/>
        <w:rPr>
          <w:rFonts w:ascii="Aptos" w:hAnsi="Aptos"/>
          <w:sz w:val="24"/>
        </w:rPr>
      </w:pPr>
      <w:r>
        <w:rPr>
          <w:rFonts w:ascii="Times New Roman;Times;serif" w:hAnsi="Times New Roman;Times;serif"/>
          <w:sz w:val="22"/>
        </w:rPr>
        <w:t>(iii)</w:t>
      </w:r>
      <w:r>
        <w:rPr>
          <w:rFonts w:ascii="Times New Roman;Times;serif" w:hAnsi="Times New Roman;Times;serif"/>
          <w:sz w:val="22"/>
          <w:u w:val="single"/>
        </w:rPr>
        <w:t>Initial RFR Loans (GBP)</w:t>
      </w:r>
      <w:r>
        <w:rPr>
          <w:rFonts w:ascii="Times New Roman;Times;serif" w:hAnsi="Times New Roman;Times;serif"/>
          <w:sz w:val="22"/>
        </w:rPr>
        <w:t>.  The appropriate Borrower or Borrowers shall pay interest on the unpaid principal amount of an Initial RFR Loan (GBP) outstanding from time to time from the date thereof until paid at:</w:t>
      </w:r>
    </w:p>
    <w:p>
      <w:pPr>
        <w:pStyle w:val="TextBody"/>
        <w:bidi w:val="0"/>
        <w:spacing w:lineRule="auto" w:line="285" w:before="0" w:after="240"/>
        <w:ind w:left="1440" w:right="0" w:hanging="0"/>
        <w:jc w:val="both"/>
        <w:rPr>
          <w:rFonts w:ascii="Aptos" w:hAnsi="Aptos"/>
          <w:sz w:val="24"/>
        </w:rPr>
      </w:pPr>
      <w:r>
        <w:rPr>
          <w:rFonts w:ascii="Times New Roman;Times;serif" w:hAnsi="Times New Roman;Times;serif"/>
          <w:sz w:val="24"/>
        </w:rPr>
        <w:t>(A)</w:t>
      </w:r>
      <w:r>
        <w:rPr>
          <w:rFonts w:ascii="Times New Roman;Times;serif" w:hAnsi="Times New Roman;Times;serif"/>
          <w:sz w:val="22"/>
        </w:rPr>
        <w:t xml:space="preserve">prior to the Term RFR Transition Date, Daily Simple RFR with respect to Sterling </w:t>
      </w:r>
      <w:r>
        <w:rPr>
          <w:rFonts w:ascii="Times New Roman;Times;serif" w:hAnsi="Times New Roman;Times;serif"/>
          <w:sz w:val="22"/>
          <w:u w:val="single"/>
        </w:rPr>
        <w:t>plus</w:t>
      </w:r>
      <w:r>
        <w:rPr>
          <w:rFonts w:ascii="Aptos" w:hAnsi="Aptos"/>
          <w:sz w:val="24"/>
        </w:rPr>
        <w:t xml:space="preserve"> </w:t>
      </w:r>
      <w:r>
        <w:rPr>
          <w:rFonts w:ascii="Times New Roman;Times;serif" w:hAnsi="Times New Roman;Times;serif"/>
          <w:sz w:val="22"/>
        </w:rPr>
        <w:t>the Applicable Margin for Initial RFR Loans (GBP) from time to time in effect; and</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51</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ind w:left="1440" w:right="0" w:hanging="0"/>
        <w:jc w:val="both"/>
        <w:rPr>
          <w:rFonts w:ascii="Aptos" w:hAnsi="Aptos"/>
          <w:sz w:val="24"/>
        </w:rPr>
      </w:pPr>
      <w:r>
        <w:rPr>
          <w:rFonts w:ascii="Times New Roman;Times;serif" w:hAnsi="Times New Roman;Times;serif"/>
          <w:sz w:val="24"/>
        </w:rPr>
        <w:t>(B)</w:t>
      </w:r>
      <w:r>
        <w:rPr>
          <w:rFonts w:ascii="Times New Roman;Times;serif" w:hAnsi="Times New Roman;Times;serif"/>
          <w:sz w:val="22"/>
        </w:rPr>
        <w:t xml:space="preserve">on or after the Term RFR Transition Date, Term RFR with respect to Sterling </w:t>
      </w:r>
      <w:r>
        <w:rPr>
          <w:rFonts w:ascii="Times New Roman;Times;serif" w:hAnsi="Times New Roman;Times;serif"/>
          <w:sz w:val="22"/>
          <w:u w:val="single"/>
        </w:rPr>
        <w:t>plus</w:t>
      </w:r>
      <w:r>
        <w:rPr>
          <w:rFonts w:ascii="Aptos" w:hAnsi="Aptos"/>
          <w:sz w:val="24"/>
        </w:rPr>
        <w:t xml:space="preserve"> </w:t>
      </w:r>
      <w:r>
        <w:rPr>
          <w:rFonts w:ascii="Times New Roman;Times;serif" w:hAnsi="Times New Roman;Times;serif"/>
          <w:sz w:val="22"/>
        </w:rPr>
        <w:t>the Applicable Margin for Initial RFR Loans (GBP) from time to time in effect.</w:t>
      </w:r>
    </w:p>
    <w:p>
      <w:pPr>
        <w:pStyle w:val="TextBody"/>
        <w:bidi w:val="0"/>
        <w:spacing w:lineRule="auto" w:line="285" w:before="0" w:after="240"/>
        <w:ind w:left="1440" w:right="0" w:hanging="0"/>
        <w:jc w:val="both"/>
        <w:rPr>
          <w:rFonts w:ascii="Times New Roman;Times;serif" w:hAnsi="Times New Roman;Times;serif"/>
          <w:sz w:val="22"/>
        </w:rPr>
      </w:pPr>
      <w:r>
        <w:rPr>
          <w:rFonts w:ascii="Times New Roman;Times;serif" w:hAnsi="Times New Roman;Times;serif"/>
          <w:sz w:val="22"/>
        </w:rPr>
        <w:t>Interest on Daily Simple RFR Loans shall be payable on each Regularly Scheduled Payment Date thereafter and at the maturity thereof.  Interest on Term RFR Loans shall be payable on each Interest Adjustment Date with respect to an Interest Period (provided that if an Interest Period shall exceed three months, the interest must be paid every three months, commencing three months from the beginning of such Interest Period).</w:t>
      </w:r>
    </w:p>
    <w:p>
      <w:pPr>
        <w:pStyle w:val="TextBody"/>
        <w:bidi w:val="0"/>
        <w:spacing w:lineRule="auto" w:line="285" w:before="0" w:after="0"/>
        <w:ind w:left="720" w:right="0" w:hanging="0"/>
        <w:jc w:val="both"/>
        <w:rPr>
          <w:rFonts w:ascii="Aptos" w:hAnsi="Aptos"/>
          <w:sz w:val="24"/>
        </w:rPr>
      </w:pPr>
      <w:r>
        <w:rPr>
          <w:rFonts w:ascii="Times New Roman;Times;serif" w:hAnsi="Times New Roman;Times;serif"/>
          <w:sz w:val="22"/>
        </w:rPr>
        <w:t>(iv)</w:t>
      </w:r>
      <w:r>
        <w:rPr>
          <w:rFonts w:ascii="Times New Roman;Times;serif" w:hAnsi="Times New Roman;Times;serif"/>
          <w:sz w:val="22"/>
          <w:u w:val="single"/>
        </w:rPr>
        <w:t>Term RFR Loans in Dollars</w:t>
      </w:r>
      <w:r>
        <w:rPr>
          <w:rFonts w:ascii="Times New Roman;Times;serif" w:hAnsi="Times New Roman;Times;serif"/>
          <w:sz w:val="22"/>
        </w:rPr>
        <w:t xml:space="preserve">.  The appropriate Borrower or Borrowers shall pay interest on the unpaid principal amount of a Term RFR Loan in Dollars outstanding from time to time from the date thereof until paid at Spread Adjusted Term SOFR </w:t>
      </w:r>
      <w:r>
        <w:rPr>
          <w:rFonts w:ascii="Times New Roman;Times;serif" w:hAnsi="Times New Roman;Times;serif"/>
          <w:sz w:val="22"/>
          <w:u w:val="single"/>
        </w:rPr>
        <w:t>plus</w:t>
      </w:r>
      <w:r>
        <w:rPr>
          <w:rFonts w:ascii="Aptos" w:hAnsi="Aptos"/>
          <w:sz w:val="24"/>
        </w:rPr>
        <w:t xml:space="preserve"> </w:t>
      </w:r>
      <w:r>
        <w:rPr>
          <w:rFonts w:ascii="Times New Roman;Times;serif" w:hAnsi="Times New Roman;Times;serif"/>
          <w:sz w:val="22"/>
        </w:rPr>
        <w:t>the Applicable Margin for Transitioned RFR Loans. Interest on such Term RFR Loans shall be payable on each Interest Adjustment Date with respect to an Interest Period (provided that if an Interest Period shall exceed three months, the interest must be paid every three months, commencing three months from the beginning of such Interest Period).</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(b)</w:t>
      </w:r>
      <w:r>
        <w:rPr>
          <w:rFonts w:ascii="Times New Roman;Times;serif" w:hAnsi="Times New Roman;Times;serif"/>
          <w:sz w:val="22"/>
          <w:u w:val="single"/>
        </w:rPr>
        <w:t>Swing Loans</w:t>
      </w:r>
      <w:r>
        <w:rPr>
          <w:rFonts w:ascii="Times New Roman;Times;serif" w:hAnsi="Times New Roman;Times;serif"/>
          <w:sz w:val="22"/>
        </w:rPr>
        <w:t>.  US Borrower shall pay interest to Agent, for the sole benefit of the Swing Line Lender (and any Lender that shall have purchased a participation in such Swing Loan), on the unpaid principal amount of each Swing Loan outstanding from time to time from the date thereof until paid at the Base Rate plus the Applicable Margin for Base Rate Loans from time to time in effect.  Interest on each Swing Loan shall be payable on the Swing Loan Maturity Date applicable thereto.  Each Swing Loan shall bear interest for a minimum of one day.</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(c)</w:t>
      </w:r>
      <w:r>
        <w:rPr>
          <w:rFonts w:ascii="Times New Roman;Times;serif" w:hAnsi="Times New Roman;Times;serif"/>
          <w:sz w:val="22"/>
          <w:u w:val="single"/>
        </w:rPr>
        <w:t>Default Rate</w:t>
      </w:r>
      <w:r>
        <w:rPr>
          <w:rFonts w:ascii="Times New Roman;Times;serif" w:hAnsi="Times New Roman;Times;serif"/>
          <w:sz w:val="22"/>
        </w:rPr>
        <w:t xml:space="preserve">.  Anything herein to the contrary notwithstanding, if an Event of Default shall occur under Section </w:t>
      </w:r>
      <w:r>
        <w:rPr>
          <w:rFonts w:ascii="Times New Roman;Times;serif" w:hAnsi="Times New Roman;Times;serif"/>
          <w:sz w:val="22"/>
          <w:u w:val="single"/>
        </w:rPr>
        <w:t>7.1</w:t>
      </w:r>
      <w:r>
        <w:rPr>
          <w:rFonts w:ascii="Aptos" w:hAnsi="Aptos"/>
          <w:sz w:val="24"/>
        </w:rPr>
        <w:t xml:space="preserve"> </w:t>
      </w:r>
      <w:r>
        <w:rPr>
          <w:rFonts w:ascii="Times New Roman;Times;serif" w:hAnsi="Times New Roman;Times;serif"/>
          <w:sz w:val="22"/>
        </w:rPr>
        <w:t xml:space="preserve">or </w:t>
      </w:r>
      <w:r>
        <w:rPr>
          <w:rFonts w:ascii="Times New Roman;Times;serif" w:hAnsi="Times New Roman;Times;serif"/>
          <w:sz w:val="22"/>
          <w:u w:val="single"/>
        </w:rPr>
        <w:t>7.11</w:t>
      </w:r>
      <w:r>
        <w:rPr>
          <w:rFonts w:ascii="Aptos" w:hAnsi="Aptos"/>
          <w:sz w:val="24"/>
        </w:rPr>
        <w:t xml:space="preserve"> </w:t>
      </w:r>
      <w:r>
        <w:rPr>
          <w:rFonts w:ascii="Times New Roman;Times;serif" w:hAnsi="Times New Roman;Times;serif"/>
          <w:sz w:val="22"/>
        </w:rPr>
        <w:t>hereof, (i) the overdue principal and the unpaid interest thereon shall bear interest, until paid, at the Default Rate and (ii) in the case of any other amount not paid when due from Borrowers hereunder or under any other Loan Document, such amount shall bear interest at the Default Rate.</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(d)Limitation on Interest.</w:t>
      </w:r>
    </w:p>
    <w:p>
      <w:pPr>
        <w:pStyle w:val="TextBody"/>
        <w:bidi w:val="0"/>
        <w:spacing w:lineRule="auto" w:line="285" w:before="0" w:after="240"/>
        <w:ind w:left="720" w:right="0" w:hanging="0"/>
        <w:jc w:val="both"/>
        <w:rPr>
          <w:rFonts w:ascii="Aptos" w:hAnsi="Aptos"/>
          <w:sz w:val="24"/>
        </w:rPr>
      </w:pPr>
      <w:r>
        <w:rPr>
          <w:rFonts w:ascii="Times New Roman;Times;serif" w:hAnsi="Times New Roman;Times;serif"/>
          <w:sz w:val="22"/>
        </w:rPr>
        <w:t>(i)</w:t>
      </w:r>
      <w:r>
        <w:rPr>
          <w:rFonts w:ascii="Times New Roman;Times;serif" w:hAnsi="Times New Roman;Times;serif"/>
          <w:sz w:val="22"/>
          <w:u w:val="single"/>
        </w:rPr>
        <w:t>Generally</w:t>
      </w:r>
      <w:r>
        <w:rPr>
          <w:rFonts w:ascii="Times New Roman;Times;serif" w:hAnsi="Times New Roman;Times;serif"/>
          <w:sz w:val="22"/>
        </w:rPr>
        <w:t>.  In no event shall the rate of interest hereunder exceed the maximum rate allowable by law.  Notwithstanding anything to the contrary contained in any Loan Document, the interest paid or agreed to be paid under the Loan Documents shall not exceed the maximum rate of non-usurious interest permitted by applicable law (the “</w:t>
      </w:r>
      <w:r>
        <w:rPr>
          <w:rFonts w:ascii="Times New Roman;Times;serif" w:hAnsi="Times New Roman;Times;serif"/>
          <w:sz w:val="22"/>
          <w:u w:val="single"/>
        </w:rPr>
        <w:t>Maximum Rate</w:t>
      </w:r>
      <w:r>
        <w:rPr>
          <w:rFonts w:ascii="Aptos" w:hAnsi="Aptos"/>
          <w:sz w:val="24"/>
        </w:rPr>
        <w:t>”</w:t>
      </w:r>
      <w:r>
        <w:rPr>
          <w:rFonts w:ascii="Times New Roman;Times;serif" w:hAnsi="Times New Roman;Times;serif"/>
          <w:sz w:val="22"/>
        </w:rPr>
        <w:t>).  If Agent or any Lender shall receive interest in an amount that exceeds the Maximum Rate, the excess interest shall be applied to the principal of the Loans or, if it exceeds such unpaid principal, refunded to the Administrative Borrower for distribution to Borrowers, as appropriate.  In determining whether the interest contracted for, charged, or received by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w:t>
      </w:r>
    </w:p>
    <w:p>
      <w:pPr>
        <w:pStyle w:val="TextBody"/>
        <w:bidi w:val="0"/>
        <w:spacing w:lineRule="auto" w:line="285"/>
        <w:ind w:left="720" w:right="0" w:hanging="0"/>
        <w:jc w:val="both"/>
        <w:rPr>
          <w:rFonts w:ascii="Aptos" w:hAnsi="Aptos"/>
          <w:sz w:val="24"/>
        </w:rPr>
      </w:pPr>
      <w:r>
        <w:rPr>
          <w:rFonts w:ascii="Times New Roman;Times;serif" w:hAnsi="Times New Roman;Times;serif"/>
          <w:sz w:val="22"/>
        </w:rPr>
        <w:t>(ii)</w:t>
      </w:r>
      <w:r>
        <w:rPr>
          <w:rFonts w:ascii="Times New Roman;Times;serif" w:hAnsi="Times New Roman;Times;serif"/>
          <w:sz w:val="22"/>
          <w:u w:val="single"/>
        </w:rPr>
        <w:t>Foreign Jurisdiction Interest</w:t>
      </w:r>
      <w:r>
        <w:rPr>
          <w:rFonts w:ascii="Times New Roman;Times;serif" w:hAnsi="Times New Roman;Times;serif"/>
          <w:sz w:val="22"/>
        </w:rPr>
        <w:t xml:space="preserve">.  If any provision of this Agreement or any other Loan Document would obligate any Foreign Borrower to make any payment of interest or other amount payable to (including for the account of) any Lender in an amount, or calculated at a rate, that would be prohibited by law or would result in a receipt by such Lender of interest at a criminal rate then, notwithstanding such provision, such amount or rate shall be deemed to have been adjusted with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52</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0"/>
        <w:ind w:left="720" w:right="0" w:hanging="0"/>
        <w:jc w:val="both"/>
        <w:rPr>
          <w:rFonts w:ascii="Aptos" w:hAnsi="Aptos"/>
          <w:sz w:val="24"/>
        </w:rPr>
      </w:pPr>
      <w:r>
        <w:rPr>
          <w:rFonts w:ascii="Times New Roman;Times;serif" w:hAnsi="Times New Roman;Times;serif"/>
          <w:sz w:val="22"/>
        </w:rPr>
        <w:t xml:space="preserve">retroactive effect to the maximum amount or rate of interest, as the case may be, as would not be so prohibited by law or so result in a receipt by such Lender of interest at a criminal rate, such adjustment to be effected, to the extent necessary, as follows:  (A) first, by reducing the amount or rate of interest required to be paid to such Lender under this </w:t>
      </w:r>
      <w:r>
        <w:rPr>
          <w:rFonts w:ascii="Times New Roman;Times;serif" w:hAnsi="Times New Roman;Times;serif"/>
          <w:sz w:val="22"/>
          <w:u w:val="single"/>
        </w:rPr>
        <w:t>Article II</w:t>
      </w:r>
      <w:r>
        <w:rPr>
          <w:rFonts w:ascii="Times New Roman;Times;serif" w:hAnsi="Times New Roman;Times;serif"/>
          <w:sz w:val="22"/>
        </w:rPr>
        <w:t xml:space="preserve">; and (B) thereafter, by reducing any fees, commissions, premiums and other amounts required to be paid to such Lender that would constitute interest for purposes of the applicable statute.  Notwithstanding the foregoing, and after giving effect to all adjustments contemplated thereby, if a Lender shall have received an amount in excess of the maximum amount permitted by such statute, then the Lender shall pay an amount equal to such excess to such Foreign Borrower.  Any amount or rate of interest referred to in this </w:t>
      </w:r>
      <w:r>
        <w:rPr>
          <w:rFonts w:ascii="Times New Roman;Times;serif" w:hAnsi="Times New Roman;Times;serif"/>
          <w:sz w:val="22"/>
          <w:u w:val="single"/>
        </w:rPr>
        <w:t>Article II</w:t>
      </w:r>
      <w:r>
        <w:rPr>
          <w:rFonts w:ascii="Aptos" w:hAnsi="Aptos"/>
          <w:sz w:val="24"/>
        </w:rPr>
        <w:t xml:space="preserve"> </w:t>
      </w:r>
      <w:r>
        <w:rPr>
          <w:rFonts w:ascii="Times New Roman;Times;serif" w:hAnsi="Times New Roman;Times;serif"/>
          <w:sz w:val="22"/>
        </w:rPr>
        <w:t>with respect to the foreign extensions of credit shall be determined in accordance with generally accepted actuarial practices and principles as an effective annual rate of interest over the term that such extensions of credit remain outstanding on the assumption that any charges, fees or expenses that fall within the meaning of “interest” shall, if they relate to a specific period of time, be pro-rated over that period of time and otherwise be pro-rated over the Commitment Period and, in the event of a dispute, a certificate of an actuary appointed by Agent (and reasonably acceptable to US Borrower) shall be conclusive for the purposes of such determination.</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2.4</w:t>
      </w:r>
      <w:bookmarkStart w:id="1815" w:name="_Toc236844302"/>
      <w:bookmarkStart w:id="1816" w:name="_Toc172896647"/>
      <w:bookmarkEnd w:id="1815"/>
      <w:bookmarkEnd w:id="1816"/>
      <w:r>
        <w:rPr>
          <w:rFonts w:ascii="Times New Roman;Times;serif" w:hAnsi="Times New Roman;Times;serif"/>
          <w:sz w:val="22"/>
          <w:u w:val="single"/>
        </w:rPr>
        <w:t>Evidence of Indebtedness</w:t>
      </w:r>
      <w:r>
        <w:rPr>
          <w:rFonts w:ascii="Times New Roman;Times;serif" w:hAnsi="Times New Roman;Times;serif"/>
          <w:sz w:val="22"/>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(a)</w:t>
      </w:r>
      <w:r>
        <w:rPr>
          <w:rFonts w:ascii="Times New Roman;Times;serif" w:hAnsi="Times New Roman;Times;serif"/>
          <w:sz w:val="22"/>
          <w:u w:val="single"/>
        </w:rPr>
        <w:t>US Borrower Revolving Loans</w:t>
      </w:r>
      <w:r>
        <w:rPr>
          <w:rFonts w:ascii="Times New Roman;Times;serif" w:hAnsi="Times New Roman;Times;serif"/>
          <w:sz w:val="22"/>
        </w:rPr>
        <w:t xml:space="preserve">.  Upon the request of a Lender, to evidence the obligation of US Borrower to repay the Revolving Loans made by such Lender and to pay interest thereon, US Borrower shall execute a US Borrower Revolving Credit Note, payable to the order of such Lender in the principal amount equal to its Commitment Percentage of the Revolving Credit Commitment, or, if less, the aggregate unpaid principal amount of Revolving Loans made by such Lender;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that the failure of a Lender to request a US Borrower Revolving Credit Note shall in no way detract from US Borrower’s obligations to such Lender hereunder.</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(b)</w:t>
      </w:r>
      <w:r>
        <w:rPr>
          <w:rFonts w:ascii="Times New Roman;Times;serif" w:hAnsi="Times New Roman;Times;serif"/>
          <w:sz w:val="22"/>
          <w:u w:val="single"/>
        </w:rPr>
        <w:t>Foreign Borrower Revolving Loans</w:t>
      </w:r>
      <w:r>
        <w:rPr>
          <w:rFonts w:ascii="Times New Roman;Times;serif" w:hAnsi="Times New Roman;Times;serif"/>
          <w:sz w:val="22"/>
        </w:rPr>
        <w:t xml:space="preserve">.  Upon the request of a Lender, to evidence the obligation of each Foreign Borrower to repay the Revolving Loans made by such Lender to such Foreign Borrower and to pay interest thereon, each such Foreign Borrower shall execute a Foreign Borrower Revolving Credit Note, payable to the order of such Lender in the principal amount equal to its Commitment Percentage of the Revolving Credit Commitment, or, if less, the aggregate unpaid principal amount of Revolving Loans made by such Lender to such Foreign Borrower;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that the failure of a Lender to request a Foreign Borrower Revolving Credit Note shall in no way detract from such Foreign Borrower’s obligations to such Lender hereunder.</w:t>
      </w:r>
    </w:p>
    <w:p>
      <w:pPr>
        <w:pStyle w:val="TextBody"/>
        <w:bidi w:val="0"/>
        <w:spacing w:lineRule="auto" w:line="285" w:before="0" w:after="0"/>
        <w:ind w:left="0" w:right="0" w:hanging="0"/>
        <w:jc w:val="both"/>
        <w:rPr>
          <w:rFonts w:ascii="Aptos" w:hAnsi="Aptos"/>
          <w:sz w:val="24"/>
        </w:rPr>
      </w:pPr>
      <w:r>
        <w:rPr>
          <w:rFonts w:ascii="Times New Roman;Times;serif" w:hAnsi="Times New Roman;Times;serif"/>
          <w:sz w:val="22"/>
        </w:rPr>
        <w:t>(c)</w:t>
      </w:r>
      <w:r>
        <w:rPr>
          <w:rFonts w:ascii="Times New Roman;Times;serif" w:hAnsi="Times New Roman;Times;serif"/>
          <w:sz w:val="22"/>
          <w:u w:val="single"/>
        </w:rPr>
        <w:t>Swing Loans</w:t>
      </w:r>
      <w:r>
        <w:rPr>
          <w:rFonts w:ascii="Times New Roman;Times;serif" w:hAnsi="Times New Roman;Times;serif"/>
          <w:sz w:val="22"/>
        </w:rPr>
        <w:t xml:space="preserve">.  Upon the request of the Swing Line Lender, to evidence the obligation of US Borrower to repay the Swing Loans and to pay interest thereon, US Borrower shall execute a Swing Line Note, payable to the order of the Swing Line Lender in the principal amount of the Swing Line Commitment, or, if less, the aggregate unpaid principal amount of Swing Loans made by the Swing Line Lender;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that the failure of the Swing Line Lender to request a Swing Line Note shall in no way detract from US Borrower’s obligations to the Swing Line Lender hereunder.</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2.5</w:t>
      </w:r>
      <w:bookmarkStart w:id="1817" w:name="_Toc236844303"/>
      <w:bookmarkStart w:id="1818" w:name="_Toc172896648"/>
      <w:bookmarkEnd w:id="1817"/>
      <w:bookmarkEnd w:id="1818"/>
      <w:r>
        <w:rPr>
          <w:rFonts w:ascii="Times New Roman;Times;serif" w:hAnsi="Times New Roman;Times;serif"/>
          <w:sz w:val="22"/>
          <w:u w:val="single"/>
        </w:rPr>
        <w:t>Notice of Credit Event; Funding of Loans</w:t>
      </w:r>
      <w:r>
        <w:rPr>
          <w:rFonts w:ascii="Times New Roman;Times;serif" w:hAnsi="Times New Roman;Times;serif"/>
          <w:sz w:val="22"/>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(a)</w:t>
      </w:r>
      <w:r>
        <w:rPr>
          <w:rFonts w:ascii="Times New Roman;Times;serif" w:hAnsi="Times New Roman;Times;serif"/>
          <w:sz w:val="22"/>
          <w:u w:val="single"/>
        </w:rPr>
        <w:t>Notice of Credit Event</w:t>
      </w:r>
      <w:r>
        <w:rPr>
          <w:rFonts w:ascii="Times New Roman;Times;serif" w:hAnsi="Times New Roman;Times;serif"/>
          <w:sz w:val="22"/>
        </w:rPr>
        <w:t>.  Administrative Borrower, through an Authorized Officer, shall provide to Agent a Notice of Loan prior to (i) 1:00 P.M. (Eastern time) on the proposed date of borrowing of, or conversion of a Loan to, a Base Rate Loan, (ii) 2:00 P.M. (Eastern time)</w:t>
      </w:r>
      <w:r>
        <w:rPr>
          <w:rFonts w:ascii="Aptos" w:hAnsi="Aptos"/>
          <w:sz w:val="24"/>
        </w:rPr>
        <w:t xml:space="preserve"> </w:t>
      </w:r>
      <w:r>
        <w:rPr>
          <w:rFonts w:ascii="Times New Roman;Times;serif" w:hAnsi="Times New Roman;Times;serif"/>
          <w:sz w:val="22"/>
        </w:rPr>
        <w:t xml:space="preserve">(A) in the case of an RFR Loan (other than a Daily Simple RFR Loan) denominated in Dollars, at least two RFR Business Days before such RFR Loan, (B) in the case of a Daily Simple RFR Loan denominated in Dollars, at least five RFR Business Days, (C) in the case of a Eurodollar Fixed Rate Loan denominated in Dollars, at least two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53</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Eurodollar Banking Days before such Eurodollar Fixed Rate Loan, (D) in the case of an RFR Loan denominated in any Alternate Currency, at least five RFR Business Days before such RFR Loan, and (E) in the case of a Eurodollar Fixed Rate Loan denominated in any Alternate Currency, at least</w:t>
      </w:r>
      <w:r>
        <w:rPr>
          <w:rFonts w:ascii="Aptos" w:hAnsi="Aptos"/>
          <w:sz w:val="24"/>
        </w:rPr>
        <w:t xml:space="preserve"> </w:t>
      </w:r>
      <w:r>
        <w:rPr>
          <w:rFonts w:ascii="Times New Roman;Times;serif" w:hAnsi="Times New Roman;Times;serif"/>
          <w:sz w:val="22"/>
        </w:rPr>
        <w:t xml:space="preserve">four Eurodollar Banking Days before such Eurodollar Fixed Rate Loan (or five Eurodollar Banking Days in the case of a Special Notice Currency) and (iii) 3:00 P.M. (Eastern time) on the proposed date of borrowing of a Swing Loan;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u w:val="single"/>
        </w:rPr>
        <w:t>however</w:t>
      </w:r>
      <w:r>
        <w:rPr>
          <w:rFonts w:ascii="Times New Roman;Times;serif" w:hAnsi="Times New Roman;Times;serif"/>
          <w:sz w:val="22"/>
        </w:rPr>
        <w:t xml:space="preserve">, that an Authorized Officer of Administrative Borrower may verbally request a Loan, so long as a Notice of Loan is received by the end of the same Business Day, and, if Agent or any Lender provides funds or initiates funding based upon such verbal request, US Borrower shall bear the risk with respect to any information regarding such funding that is later determined to have been incorrect.  Administrative Borrower shall comply with the notice provisions set forth in </w:t>
      </w:r>
      <w:r>
        <w:rPr>
          <w:rFonts w:ascii="Times New Roman;Times;serif" w:hAnsi="Times New Roman;Times;serif"/>
          <w:sz w:val="22"/>
          <w:u w:val="single"/>
        </w:rPr>
        <w:t>Section 2.2(b)</w:t>
      </w:r>
      <w:r>
        <w:rPr>
          <w:rFonts w:ascii="Aptos" w:hAnsi="Aptos"/>
          <w:sz w:val="24"/>
        </w:rPr>
        <w:t xml:space="preserve"> </w:t>
      </w:r>
      <w:r>
        <w:rPr>
          <w:rFonts w:ascii="Times New Roman;Times;serif" w:hAnsi="Times New Roman;Times;serif"/>
          <w:sz w:val="22"/>
        </w:rPr>
        <w:t>hereof with respect to Letters of Credit.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(b)</w:t>
      </w:r>
      <w:r>
        <w:rPr>
          <w:rFonts w:ascii="Times New Roman;Times;serif" w:hAnsi="Times New Roman;Times;serif"/>
          <w:sz w:val="22"/>
          <w:u w:val="single"/>
        </w:rPr>
        <w:t>Funding of Loans</w:t>
      </w:r>
      <w:r>
        <w:rPr>
          <w:rFonts w:ascii="Times New Roman;Times;serif" w:hAnsi="Times New Roman;Times;serif"/>
          <w:sz w:val="22"/>
        </w:rPr>
        <w:t>.  Agent shall notify each Lender of the date, amount, type of currency and Interest Period (if applicable) promptly upon the receipt of a Notice of Loan (other than for a Swing Loan, or a Revolving Loan to be funded as a Swing Loan), and, in any event, by 3:00 P.M. (Eastern time) on the date such Notice of Loan is received.  On the date that the Credit Event set forth in such Notice of Loan is to occur, each such Lender shall provide to Agent, not later than 4:00 P.M. (Eastern time), the amount in Dollars, or, with respect to an Alternate Currency, in the applicable Alternate Currency, in federal or other immediately available funds, required of it.  If Agent shall elect to advance the proceeds of such Loan prior to receiving funds from such Lender, Agent shall have the right, upon prior notice to Administrative Borrower, to debit any account of the appropriate Borrower or otherwise receive such amount from the appropriate Borrower, promptly after demand, in the event that such Lender shall fail to reimburse Agent in accordance with this subsection.  Agent shall also have the right to receive interest from such Lender at the Federal Funds Effective Rate in the event that such Lender shall fail to provide its portion of the Loan on the date requested and Agent shall elect to provide such funds.</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(c)</w:t>
      </w:r>
      <w:r>
        <w:rPr>
          <w:rFonts w:ascii="Times New Roman;Times;serif" w:hAnsi="Times New Roman;Times;serif"/>
          <w:sz w:val="22"/>
          <w:u w:val="single"/>
        </w:rPr>
        <w:t>Conversion and Continuation of Loans</w:t>
      </w:r>
      <w:r>
        <w:rPr>
          <w:rFonts w:ascii="Times New Roman;Times;serif" w:hAnsi="Times New Roman;Times;serif"/>
          <w:sz w:val="22"/>
        </w:rPr>
        <w:t>.</w:t>
      </w:r>
    </w:p>
    <w:p>
      <w:pPr>
        <w:pStyle w:val="TextBody"/>
        <w:bidi w:val="0"/>
        <w:spacing w:lineRule="auto" w:line="285" w:before="0" w:after="240"/>
        <w:ind w:left="720" w:right="0" w:hanging="0"/>
        <w:jc w:val="both"/>
        <w:rPr>
          <w:rFonts w:ascii="Aptos" w:hAnsi="Aptos"/>
          <w:sz w:val="24"/>
        </w:rPr>
      </w:pPr>
      <w:r>
        <w:rPr>
          <w:rFonts w:ascii="Times New Roman;Times;serif" w:hAnsi="Times New Roman;Times;serif"/>
          <w:sz w:val="22"/>
        </w:rPr>
        <w:t xml:space="preserve">(i)At the request of Administrative Borrower to Agent, subject to the notice and other provisions of this </w:t>
      </w:r>
      <w:r>
        <w:rPr>
          <w:rFonts w:ascii="Times New Roman;Times;serif" w:hAnsi="Times New Roman;Times;serif"/>
          <w:sz w:val="22"/>
          <w:u w:val="single"/>
        </w:rPr>
        <w:t>Section 2.5</w:t>
      </w:r>
      <w:r>
        <w:rPr>
          <w:rFonts w:ascii="Times New Roman;Times;serif" w:hAnsi="Times New Roman;Times;serif"/>
          <w:sz w:val="22"/>
        </w:rPr>
        <w:t xml:space="preserve">, the Lenders shall convert a Base Rate Loan to one or more Transitioned RFR Loans at any time and shall convert a Transitioned RFR Loan to a Base Rate Loan on any Interest Adjustment Date applicable thereto.  Swing Loans may be converted by the Swing Line Lender to Revolving Loans in accordance with </w:t>
      </w:r>
      <w:r>
        <w:rPr>
          <w:rFonts w:ascii="Times New Roman;Times;serif" w:hAnsi="Times New Roman;Times;serif"/>
          <w:sz w:val="22"/>
          <w:u w:val="single"/>
        </w:rPr>
        <w:t>Section 2.2(c)(ii)</w:t>
      </w:r>
      <w:r>
        <w:rPr>
          <w:rFonts w:ascii="Aptos" w:hAnsi="Aptos"/>
          <w:sz w:val="24"/>
        </w:rPr>
        <w:t xml:space="preserve"> </w:t>
      </w:r>
      <w:r>
        <w:rPr>
          <w:rFonts w:ascii="Times New Roman;Times;serif" w:hAnsi="Times New Roman;Times;serif"/>
          <w:sz w:val="22"/>
        </w:rPr>
        <w:t>hereof.  No Alternate Currency Loan may be converted to a Base Rate Loan or a Transitioned RFR Loan and no Base Rate Loan or Transitioned RFR Loan may be converted to an Alternate Currency Loan.</w:t>
      </w:r>
    </w:p>
    <w:p>
      <w:pPr>
        <w:pStyle w:val="TextBody"/>
        <w:bidi w:val="0"/>
        <w:spacing w:lineRule="auto" w:line="285" w:before="0" w:after="240"/>
        <w:ind w:left="720" w:right="0" w:hanging="0"/>
        <w:jc w:val="both"/>
        <w:rPr>
          <w:rFonts w:ascii="Aptos" w:hAnsi="Aptos"/>
          <w:sz w:val="24"/>
        </w:rPr>
      </w:pPr>
      <w:r>
        <w:rPr>
          <w:rFonts w:ascii="Times New Roman;Times;serif" w:hAnsi="Times New Roman;Times;serif"/>
          <w:sz w:val="22"/>
        </w:rPr>
        <w:t xml:space="preserve">(ii)At the request of Administrative Borrower to Agent, subject to the notice and other provisions of this </w:t>
      </w:r>
      <w:r>
        <w:rPr>
          <w:rFonts w:ascii="Times New Roman;Times;serif" w:hAnsi="Times New Roman;Times;serif"/>
          <w:sz w:val="22"/>
          <w:u w:val="single"/>
        </w:rPr>
        <w:t>Section 2.5</w:t>
      </w:r>
      <w:r>
        <w:rPr>
          <w:rFonts w:ascii="Times New Roman;Times;serif" w:hAnsi="Times New Roman;Times;serif"/>
          <w:sz w:val="22"/>
        </w:rPr>
        <w:t>, the Lenders shall continue one or more Transitioned RFR Loans as of the end of the applicable Interest Period as a new Transitioned RFR Loan with a new Interest Period.</w:t>
      </w:r>
    </w:p>
    <w:p>
      <w:pPr>
        <w:pStyle w:val="TextBody"/>
        <w:bidi w:val="0"/>
        <w:spacing w:lineRule="auto" w:line="285" w:before="0" w:after="0"/>
        <w:ind w:left="720" w:right="0" w:hanging="0"/>
        <w:jc w:val="both"/>
        <w:rPr>
          <w:rFonts w:ascii="Times New Roman;Times;serif" w:hAnsi="Times New Roman;Times;serif"/>
          <w:sz w:val="22"/>
        </w:rPr>
      </w:pPr>
      <w:r>
        <w:rPr>
          <w:rFonts w:ascii="Times New Roman;Times;serif" w:hAnsi="Times New Roman;Times;serif"/>
          <w:sz w:val="22"/>
        </w:rPr>
        <w:t>(iii)At the direction of the Required Lenders, no Loan may be converted into, or continued as, a Term RFR Loan at any time when a Default or Event of Default shall have occurred and be continuing.</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(d)</w:t>
      </w:r>
      <w:r>
        <w:rPr>
          <w:rFonts w:ascii="Times New Roman;Times;serif" w:hAnsi="Times New Roman;Times;serif"/>
          <w:sz w:val="22"/>
          <w:u w:val="single"/>
        </w:rPr>
        <w:t>Minimum Amount for Loans</w:t>
      </w:r>
      <w:r>
        <w:rPr>
          <w:rFonts w:ascii="Times New Roman;Times;serif" w:hAnsi="Times New Roman;Times;serif"/>
          <w:sz w:val="22"/>
        </w:rPr>
        <w:t>.  Each request for:</w:t>
      </w:r>
    </w:p>
    <w:p>
      <w:pPr>
        <w:pStyle w:val="TextBody"/>
        <w:bidi w:val="0"/>
        <w:spacing w:lineRule="auto" w:line="285" w:before="0" w:after="240"/>
        <w:ind w:left="720" w:right="0" w:hanging="0"/>
        <w:jc w:val="both"/>
        <w:rPr>
          <w:rFonts w:ascii="Times New Roman;Times;serif" w:hAnsi="Times New Roman;Times;serif"/>
          <w:sz w:val="22"/>
        </w:rPr>
      </w:pPr>
      <w:r>
        <w:rPr>
          <w:rFonts w:ascii="Times New Roman;Times;serif" w:hAnsi="Times New Roman;Times;serif"/>
          <w:sz w:val="22"/>
        </w:rPr>
        <w:t>(i)a Base Rate Loan shall be in an amount of not less than Five Hundred Thousand Dollars ($500,000), increased by increments of One Hundred Thousand Dollars ($100,000);</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54</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720" w:right="0" w:hanging="0"/>
        <w:jc w:val="both"/>
        <w:rPr>
          <w:rFonts w:ascii="Times New Roman;Times;serif" w:hAnsi="Times New Roman;Times;serif"/>
          <w:sz w:val="22"/>
        </w:rPr>
      </w:pPr>
      <w:r>
        <w:rPr>
          <w:rFonts w:ascii="Times New Roman;Times;serif" w:hAnsi="Times New Roman;Times;serif"/>
          <w:sz w:val="22"/>
        </w:rPr>
        <w:t>(ii)a Eurodollar Fixed Rate Loan shall be in an amount (or, with respect to an Alternate Currency Loan, such approximately comparable amount as shall result in an amount rounded to the nearest whole number) of not less than Five Hundred Thousand Dollars ($500,000), increased by increments of Five Hundred Thousand Dollars ($500,000) (or, with respect to an Alternate Currency Loan, such approximately comparable amount as shall result in an amount rounded to the nearest whole number); and</w:t>
      </w:r>
    </w:p>
    <w:p>
      <w:pPr>
        <w:pStyle w:val="TextBody"/>
        <w:bidi w:val="0"/>
        <w:spacing w:lineRule="auto" w:line="285" w:before="0" w:after="0"/>
        <w:ind w:left="720" w:right="0" w:hanging="0"/>
        <w:jc w:val="both"/>
        <w:rPr>
          <w:rFonts w:ascii="Times New Roman;Times;serif" w:hAnsi="Times New Roman;Times;serif"/>
          <w:sz w:val="22"/>
        </w:rPr>
      </w:pPr>
      <w:r>
        <w:rPr>
          <w:rFonts w:ascii="Times New Roman;Times;serif" w:hAnsi="Times New Roman;Times;serif"/>
          <w:sz w:val="22"/>
        </w:rPr>
        <w:t>(iii)a Swing Loan shall be in an amount of not less than Two Hundred Fifty Thousand Dollars ($250,000).</w:t>
      </w:r>
    </w:p>
    <w:p>
      <w:pPr>
        <w:pStyle w:val="TextBody"/>
        <w:bidi w:val="0"/>
        <w:spacing w:lineRule="auto" w:line="285" w:before="0" w:after="0"/>
        <w:ind w:left="0" w:right="0" w:hanging="0"/>
        <w:jc w:val="both"/>
        <w:rPr>
          <w:rFonts w:ascii="Aptos" w:hAnsi="Aptos"/>
          <w:sz w:val="24"/>
        </w:rPr>
      </w:pPr>
      <w:r>
        <w:rPr>
          <w:rFonts w:ascii="Times New Roman;Times;serif" w:hAnsi="Times New Roman;Times;serif"/>
          <w:sz w:val="22"/>
        </w:rPr>
        <w:t>(e)</w:t>
      </w:r>
      <w:r>
        <w:rPr>
          <w:rFonts w:ascii="Times New Roman;Times;serif" w:hAnsi="Times New Roman;Times;serif"/>
          <w:sz w:val="22"/>
          <w:u w:val="single"/>
        </w:rPr>
        <w:t>Interest Periods</w:t>
      </w:r>
      <w:r>
        <w:rPr>
          <w:rFonts w:ascii="Times New Roman;Times;serif" w:hAnsi="Times New Roman;Times;serif"/>
          <w:sz w:val="22"/>
        </w:rPr>
        <w:t>.  Administrative Borrower shall not request that Eurodollar Fixed Rate Loans be outstanding for more than ten (10) different Interest Periods at the same time.</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2.6</w:t>
      </w:r>
      <w:bookmarkStart w:id="1819" w:name="_Toc236844304"/>
      <w:bookmarkStart w:id="1820" w:name="_Toc172896649"/>
      <w:bookmarkEnd w:id="1819"/>
      <w:bookmarkEnd w:id="1820"/>
      <w:r>
        <w:rPr>
          <w:rFonts w:ascii="Times New Roman;Times;serif" w:hAnsi="Times New Roman;Times;serif"/>
          <w:sz w:val="22"/>
          <w:u w:val="single"/>
        </w:rPr>
        <w:t>Payment on Loans and Other Obligations</w:t>
      </w:r>
      <w:r>
        <w:rPr>
          <w:rFonts w:ascii="Times New Roman;Times;serif" w:hAnsi="Times New Roman;Times;serif"/>
          <w:sz w:val="22"/>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(a)</w:t>
      </w:r>
      <w:r>
        <w:rPr>
          <w:rFonts w:ascii="Times New Roman;Times;serif" w:hAnsi="Times New Roman;Times;serif"/>
          <w:sz w:val="22"/>
          <w:u w:val="single"/>
        </w:rPr>
        <w:t>Payments Generally</w:t>
      </w:r>
      <w:r>
        <w:rPr>
          <w:rFonts w:ascii="Times New Roman;Times;serif" w:hAnsi="Times New Roman;Times;serif"/>
          <w:sz w:val="22"/>
        </w:rPr>
        <w:t>.  Each payment made hereunder by a Credit Party shall be made without any offset, abatement, recoupment, counterclaim, withholding or reduction whatsoever.</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(b)</w:t>
      </w:r>
      <w:r>
        <w:rPr>
          <w:rFonts w:ascii="Times New Roman;Times;serif" w:hAnsi="Times New Roman;Times;serif"/>
          <w:sz w:val="22"/>
          <w:u w:val="single"/>
        </w:rPr>
        <w:t>Payments in Alternate Currency</w:t>
      </w:r>
      <w:r>
        <w:rPr>
          <w:rFonts w:ascii="Times New Roman;Times;serif" w:hAnsi="Times New Roman;Times;serif"/>
          <w:sz w:val="22"/>
        </w:rPr>
        <w:t xml:space="preserve">.  With respect to any Alternate Currency Loan, all payments (including prepayments) to any Lender of the principal of or interest on such Alternate Currency Loan shall be made in the same Alternate Currency as the original Loan.  For clarification, the amount outstanding on any Alternate Currency Loan for purposes of repayment on the last day of the applicable Interest Period shall be measured in the Alternate Currency and not by the Dollar Equivalent of such amount.  With respect to any Alternate Currency Letter of Credit, all payments to the Fronting Lender (and to any Lender that shall have funded its participation in such Letter of Credit) shall be made in the Dollar Equivalent (as determined on the date of drawing of such Letter of Credit) of the amount of such Alternate Currency Letter of Credit.  All such payments shall be remitted by the appropriate Borrower to Agent, at the address of Agent for notices referred to in </w:t>
      </w:r>
      <w:r>
        <w:rPr>
          <w:rFonts w:ascii="Times New Roman;Times;serif" w:hAnsi="Times New Roman;Times;serif"/>
          <w:sz w:val="22"/>
          <w:u w:val="single"/>
        </w:rPr>
        <w:t>Section 11.4(a)</w:t>
      </w:r>
      <w:r>
        <w:rPr>
          <w:rFonts w:ascii="Aptos" w:hAnsi="Aptos"/>
          <w:sz w:val="24"/>
        </w:rPr>
        <w:t xml:space="preserve"> </w:t>
      </w:r>
      <w:r>
        <w:rPr>
          <w:rFonts w:ascii="Times New Roman;Times;serif" w:hAnsi="Times New Roman;Times;serif"/>
          <w:sz w:val="22"/>
        </w:rPr>
        <w:t>hereof (or at such other office or account as designated in writing by Agent to Administrative Borrower), for the account of the Lenders (or the Fronting Lender or the Swing Line Lender, as appropriate) not later than 2:00 P.M. (Eastern time) on the due date thereof in same day funds.  Any such payments received by Agent after 2:00 P.M. (Eastern time) shall be deemed to have been made and received on the next Business Day.</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(c)</w:t>
      </w:r>
      <w:r>
        <w:rPr>
          <w:rFonts w:ascii="Times New Roman;Times;serif" w:hAnsi="Times New Roman;Times;serif"/>
          <w:sz w:val="22"/>
          <w:u w:val="single"/>
        </w:rPr>
        <w:t>Payments in Dollars</w:t>
      </w:r>
      <w:r>
        <w:rPr>
          <w:rFonts w:ascii="Times New Roman;Times;serif" w:hAnsi="Times New Roman;Times;serif"/>
          <w:sz w:val="22"/>
        </w:rPr>
        <w:t xml:space="preserve">.  With respect to (i) any Loan (other than an Alternate Currency Loan), or (ii) any other payment to Agent and the Lenders that shall not be covered by subsection (b) above, all such payments (including prepayments) to Agent of the principal of or interest on such Loan or other payment, including but not limited to principal, interest, fees or any other amount owed by Borrowers under this Agreement, shall be made in Dollars.  All payments described in this subsection (c) shall be remitted to Agent, at the address of Agent for notices referred to in </w:t>
      </w:r>
      <w:r>
        <w:rPr>
          <w:rFonts w:ascii="Times New Roman;Times;serif" w:hAnsi="Times New Roman;Times;serif"/>
          <w:sz w:val="22"/>
          <w:u w:val="single"/>
        </w:rPr>
        <w:t>Section 11.4(a)</w:t>
      </w:r>
      <w:r>
        <w:rPr>
          <w:rFonts w:ascii="Aptos" w:hAnsi="Aptos"/>
          <w:sz w:val="24"/>
        </w:rPr>
        <w:t xml:space="preserve"> </w:t>
      </w:r>
      <w:r>
        <w:rPr>
          <w:rFonts w:ascii="Times New Roman;Times;serif" w:hAnsi="Times New Roman;Times;serif"/>
          <w:sz w:val="22"/>
        </w:rPr>
        <w:t>hereof for the account of the Lenders (or the Fronting Lender or the Swing Line Lender, as appropriate) not later than 2:00 P.M. (Eastern time) on the due date thereof in immediately available funds.  Other than with respect to payments made by wire transfer that are released by the appropriate Borrower by 2:00 P.M. (Eastern time), any such payments received by Agent (or the Fronting Lender or the Swing Line Lender) after 2:00 P.M. (Eastern time) shall be deemed to have been made and received on the next Business Day.</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(d)</w:t>
      </w:r>
      <w:r>
        <w:rPr>
          <w:rFonts w:ascii="Times New Roman;Times;serif" w:hAnsi="Times New Roman;Times;serif"/>
          <w:sz w:val="22"/>
          <w:u w:val="single"/>
        </w:rPr>
        <w:t>Payments to Lenders</w:t>
      </w:r>
      <w:r>
        <w:rPr>
          <w:rFonts w:ascii="Times New Roman;Times;serif" w:hAnsi="Times New Roman;Times;serif"/>
          <w:sz w:val="22"/>
        </w:rPr>
        <w:t xml:space="preserve">.  Upon Agent’s receipt of payments hereunder, Agent shall immediately distribute to each Lender its (except with respect to Swing Loans, which shall be paid to the Swing Line Lender and any Lender that has funded a participation in the Swing Loans, or, with respect to Letters of Credit, certain of which payments shall be paid to the Fronting Lender) ratable shares, if any, of the amount of principal, interest, and commitment and other fees received by Agent for the account of such Lender.  Payments received by Agent in Dollars shall be delivered to the Lenders in Dollars in immediately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55</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 xml:space="preserve">available funds.  Payments received by Agent in any Alternate Currency shall be delivered to the Lenders in such Alternate Currency in same day funds.  Each Lender shall record any principal, interest or other payment, the principal amounts of Base Rate Loans, Eurodollar Fixed Rate Loans, Swing Loans and Letters of Credit, the type of currency for each Loan, all prepayments and the applicable dates, including Interest Periods, with respect to the Loans made, and payments received by such Lender, by such method as such Lender may generally employ;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that failure to make any such entry shall in no way detract from the obligations of Borrowers under this Agreement or any Note.  The aggregate unpaid amount of Loans, types of Loans, Interest Periods and similar information with respect to the Loans and Letters of Credit set forth on the records of Agent shall be rebuttably presumptive evidence with respect to such information, including the amounts of principal, interest and fees owing to each Lender.</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(e)</w:t>
      </w:r>
      <w:r>
        <w:rPr>
          <w:rFonts w:ascii="Times New Roman;Times;serif" w:hAnsi="Times New Roman;Times;serif"/>
          <w:sz w:val="22"/>
          <w:u w:val="single"/>
        </w:rPr>
        <w:t>Timing of Payments</w:t>
      </w:r>
      <w:r>
        <w:rPr>
          <w:rFonts w:ascii="Times New Roman;Times;serif" w:hAnsi="Times New Roman;Times;serif"/>
          <w:sz w:val="22"/>
        </w:rPr>
        <w:t xml:space="preserve">.  Whenever any payment to be made hereunder, including, without limitation, any payment to be made on any Loan, shall be stated to be due on a day that is not a Business Day, such payment shall be made on the next Business Day and such extension of time shall in each case be included in the computation of the interest payable on such Loan;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that, with respect to a Eurodollar Fixed Rate Loan, if the next Business Day shall fall in the succeeding calendar month, such payment shall be made on the preceding Business Day and the relevant Interest Period shall be adjusted accordingly.</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(f)</w:t>
      </w:r>
      <w:r>
        <w:rPr>
          <w:rFonts w:ascii="Times New Roman;Times;serif" w:hAnsi="Times New Roman;Times;serif"/>
          <w:sz w:val="22"/>
          <w:u w:val="single"/>
        </w:rPr>
        <w:t>Defaulting Lender</w:t>
      </w:r>
      <w:r>
        <w:rPr>
          <w:rFonts w:ascii="Times New Roman;Times;serif" w:hAnsi="Times New Roman;Times;serif"/>
          <w:sz w:val="22"/>
        </w:rPr>
        <w:t xml:space="preserve">.  To the extent that Agent receives any payments or other amounts for the account of a Defaulting Lender, such Defaulting Lender shall be deemed to have requested that Agent apply such payment or other amount pursuant to </w:t>
      </w:r>
      <w:r>
        <w:rPr>
          <w:rFonts w:ascii="Times New Roman;Times;serif" w:hAnsi="Times New Roman;Times;serif"/>
          <w:sz w:val="22"/>
          <w:u w:val="single"/>
        </w:rPr>
        <w:t>Section 3.8</w:t>
      </w:r>
      <w:r>
        <w:rPr>
          <w:rFonts w:ascii="Aptos" w:hAnsi="Aptos"/>
          <w:sz w:val="24"/>
        </w:rPr>
        <w:t xml:space="preserve"> </w:t>
      </w:r>
      <w:r>
        <w:rPr>
          <w:rFonts w:ascii="Times New Roman;Times;serif" w:hAnsi="Times New Roman;Times;serif"/>
          <w:sz w:val="22"/>
        </w:rPr>
        <w:t>hereof.</w:t>
      </w:r>
    </w:p>
    <w:p>
      <w:pPr>
        <w:pStyle w:val="TextBody"/>
        <w:bidi w:val="0"/>
        <w:spacing w:lineRule="auto" w:line="285" w:before="0" w:after="0"/>
        <w:ind w:left="0" w:right="0" w:hanging="0"/>
        <w:jc w:val="both"/>
        <w:rPr>
          <w:rFonts w:ascii="Aptos" w:hAnsi="Aptos"/>
          <w:sz w:val="24"/>
        </w:rPr>
      </w:pPr>
      <w:r>
        <w:rPr>
          <w:rFonts w:ascii="Times New Roman;Times;serif" w:hAnsi="Times New Roman;Times;serif"/>
          <w:sz w:val="22"/>
        </w:rPr>
        <w:t>(g)</w:t>
      </w:r>
      <w:r>
        <w:rPr>
          <w:rFonts w:ascii="Times New Roman;Times;serif" w:hAnsi="Times New Roman;Times;serif"/>
          <w:sz w:val="22"/>
          <w:u w:val="single"/>
        </w:rPr>
        <w:t>Payment of Non-Pro Rata Revolving Loans</w:t>
      </w:r>
      <w:r>
        <w:rPr>
          <w:rFonts w:ascii="Times New Roman;Times;serif" w:hAnsi="Times New Roman;Times;serif"/>
          <w:sz w:val="22"/>
        </w:rPr>
        <w:t>.  Notwithstanding anything in this Agreement to the contrary, at the sole discretion of Agent, in order to pay Revolving Loans made to a Borrower that were not advanced pro rata by the Lenders, any payment of any Revolving Loan may first be applied to such Revolving Loans of such Borrower that were not advanced pro rata.</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2.7</w:t>
      </w:r>
      <w:bookmarkStart w:id="1821" w:name="_Toc236844305"/>
      <w:bookmarkStart w:id="1822" w:name="_Toc172896650"/>
      <w:bookmarkEnd w:id="1821"/>
      <w:bookmarkEnd w:id="1822"/>
      <w:r>
        <w:rPr>
          <w:rFonts w:ascii="Times New Roman;Times;serif" w:hAnsi="Times New Roman;Times;serif"/>
          <w:sz w:val="22"/>
          <w:u w:val="single"/>
        </w:rPr>
        <w:t>Prepayment</w:t>
      </w:r>
      <w:r>
        <w:rPr>
          <w:rFonts w:ascii="Times New Roman;Times;serif" w:hAnsi="Times New Roman;Times;serif"/>
          <w:sz w:val="22"/>
        </w:rPr>
        <w:t>.</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(a)Right to Prepay.</w:t>
      </w:r>
    </w:p>
    <w:p>
      <w:pPr>
        <w:pStyle w:val="TextBody"/>
        <w:bidi w:val="0"/>
        <w:spacing w:lineRule="auto" w:line="285" w:before="0" w:after="240"/>
        <w:ind w:left="720" w:right="0" w:hanging="0"/>
        <w:jc w:val="both"/>
        <w:rPr>
          <w:rFonts w:ascii="Aptos" w:hAnsi="Aptos"/>
          <w:sz w:val="24"/>
        </w:rPr>
      </w:pPr>
      <w:r>
        <w:rPr>
          <w:rFonts w:ascii="Times New Roman;Times;serif" w:hAnsi="Times New Roman;Times;serif"/>
          <w:sz w:val="22"/>
        </w:rPr>
        <w:t xml:space="preserve">(i)Borrowers shall have the right at any time or from time to time to prepay, on a pro rata basis for all of the Revolving Lenders (except with respect to Swing Loans, which shall be paid to the Swing Line Lender and any Lender that has funded a participation in such Swing Loan), all or any part of the principal amount of the Revolving Loans then outstanding, as designated by Administrative Borrower. Such payment shall include interest accrued on the amount so prepaid to the date of such prepayment and any amount payable under </w:t>
      </w:r>
      <w:r>
        <w:rPr>
          <w:rFonts w:ascii="Times New Roman;Times;serif" w:hAnsi="Times New Roman;Times;serif"/>
          <w:sz w:val="22"/>
          <w:u w:val="single"/>
        </w:rPr>
        <w:t>Article III</w:t>
      </w:r>
      <w:r>
        <w:rPr>
          <w:rFonts w:ascii="Aptos" w:hAnsi="Aptos"/>
          <w:sz w:val="24"/>
        </w:rPr>
        <w:t xml:space="preserve"> </w:t>
      </w:r>
      <w:r>
        <w:rPr>
          <w:rFonts w:ascii="Times New Roman;Times;serif" w:hAnsi="Times New Roman;Times;serif"/>
          <w:sz w:val="22"/>
        </w:rPr>
        <w:t xml:space="preserve">hereof with respect to the amount being prepaid.  Subject to payment of amounts set forth under </w:t>
      </w:r>
      <w:r>
        <w:rPr>
          <w:rFonts w:ascii="Times New Roman;Times;serif" w:hAnsi="Times New Roman;Times;serif"/>
          <w:sz w:val="22"/>
          <w:u w:val="single"/>
        </w:rPr>
        <w:t>Article III</w:t>
      </w:r>
      <w:r>
        <w:rPr>
          <w:rFonts w:ascii="Aptos" w:hAnsi="Aptos"/>
          <w:sz w:val="24"/>
        </w:rPr>
        <w:t xml:space="preserve"> </w:t>
      </w:r>
      <w:r>
        <w:rPr>
          <w:rFonts w:ascii="Times New Roman;Times;serif" w:hAnsi="Times New Roman;Times;serif"/>
          <w:sz w:val="22"/>
        </w:rPr>
        <w:t>hereof, prepayments of Revolving Loans or Swing Loans shall be without any premium or penalty.</w:t>
      </w:r>
    </w:p>
    <w:p>
      <w:pPr>
        <w:pStyle w:val="TextBody"/>
        <w:bidi w:val="0"/>
        <w:spacing w:lineRule="auto" w:line="285" w:before="0" w:after="0"/>
        <w:ind w:left="720" w:right="0" w:hanging="0"/>
        <w:jc w:val="both"/>
        <w:rPr>
          <w:rFonts w:ascii="Times New Roman;Times;serif" w:hAnsi="Times New Roman;Times;serif"/>
          <w:sz w:val="22"/>
        </w:rPr>
      </w:pPr>
      <w:r>
        <w:rPr>
          <w:rFonts w:ascii="Times New Roman;Times;serif" w:hAnsi="Times New Roman;Times;serif"/>
          <w:sz w:val="22"/>
        </w:rPr>
        <w:t>(ii)Borrowers shall have the right, at any time or from time to time, to prepay, for the benefit of the Swing Line Lender (and any Lender that has funded a participation in such Swing Loan), all or any part of the principal amount of the Swing Loans then outstanding, as designated by Administrative Borrower, plus interest accrued on the amount so prepaid to the date of such prepayment.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(b)</w:t>
      </w:r>
      <w:r>
        <w:rPr>
          <w:rFonts w:ascii="Times New Roman;Times;serif" w:hAnsi="Times New Roman;Times;serif"/>
          <w:sz w:val="22"/>
          <w:u w:val="single"/>
        </w:rPr>
        <w:t>Notice of Prepayment</w:t>
      </w:r>
      <w:r>
        <w:rPr>
          <w:rFonts w:ascii="Times New Roman;Times;serif" w:hAnsi="Times New Roman;Times;serif"/>
          <w:sz w:val="22"/>
        </w:rPr>
        <w:t xml:space="preserve">.  Administrative Borrower shall give Agent (i) notice of prepayment of a Base Rate Loan or Swing Loan by no later than 1:00 P.M. (Eastern time) on the Business Day on which such prepayment is to be made and (ii) written notice of prepayment by no later than 1:00 P.M. (Eastern time) (A) in the case of an RFR Loan (other than a Daily Simple RFR Loan) denominated in Dollars, at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56</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least two RFR Business Days before prepayment of such RFR Loan, (B) in the case of a Daily Simple RFR Loan denominated in Dollars, at least five RFR Business Days before payment of such Daily Simple RFR Loan, (C) in the case of a Eurodollar Fixed Rate Loan denominated in Dollars, at least two Eurodollar Banking Days before prepayment of such Eurodollar Fixed Rate Loan, (D) in the case of an RFR Loan denominated in any Alternate Currency, at least five RFR Business Days before prepayment of such RFR Loan, and (E) in the case of a Eurodollar Fixed Rate Loan denominated in any Alternate Currency, at least four Eurodollar Banking Days before prepayment of such Eurodollar Fixed Rate Loan (or five Eurodollar Banking Days in the case of a Special Notice Currency).</w:t>
      </w:r>
    </w:p>
    <w:p>
      <w:pPr>
        <w:pStyle w:val="TextBody"/>
        <w:bidi w:val="0"/>
        <w:spacing w:lineRule="auto" w:line="285" w:before="0" w:after="0"/>
        <w:ind w:left="0" w:right="0" w:hanging="0"/>
        <w:jc w:val="both"/>
        <w:rPr>
          <w:rFonts w:ascii="Aptos" w:hAnsi="Aptos"/>
          <w:sz w:val="24"/>
        </w:rPr>
      </w:pPr>
      <w:r>
        <w:rPr>
          <w:rFonts w:ascii="Times New Roman;Times;serif" w:hAnsi="Times New Roman;Times;serif"/>
          <w:sz w:val="22"/>
        </w:rPr>
        <w:t>(c)</w:t>
      </w:r>
      <w:r>
        <w:rPr>
          <w:rFonts w:ascii="Times New Roman;Times;serif" w:hAnsi="Times New Roman;Times;serif"/>
          <w:sz w:val="22"/>
          <w:u w:val="single"/>
        </w:rPr>
        <w:t>Minimum Amount</w:t>
      </w:r>
      <w:r>
        <w:rPr>
          <w:rFonts w:ascii="Times New Roman;Times;serif" w:hAnsi="Times New Roman;Times;serif"/>
          <w:sz w:val="22"/>
        </w:rPr>
        <w:t xml:space="preserve">.  Each prepayment of a Eurodollar Fixed Rate Loan or RFR Loan shall be in the principal amount of not less than the lesser of One Million Dollars ($1,000,000) or the principal amount of such Loan (or, with respect to an Alternate Currency Loan, the Dollar Equivalent (rounded to a comparable amount) of such amount), or, with respect to a Swing Loan, the principal balance of such Swing Loan, except in the case of a mandatory payment pursuant to </w:t>
      </w:r>
      <w:r>
        <w:rPr>
          <w:rFonts w:ascii="Times New Roman;Times;serif" w:hAnsi="Times New Roman;Times;serif"/>
          <w:sz w:val="22"/>
          <w:u w:val="single"/>
        </w:rPr>
        <w:t>Section 2.11(d)</w:t>
      </w:r>
      <w:r>
        <w:rPr>
          <w:rFonts w:ascii="Aptos" w:hAnsi="Aptos"/>
          <w:sz w:val="24"/>
        </w:rPr>
        <w:t xml:space="preserve"> </w:t>
      </w:r>
      <w:r>
        <w:rPr>
          <w:rFonts w:ascii="Times New Roman;Times;serif" w:hAnsi="Times New Roman;Times;serif"/>
          <w:sz w:val="22"/>
        </w:rPr>
        <w:t xml:space="preserve">or </w:t>
      </w:r>
      <w:r>
        <w:rPr>
          <w:rFonts w:ascii="Times New Roman;Times;serif" w:hAnsi="Times New Roman;Times;serif"/>
          <w:sz w:val="22"/>
          <w:u w:val="single"/>
        </w:rPr>
        <w:t>Article III</w:t>
      </w:r>
      <w:r>
        <w:rPr>
          <w:rFonts w:ascii="Aptos" w:hAnsi="Aptos"/>
          <w:sz w:val="24"/>
        </w:rPr>
        <w:t xml:space="preserve"> </w:t>
      </w:r>
      <w:r>
        <w:rPr>
          <w:rFonts w:ascii="Times New Roman;Times;serif" w:hAnsi="Times New Roman;Times;serif"/>
          <w:sz w:val="22"/>
        </w:rPr>
        <w:t>hereof.</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2.8</w:t>
      </w:r>
      <w:bookmarkStart w:id="1823" w:name="_Toc236844306"/>
      <w:bookmarkStart w:id="1824" w:name="_Toc172896651"/>
      <w:bookmarkEnd w:id="1823"/>
      <w:bookmarkEnd w:id="1824"/>
      <w:r>
        <w:rPr>
          <w:rFonts w:ascii="Times New Roman;Times;serif" w:hAnsi="Times New Roman;Times;serif"/>
          <w:sz w:val="22"/>
          <w:u w:val="single"/>
        </w:rPr>
        <w:t>Commitment and Other Fees</w:t>
      </w:r>
      <w:r>
        <w:rPr>
          <w:rFonts w:ascii="Times New Roman;Times;serif" w:hAnsi="Times New Roman;Times;serif"/>
          <w:sz w:val="22"/>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(a)</w:t>
      </w:r>
      <w:r>
        <w:rPr>
          <w:rFonts w:ascii="Times New Roman;Times;serif" w:hAnsi="Times New Roman;Times;serif"/>
          <w:sz w:val="22"/>
          <w:u w:val="single"/>
        </w:rPr>
        <w:t>Commitment Fee</w:t>
      </w:r>
      <w:r>
        <w:rPr>
          <w:rFonts w:ascii="Times New Roman;Times;serif" w:hAnsi="Times New Roman;Times;serif"/>
          <w:sz w:val="22"/>
        </w:rPr>
        <w:t>.  US Borrower shall pay to Agent, for the ratable account of the Lenders as a consideration for the Revolving Credit Commitment, a commitment fee from the Closing Date to and including the Revolving Credit Maturity Date, payable quarterly, at a rate per annum equal to (i) the Applicable Commitment Fee Rate in effect on the payment date, multiplied by (ii) (A) the average daily Revolving Amount in effect during such quarter, minus (B) the average daily Revolving Credit Exposure (exclusive of the Swing Line Exposure) during such quarter.  The commitment fee shall be payable in arrears, on June 30, 2013 and continuing on each Regularly Scheduled Payment Date thereafter, and on the Revolving Credit Maturity Date.</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(b)</w:t>
      </w:r>
      <w:r>
        <w:rPr>
          <w:rFonts w:ascii="Times New Roman;Times;serif" w:hAnsi="Times New Roman;Times;serif"/>
          <w:sz w:val="22"/>
          <w:u w:val="single"/>
        </w:rPr>
        <w:t>Other Fee</w:t>
      </w:r>
      <w:r>
        <w:rPr>
          <w:rFonts w:ascii="Times New Roman;Times;serif" w:hAnsi="Times New Roman;Times;serif"/>
          <w:sz w:val="22"/>
        </w:rPr>
        <w:t>.  US Borrower shall pay to Wells Fargo Securities, LLC or its Affiliates, for its or their respective benefit, the fees set forth in the Fee Letter.</w:t>
      </w:r>
    </w:p>
    <w:p>
      <w:pPr>
        <w:pStyle w:val="TextBody"/>
        <w:bidi w:val="0"/>
        <w:spacing w:lineRule="auto" w:line="285" w:before="0" w:after="0"/>
        <w:ind w:left="0" w:right="0" w:hanging="0"/>
        <w:jc w:val="both"/>
        <w:rPr>
          <w:rFonts w:ascii="Aptos" w:hAnsi="Aptos"/>
          <w:sz w:val="24"/>
        </w:rPr>
      </w:pPr>
      <w:r>
        <w:rPr>
          <w:rFonts w:ascii="Times New Roman;Times;serif" w:hAnsi="Times New Roman;Times;serif"/>
          <w:sz w:val="22"/>
        </w:rPr>
        <w:t>(c)</w:t>
      </w:r>
      <w:r>
        <w:rPr>
          <w:rFonts w:ascii="Times New Roman;Times;serif" w:hAnsi="Times New Roman;Times;serif"/>
          <w:sz w:val="22"/>
          <w:u w:val="single"/>
        </w:rPr>
        <w:t>Extension Fee</w:t>
      </w:r>
      <w:r>
        <w:rPr>
          <w:rFonts w:ascii="Times New Roman;Times;serif" w:hAnsi="Times New Roman;Times;serif"/>
          <w:sz w:val="22"/>
        </w:rPr>
        <w:t>. The US Borrower shall pay to Agent, by 2:00 P.M. (Eastern time) on October 1, 2026,</w:t>
      </w:r>
      <w:r>
        <w:rPr>
          <w:rFonts w:ascii="Aptos" w:hAnsi="Aptos"/>
          <w:sz w:val="24"/>
        </w:rPr>
        <w:t xml:space="preserve"> </w:t>
      </w:r>
      <w:r>
        <w:rPr>
          <w:rFonts w:ascii="Times New Roman;Times;serif" w:hAnsi="Times New Roman;Times;serif"/>
          <w:sz w:val="22"/>
        </w:rPr>
        <w:t xml:space="preserve">for the ratable account of the Lenders, an extension fee of 1.50% of the aggregate Revolving Credit Commitment in effect on such date. </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2.9</w:t>
      </w:r>
      <w:bookmarkStart w:id="1825" w:name="_Toc236844307"/>
      <w:bookmarkStart w:id="1826" w:name="_Toc172896652"/>
      <w:bookmarkEnd w:id="1825"/>
      <w:bookmarkEnd w:id="1826"/>
      <w:r>
        <w:rPr>
          <w:rFonts w:ascii="Times New Roman;Times;serif" w:hAnsi="Times New Roman;Times;serif"/>
          <w:sz w:val="22"/>
          <w:u w:val="single"/>
        </w:rPr>
        <w:t>Modifications to Commitment</w:t>
      </w:r>
      <w:r>
        <w:rPr>
          <w:rFonts w:ascii="Times New Roman;Times;serif" w:hAnsi="Times New Roman;Times;serif"/>
          <w:sz w:val="22"/>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(a)</w:t>
      </w:r>
      <w:r>
        <w:rPr>
          <w:rFonts w:ascii="Times New Roman;Times;serif" w:hAnsi="Times New Roman;Times;serif"/>
          <w:sz w:val="22"/>
          <w:u w:val="single"/>
        </w:rPr>
        <w:t>Optional Reduction of Revolving Credit Commitment</w:t>
      </w:r>
      <w:r>
        <w:rPr>
          <w:rFonts w:ascii="Times New Roman;Times;serif" w:hAnsi="Times New Roman;Times;serif"/>
          <w:sz w:val="22"/>
        </w:rPr>
        <w:t xml:space="preserve">.  Borrowers may at any time and from time to time permanently reduce in whole or ratably in part the Revolving Amount to an amount not less than the then existing Revolving Credit Exposure, by giving Agent not fewer than three Business Days’ written notice of such reduction;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that any such partial reduction shall be in an aggregate amount, for all of the Lenders, of not less than Five Million Dollars ($5,000,000), increased in increments of One Million Dollars ($1,000,000).  Agent shall promptly notify each Lender of the date of each such reduction and such Lender’s proportionate share thereof.  After each such reduction, the commitment fees payable hereunder shall be calculated upon the Revolving Amount as so reduced.  If Borrowers reduce in whole the Revolving Amount, on the effective date of such reduction (the appropriate Borrowers having prepaid in full the unpaid principal balance, if any, of the Revolving Loans, together with all interest (if any) and commitment and other fees accrued and unpaid with respect thereto, and provided that no Letter of Credit Exposure or Swing Line Exposure shall exist), all of the Revolving Credit Notes shall be delivered to Agent marked “Canceled” and Agent shall redeliver such Revolving Credit Notes to Administrative Borrower.  Any partial reduction in the Revolving Amount shall be effective during the remainder of the Commitment Period.</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57</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(b)</w:t>
      </w:r>
      <w:r>
        <w:rPr>
          <w:rFonts w:ascii="Times New Roman;Times;serif" w:hAnsi="Times New Roman;Times;serif"/>
          <w:sz w:val="22"/>
          <w:u w:val="single"/>
        </w:rPr>
        <w:t>Increase in Commitment</w:t>
      </w:r>
      <w:r>
        <w:rPr>
          <w:rFonts w:ascii="Times New Roman;Times;serif" w:hAnsi="Times New Roman;Times;serif"/>
          <w:sz w:val="22"/>
        </w:rPr>
        <w:t>.  At any time during the Commitment Increase Period, Administrative Borrower may request that Agent and the Lenders (i) increase the Revolving Credit Commitment (any such increase, an “</w:t>
      </w:r>
      <w:r>
        <w:rPr>
          <w:rFonts w:ascii="Times New Roman;Times;serif" w:hAnsi="Times New Roman;Times;serif"/>
          <w:sz w:val="22"/>
          <w:u w:val="single"/>
        </w:rPr>
        <w:t>Incremental Revolving Credit Increase</w:t>
      </w:r>
      <w:r>
        <w:rPr>
          <w:rFonts w:ascii="Aptos" w:hAnsi="Aptos"/>
          <w:sz w:val="24"/>
        </w:rPr>
        <w:t>”</w:t>
      </w:r>
      <w:r>
        <w:rPr>
          <w:rFonts w:ascii="Times New Roman;Times;serif" w:hAnsi="Times New Roman;Times;serif"/>
          <w:sz w:val="22"/>
        </w:rPr>
        <w:t>) and/or (ii) provide one or more incremental term loan commitments (any such incremental term loan commitment, an “</w:t>
      </w:r>
      <w:r>
        <w:rPr>
          <w:rFonts w:ascii="Times New Roman;Times;serif" w:hAnsi="Times New Roman;Times;serif"/>
          <w:sz w:val="22"/>
          <w:u w:val="single"/>
        </w:rPr>
        <w:t>Incremental Term Loan Commitment</w:t>
      </w:r>
      <w:r>
        <w:rPr>
          <w:rFonts w:ascii="Aptos" w:hAnsi="Aptos"/>
          <w:sz w:val="24"/>
        </w:rPr>
        <w:t>”</w:t>
      </w:r>
      <w:r>
        <w:rPr>
          <w:rFonts w:ascii="Times New Roman;Times;serif" w:hAnsi="Times New Roman;Times;serif"/>
          <w:sz w:val="22"/>
        </w:rPr>
        <w:t>) to make one or more term loans (any such term loan, an “</w:t>
      </w:r>
      <w:r>
        <w:rPr>
          <w:rFonts w:ascii="Times New Roman;Times;serif" w:hAnsi="Times New Roman;Times;serif"/>
          <w:sz w:val="22"/>
          <w:u w:val="single"/>
        </w:rPr>
        <w:t>Incremental Term Loan</w:t>
      </w:r>
      <w:r>
        <w:rPr>
          <w:rFonts w:ascii="Aptos" w:hAnsi="Aptos"/>
          <w:sz w:val="24"/>
        </w:rPr>
        <w:t>”</w:t>
      </w:r>
      <w:r>
        <w:rPr>
          <w:rFonts w:ascii="Times New Roman;Times;serif" w:hAnsi="Times New Roman;Times;serif"/>
          <w:sz w:val="22"/>
        </w:rPr>
        <w:t>; each Incremental Term Loan and each Incremental Revolving Credit Increase are collectively referred to herein as an “</w:t>
      </w:r>
      <w:r>
        <w:rPr>
          <w:rFonts w:ascii="Times New Roman;Times;serif" w:hAnsi="Times New Roman;Times;serif"/>
          <w:sz w:val="22"/>
          <w:u w:val="single"/>
        </w:rPr>
        <w:t>Incremental Increase</w:t>
      </w:r>
      <w:r>
        <w:rPr>
          <w:rFonts w:ascii="Aptos" w:hAnsi="Aptos"/>
          <w:sz w:val="24"/>
        </w:rPr>
        <w:t>”</w:t>
      </w:r>
      <w:r>
        <w:rPr>
          <w:rFonts w:ascii="Times New Roman;Times;serif" w:hAnsi="Times New Roman;Times;serif"/>
          <w:sz w:val="22"/>
        </w:rPr>
        <w:t xml:space="preserve">), in an aggregate principal amount for all such Incremental Revolving Credit Increases and Incremental Term Loans incurred after the Ninth Amendment Effective Date not to exceed Three Hundred Million Dollars ($300,000,000);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that no Incremental Increases shall be requested from and after the Tenth Amendment Effective Date.  Each such request for an Incremental Increase shall be in an amount of at least Ten Million Dollars ($10,000,000), increased by increments of One Million Dollars ($1,000,000), and may be made by either (x) increasing, for one or more Lenders, with their prior written consent, their respective Revolving Credit Commitments and/or the addition of an Incremental Term Loan Commitment, and/or (y) including one or more Additional Lenders, each with a new commitment under the Revolving Credit Commitment or with an Incremental Term Loan Commitment, as applicable, as a party to this Agreement (each an “</w:t>
      </w:r>
      <w:r>
        <w:rPr>
          <w:rFonts w:ascii="Times New Roman;Times;serif" w:hAnsi="Times New Roman;Times;serif"/>
          <w:sz w:val="22"/>
          <w:u w:val="single"/>
        </w:rPr>
        <w:t>Additional Commitment</w:t>
      </w:r>
      <w:r>
        <w:rPr>
          <w:rFonts w:ascii="Aptos" w:hAnsi="Aptos"/>
          <w:sz w:val="24"/>
        </w:rPr>
        <w:t xml:space="preserve">” </w:t>
      </w:r>
      <w:r>
        <w:rPr>
          <w:rFonts w:ascii="Times New Roman;Times;serif" w:hAnsi="Times New Roman;Times;serif"/>
          <w:sz w:val="22"/>
        </w:rPr>
        <w:t>and, collectively, the “</w:t>
      </w:r>
      <w:r>
        <w:rPr>
          <w:rFonts w:ascii="Times New Roman;Times;serif" w:hAnsi="Times New Roman;Times;serif"/>
          <w:sz w:val="22"/>
          <w:u w:val="single"/>
        </w:rPr>
        <w:t>Additional Commitments</w:t>
      </w:r>
      <w:r>
        <w:rPr>
          <w:rFonts w:ascii="Aptos" w:hAnsi="Aptos"/>
          <w:sz w:val="24"/>
        </w:rPr>
        <w:t>”</w:t>
      </w:r>
      <w:r>
        <w:rPr>
          <w:rFonts w:ascii="Times New Roman;Times;serif" w:hAnsi="Times New Roman;Times;serif"/>
          <w:sz w:val="22"/>
        </w:rPr>
        <w:t xml:space="preserve">);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that existing Lenders (other than any “institutional” lender) shall be given the first opportunity to provide Additional Commitments or Incremental Term Loans as term loan “A”.  Each Incremental Term Loan may be made as a term loan “A” to be made by one or more Lenders or Additional Lenders and/or a term loan “B” to be made by one or more “institutional” lenders on customary terms determined by Agent, US Borrower and such Additional Lenders, Lenders or lenders, as applicable.</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(c)</w:t>
      </w:r>
      <w:r>
        <w:rPr>
          <w:rFonts w:ascii="Times New Roman;Times;serif" w:hAnsi="Times New Roman;Times;serif"/>
          <w:sz w:val="22"/>
          <w:u w:val="single"/>
        </w:rPr>
        <w:t>Lender Assumption</w:t>
      </w:r>
      <w:r>
        <w:rPr>
          <w:rFonts w:ascii="Times New Roman;Times;serif" w:hAnsi="Times New Roman;Times;serif"/>
          <w:sz w:val="22"/>
        </w:rPr>
        <w:t xml:space="preserve">.  During the Commitment Increase Period, all of the Lenders agree that Agent, in its sole discretion, may permit one or more Additional Commitments upon satisfaction of the following requirements: (A) each Additional Lender, if any, shall execute an Additional Lender Assumption Agreement, (B) Agent shall provide to Administrative Borrower and each Lender a revised </w:t>
      </w:r>
      <w:r>
        <w:rPr>
          <w:rFonts w:ascii="Times New Roman;Times;serif" w:hAnsi="Times New Roman;Times;serif"/>
          <w:sz w:val="22"/>
          <w:u w:val="single"/>
        </w:rPr>
        <w:t>Schedule 1</w:t>
      </w:r>
      <w:r>
        <w:rPr>
          <w:rFonts w:ascii="Aptos" w:hAnsi="Aptos"/>
          <w:sz w:val="24"/>
        </w:rPr>
        <w:t xml:space="preserve"> </w:t>
      </w:r>
      <w:r>
        <w:rPr>
          <w:rFonts w:ascii="Times New Roman;Times;serif" w:hAnsi="Times New Roman;Times;serif"/>
          <w:sz w:val="22"/>
        </w:rPr>
        <w:t>to this Agreement, including revised Commitment Percentages for each of the Lenders, if appropriate, at least three Business Days prior to the date of the effectiveness of such Additional Commitments (each an “</w:t>
      </w:r>
      <w:r>
        <w:rPr>
          <w:rFonts w:ascii="Times New Roman;Times;serif" w:hAnsi="Times New Roman;Times;serif"/>
          <w:sz w:val="22"/>
          <w:u w:val="single"/>
        </w:rPr>
        <w:t>Additional Lender Assumption Effective Date</w:t>
      </w:r>
      <w:r>
        <w:rPr>
          <w:rFonts w:ascii="Aptos" w:hAnsi="Aptos"/>
          <w:sz w:val="24"/>
        </w:rPr>
        <w:t>”</w:t>
      </w:r>
      <w:r>
        <w:rPr>
          <w:rFonts w:ascii="Times New Roman;Times;serif" w:hAnsi="Times New Roman;Times;serif"/>
          <w:sz w:val="22"/>
        </w:rPr>
        <w:t xml:space="preserve">), and (C) Borrowers shall execute and deliver to Agent and the Lenders such replacement or additional Notes as shall be required by Agent (and requested by the Lenders).  The Lenders hereby authorize Agent to execute each Additional Lender Assumption Agreement on behalf of the Lenders.  On each Additional Lender Assumption Effective Date, the Lenders shall make adjustments, as applicable, among themselves with respect to the Revolving Loans then outstanding and amounts of principal, interest, commitment fees and other amounts paid or payable with respect thereto as shall be necessary, in the opinion of Agent, in order to reallocate among such Lenders such outstanding amounts, based on the revised Commitment Percentages and to otherwise carry out fully the intent and terms of this </w:t>
      </w:r>
      <w:r>
        <w:rPr>
          <w:rFonts w:ascii="Times New Roman;Times;serif" w:hAnsi="Times New Roman;Times;serif"/>
          <w:sz w:val="22"/>
          <w:u w:val="single"/>
        </w:rPr>
        <w:t>Section 2.9(c)</w:t>
      </w:r>
      <w:r>
        <w:rPr>
          <w:rFonts w:ascii="Aptos" w:hAnsi="Aptos"/>
          <w:sz w:val="24"/>
        </w:rPr>
        <w:t xml:space="preserve"> </w:t>
      </w:r>
      <w:r>
        <w:rPr>
          <w:rFonts w:ascii="Times New Roman;Times;serif" w:hAnsi="Times New Roman;Times;serif"/>
          <w:sz w:val="22"/>
        </w:rPr>
        <w:t xml:space="preserve">(and the appropriate Borrower shall pay to the Lenders any amounts that would be payable pursuant to </w:t>
      </w:r>
      <w:r>
        <w:rPr>
          <w:rFonts w:ascii="Times New Roman;Times;serif" w:hAnsi="Times New Roman;Times;serif"/>
          <w:sz w:val="22"/>
          <w:u w:val="single"/>
        </w:rPr>
        <w:t>Section 3.3</w:t>
      </w:r>
      <w:r>
        <w:rPr>
          <w:rFonts w:ascii="Aptos" w:hAnsi="Aptos"/>
          <w:sz w:val="24"/>
        </w:rPr>
        <w:t xml:space="preserve"> </w:t>
      </w:r>
      <w:r>
        <w:rPr>
          <w:rFonts w:ascii="Times New Roman;Times;serif" w:hAnsi="Times New Roman;Times;serif"/>
          <w:sz w:val="22"/>
        </w:rPr>
        <w:t xml:space="preserve">hereof if such adjustments among the Lenders would cause a prepayment of one or more Term RFR Loans).  In connection therewith, it is understood and agreed that the Revolving Amount of any Lender will not be increased (or decreased except pursuant to </w:t>
      </w:r>
      <w:r>
        <w:rPr>
          <w:rFonts w:ascii="Times New Roman;Times;serif" w:hAnsi="Times New Roman;Times;serif"/>
          <w:sz w:val="22"/>
          <w:u w:val="single"/>
        </w:rPr>
        <w:t>Section 2.9(a)</w:t>
      </w:r>
      <w:r>
        <w:rPr>
          <w:rFonts w:ascii="Aptos" w:hAnsi="Aptos"/>
          <w:sz w:val="24"/>
        </w:rPr>
        <w:t xml:space="preserve"> </w:t>
      </w:r>
      <w:r>
        <w:rPr>
          <w:rFonts w:ascii="Times New Roman;Times;serif" w:hAnsi="Times New Roman;Times;serif"/>
          <w:sz w:val="22"/>
        </w:rPr>
        <w:t>hereof) without the prior written consent of such Lender.</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(d)</w:t>
      </w:r>
      <w:r>
        <w:rPr>
          <w:rFonts w:ascii="Times New Roman;Times;serif" w:hAnsi="Times New Roman;Times;serif"/>
          <w:sz w:val="22"/>
          <w:u w:val="single"/>
        </w:rPr>
        <w:t>Conditions to Incremental Increases</w:t>
      </w:r>
      <w:r>
        <w:rPr>
          <w:rFonts w:ascii="Times New Roman;Times;serif" w:hAnsi="Times New Roman;Times;serif"/>
          <w:sz w:val="22"/>
        </w:rPr>
        <w:t>.  The effectiveness of each Incremental Increase shall be subject to the following conditions:</w:t>
      </w:r>
    </w:p>
    <w:p>
      <w:pPr>
        <w:pStyle w:val="TextBody"/>
        <w:bidi w:val="0"/>
        <w:spacing w:lineRule="auto" w:line="285" w:before="0" w:after="240"/>
        <w:ind w:left="720" w:right="0" w:hanging="0"/>
        <w:jc w:val="both"/>
        <w:rPr>
          <w:rFonts w:ascii="Aptos" w:hAnsi="Aptos"/>
          <w:sz w:val="24"/>
        </w:rPr>
      </w:pPr>
      <w:r>
        <w:rPr>
          <w:rFonts w:ascii="Times New Roman;Times;serif" w:hAnsi="Times New Roman;Times;serif"/>
          <w:sz w:val="22"/>
        </w:rPr>
        <w:t xml:space="preserve">(i)no Default or Event of Default shall then exist, or, after giving pro forma effect to any such Incremental Increase (including a pro forma calculation of the financial covenants set forth in </w:t>
      </w:r>
      <w:r>
        <w:rPr>
          <w:rFonts w:ascii="Times New Roman;Times;serif" w:hAnsi="Times New Roman;Times;serif"/>
          <w:sz w:val="22"/>
          <w:u w:val="single"/>
        </w:rPr>
        <w:t>Section 5.7</w:t>
      </w:r>
      <w:r>
        <w:rPr>
          <w:rFonts w:ascii="Aptos" w:hAnsi="Aptos"/>
          <w:sz w:val="24"/>
        </w:rPr>
        <w:t xml:space="preserve"> </w:t>
      </w:r>
      <w:r>
        <w:rPr>
          <w:rFonts w:ascii="Times New Roman;Times;serif" w:hAnsi="Times New Roman;Times;serif"/>
          <w:sz w:val="22"/>
        </w:rPr>
        <w:t xml:space="preserve">hereof) would exist;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that to the extent the proceeds of such Incremental Increase are to be applied to finance a substantially concurrent Acquisition permitted hereunder that is not conditioned on the availability of financing (each such acquisition, a “</w:t>
      </w:r>
      <w:r>
        <w:rPr>
          <w:rFonts w:ascii="Times New Roman;Times;serif" w:hAnsi="Times New Roman;Times;serif"/>
          <w:sz w:val="22"/>
          <w:u w:val="single"/>
        </w:rPr>
        <w:t xml:space="preserve">Limited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58</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720" w:right="0" w:hanging="0"/>
        <w:jc w:val="both"/>
        <w:rPr>
          <w:rFonts w:ascii="Aptos" w:hAnsi="Aptos"/>
          <w:sz w:val="24"/>
        </w:rPr>
      </w:pPr>
      <w:r>
        <w:rPr>
          <w:rFonts w:ascii="Times New Roman;Times;serif" w:hAnsi="Times New Roman;Times;serif"/>
          <w:sz w:val="22"/>
          <w:u w:val="single"/>
        </w:rPr>
        <w:t>Conditionality Acquisition</w:t>
      </w:r>
      <w:r>
        <w:rPr>
          <w:rFonts w:ascii="Aptos" w:hAnsi="Aptos"/>
          <w:sz w:val="24"/>
        </w:rPr>
        <w:t>”</w:t>
      </w:r>
      <w:r>
        <w:rPr>
          <w:rFonts w:ascii="Times New Roman;Times;serif" w:hAnsi="Times New Roman;Times;serif"/>
          <w:sz w:val="22"/>
        </w:rPr>
        <w:t xml:space="preserve">), the availability thereof shall, if agreed by the lenders providing such Incremental Increase, be subject to no Default or Event of Default existing at the time of execution of the definitive agreement for such Limited Conditionality Acquisition and no Event of Default under </w:t>
      </w:r>
      <w:r>
        <w:rPr>
          <w:rFonts w:ascii="Times New Roman;Times;serif" w:hAnsi="Times New Roman;Times;serif"/>
          <w:sz w:val="22"/>
          <w:u w:val="single"/>
        </w:rPr>
        <w:t>Section 7.1</w:t>
      </w:r>
      <w:r>
        <w:rPr>
          <w:rFonts w:ascii="Aptos" w:hAnsi="Aptos"/>
          <w:sz w:val="24"/>
        </w:rPr>
        <w:t xml:space="preserve"> </w:t>
      </w:r>
      <w:r>
        <w:rPr>
          <w:rFonts w:ascii="Times New Roman;Times;serif" w:hAnsi="Times New Roman;Times;serif"/>
          <w:sz w:val="22"/>
        </w:rPr>
        <w:t xml:space="preserve">or </w:t>
      </w:r>
      <w:r>
        <w:rPr>
          <w:rFonts w:ascii="Times New Roman;Times;serif" w:hAnsi="Times New Roman;Times;serif"/>
          <w:sz w:val="22"/>
          <w:u w:val="single"/>
        </w:rPr>
        <w:t>7.11</w:t>
      </w:r>
      <w:r>
        <w:rPr>
          <w:rFonts w:ascii="Aptos" w:hAnsi="Aptos"/>
          <w:sz w:val="24"/>
        </w:rPr>
        <w:t xml:space="preserve"> </w:t>
      </w:r>
      <w:r>
        <w:rPr>
          <w:rFonts w:ascii="Times New Roman;Times;serif" w:hAnsi="Times New Roman;Times;serif"/>
          <w:sz w:val="22"/>
        </w:rPr>
        <w:t>hereof existing immediately prior to or after giving effect to the incurrence of such Incremental Increase;</w:t>
      </w:r>
    </w:p>
    <w:p>
      <w:pPr>
        <w:pStyle w:val="TextBody"/>
        <w:bidi w:val="0"/>
        <w:spacing w:lineRule="auto" w:line="285" w:before="0" w:after="240"/>
        <w:ind w:left="720" w:right="0" w:hanging="0"/>
        <w:jc w:val="both"/>
        <w:rPr>
          <w:rFonts w:ascii="Aptos" w:hAnsi="Aptos"/>
          <w:sz w:val="24"/>
        </w:rPr>
      </w:pPr>
      <w:r>
        <w:rPr>
          <w:rFonts w:ascii="Times New Roman;Times;serif" w:hAnsi="Times New Roman;Times;serif"/>
          <w:sz w:val="22"/>
        </w:rPr>
        <w:t xml:space="preserve">(ii)all of the representations and warranties set forth in </w:t>
      </w:r>
      <w:r>
        <w:rPr>
          <w:rFonts w:ascii="Times New Roman;Times;serif" w:hAnsi="Times New Roman;Times;serif"/>
          <w:sz w:val="22"/>
          <w:u w:val="single"/>
        </w:rPr>
        <w:t>Article VI</w:t>
      </w:r>
      <w:r>
        <w:rPr>
          <w:rFonts w:ascii="Aptos" w:hAnsi="Aptos"/>
          <w:sz w:val="24"/>
        </w:rPr>
        <w:t xml:space="preserve"> </w:t>
      </w:r>
      <w:r>
        <w:rPr>
          <w:rFonts w:ascii="Times New Roman;Times;serif" w:hAnsi="Times New Roman;Times;serif"/>
          <w:sz w:val="22"/>
        </w:rPr>
        <w:t xml:space="preserve">hereof shall be true and correct in all material respects (or if qualified by materiality or Material Adverse Effect, in all respects) as of the effective date of such Incremental Increase, or if such representation speaks as of an earlier date, as of such earlier date;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that to the extent the proceeds of any Incremental Increase are intended to be applied to finance a substantially concurrent Limited Conditionality Acquisition, the condition specified in this clause (ii) shall, if agreed by the lenders providing such Incremental Increase, be subject to customary “SunGard” or other customary applicable “certain funds” conditionality provisions; and</w:t>
      </w:r>
    </w:p>
    <w:p>
      <w:pPr>
        <w:pStyle w:val="TextBody"/>
        <w:bidi w:val="0"/>
        <w:spacing w:lineRule="auto" w:line="285" w:before="0" w:after="0"/>
        <w:ind w:left="720" w:right="0" w:hanging="0"/>
        <w:jc w:val="both"/>
        <w:rPr>
          <w:rFonts w:ascii="Aptos" w:hAnsi="Aptos"/>
          <w:sz w:val="24"/>
        </w:rPr>
      </w:pPr>
      <w:r>
        <w:rPr>
          <w:rFonts w:ascii="Times New Roman;Times;serif" w:hAnsi="Times New Roman;Times;serif"/>
          <w:sz w:val="22"/>
        </w:rPr>
        <w:t>(iii)</w:t>
      </w:r>
      <w:bookmarkStart w:id="1827" w:name="_Hlk172890773"/>
      <w:bookmarkEnd w:id="1827"/>
      <w:r>
        <w:rPr>
          <w:rFonts w:ascii="Times New Roman;Times;serif" w:hAnsi="Times New Roman;Times;serif"/>
          <w:sz w:val="22"/>
        </w:rPr>
        <w:t xml:space="preserve">Agent shall have received from the Administrative Borrower, a Compliance Certificate demonstrating that US Borrower is in pro forma compliance with the financial covenants set forth in </w:t>
      </w:r>
      <w:r>
        <w:rPr>
          <w:rFonts w:ascii="Times New Roman;Times;serif" w:hAnsi="Times New Roman;Times;serif"/>
          <w:sz w:val="22"/>
          <w:u w:val="single"/>
        </w:rPr>
        <w:t>Section 5.7</w:t>
      </w:r>
      <w:r>
        <w:rPr>
          <w:rFonts w:ascii="Aptos" w:hAnsi="Aptos"/>
          <w:sz w:val="24"/>
        </w:rPr>
        <w:t xml:space="preserve"> </w:t>
      </w:r>
      <w:r>
        <w:rPr>
          <w:rFonts w:ascii="Times New Roman;Times;serif" w:hAnsi="Times New Roman;Times;serif"/>
          <w:sz w:val="22"/>
        </w:rPr>
        <w:t xml:space="preserve">hereof for the most recently completed fiscal quarter after giving effect to such Incremental Increase (assuming that the entire applicable Incremental Term Loan is fully funded on the effective date thereof) and the use of proceeds thereof (including any permitted Acquisition or prepayment of Indebtedness);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 xml:space="preserve">that for purposes of calculating the Net Leverage Ratio and the Secured Net Leverage Ratio, the proceeds from any such Incremental Increase shall not be netted from Consolidated Funded Indebtedness;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further</w:t>
      </w:r>
      <w:r>
        <w:rPr>
          <w:rFonts w:ascii="Times New Roman;Times;serif" w:hAnsi="Times New Roman;Times;serif"/>
          <w:sz w:val="22"/>
        </w:rPr>
        <w:t>, that to the extent the proceeds of such Incremental Increase are to be applied to finance a substantially concurrent Limited Conditionality Acquisition, such pro forma compliance shall, if agreed by the lenders providing such Incremental Increase, be determined at the time of execution of the definitive agreement for such Limited Conditionality Acquisition.</w:t>
      </w:r>
    </w:p>
    <w:p>
      <w:pPr>
        <w:pStyle w:val="TextBody"/>
        <w:bidi w:val="0"/>
        <w:spacing w:lineRule="auto" w:line="285" w:before="0" w:after="0"/>
        <w:ind w:left="0" w:right="0" w:hanging="0"/>
        <w:jc w:val="both"/>
        <w:rPr>
          <w:rFonts w:ascii="Aptos" w:hAnsi="Aptos"/>
          <w:sz w:val="24"/>
        </w:rPr>
      </w:pPr>
      <w:r>
        <w:rPr>
          <w:rFonts w:ascii="Times New Roman;Times;serif" w:hAnsi="Times New Roman;Times;serif"/>
          <w:sz w:val="22"/>
        </w:rPr>
        <w:t>(e)</w:t>
      </w:r>
      <w:r>
        <w:rPr>
          <w:rFonts w:ascii="Times New Roman;Times;serif" w:hAnsi="Times New Roman;Times;serif"/>
          <w:sz w:val="22"/>
          <w:u w:val="single"/>
        </w:rPr>
        <w:t>Modifications to Commitments</w:t>
      </w:r>
      <w:r>
        <w:rPr>
          <w:rFonts w:ascii="Times New Roman;Times;serif" w:hAnsi="Times New Roman;Times;serif"/>
          <w:sz w:val="22"/>
        </w:rPr>
        <w:t xml:space="preserve">. Notwithstanding anything in this Agreement to the contrary, each Lender hereby irrevocably authorizes Agent on its behalf, and without further consent, to enter into amendments or modifications to this Agreement or any of the other Loan Documents or to enter into additional Loan Documents as Agent reasonably deems appropriate in order to effectuate the terms of </w:t>
      </w:r>
      <w:r>
        <w:rPr>
          <w:rFonts w:ascii="Times New Roman;Times;serif" w:hAnsi="Times New Roman;Times;serif"/>
          <w:sz w:val="22"/>
          <w:u w:val="single"/>
        </w:rPr>
        <w:t>Section 2.9(b)</w:t>
      </w:r>
      <w:r>
        <w:rPr>
          <w:rFonts w:ascii="Aptos" w:hAnsi="Aptos"/>
          <w:sz w:val="24"/>
        </w:rPr>
        <w:t xml:space="preserve"> </w:t>
      </w:r>
      <w:r>
        <w:rPr>
          <w:rFonts w:ascii="Times New Roman;Times;serif" w:hAnsi="Times New Roman;Times;serif"/>
          <w:sz w:val="22"/>
        </w:rPr>
        <w:t>hereof (including, without limitation, as applicable, (i) to permit the Incremental Term Loans and the Incremental Revolving Credit Increases to share ratably in the benefits of this Agreement and the other Loan Documents and (ii) to include the Incremental Term Loan Commitments and the Incremental Revolving Credit Increase, as applicable, or outstanding Incremental Term Loans and outstanding Incremental Revolving Credit Increase, as applicable, in any determination of (A) Required Lenders or (B) similar required lender terms applicable thereto).</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2.10</w:t>
      </w:r>
      <w:bookmarkStart w:id="1828" w:name="_Toc236844308"/>
      <w:bookmarkStart w:id="1829" w:name="_Toc172896653"/>
      <w:bookmarkEnd w:id="1828"/>
      <w:bookmarkEnd w:id="1829"/>
      <w:r>
        <w:rPr>
          <w:rFonts w:ascii="Times New Roman;Times;serif" w:hAnsi="Times New Roman;Times;serif"/>
          <w:sz w:val="22"/>
          <w:u w:val="single"/>
        </w:rPr>
        <w:t>Computation of Interest and Fees</w:t>
      </w:r>
      <w:r>
        <w:rPr>
          <w:rFonts w:ascii="Times New Roman;Times;serif" w:hAnsi="Times New Roman;Times;serif"/>
          <w:sz w:val="22"/>
        </w:rPr>
        <w:t>.  With the exception of Base Rate Loans and Alternate Currency Loans denominated in Sterling, Australian Dollars or New Zealand Dollars, interest on Loans, Letter of Credit fees, Related Expenses and commitment and other fees and charges hereunder shall be computed on the basis of a year having three hundred sixty (360) days and calculated for the actual number of days elapsed.  With respect to Base Rate Loans and Alternate Currency Loans denominated in Sterling, Australian Dollars or New Zealand Dollars, interest shall be computed on the basis of a year having three hundred sixty-five (365) days or three hundred sixty-six (366) days, as the case may be, and calculated for the actual number of days elapsed.</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59</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2.11</w:t>
      </w:r>
      <w:bookmarkStart w:id="1830" w:name="_Toc236844309"/>
      <w:bookmarkStart w:id="1831" w:name="_Toc172896654"/>
      <w:bookmarkEnd w:id="1830"/>
      <w:bookmarkEnd w:id="1831"/>
      <w:r>
        <w:rPr>
          <w:rFonts w:ascii="Times New Roman;Times;serif" w:hAnsi="Times New Roman;Times;serif"/>
          <w:sz w:val="22"/>
          <w:u w:val="single"/>
        </w:rPr>
        <w:t>Mandatory Payments</w:t>
      </w:r>
      <w:r>
        <w:rPr>
          <w:rFonts w:ascii="Times New Roman;Times;serif" w:hAnsi="Times New Roman;Times;serif"/>
          <w:sz w:val="22"/>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(a)</w:t>
      </w:r>
      <w:r>
        <w:rPr>
          <w:rFonts w:ascii="Times New Roman;Times;serif" w:hAnsi="Times New Roman;Times;serif"/>
          <w:sz w:val="22"/>
          <w:u w:val="single"/>
        </w:rPr>
        <w:t>Revolving Credit Exposure</w:t>
      </w:r>
      <w:r>
        <w:rPr>
          <w:rFonts w:ascii="Times New Roman;Times;serif" w:hAnsi="Times New Roman;Times;serif"/>
          <w:sz w:val="22"/>
        </w:rPr>
        <w:t>.  If, at any time, the Revolving Credit Exposure shall exceed the Revolving Credit Commitment, US Borrower (and the appropriate Foreign Borrowers) shall, as promptly as practicable, but in no event later than the next Business Day, pay an aggregate principal amount of the Revolving Loans sufficient to bring the Revolving Credit Exposure within the Revolving Credit Commitment.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(b)</w:t>
      </w:r>
      <w:r>
        <w:rPr>
          <w:rFonts w:ascii="Times New Roman;Times;serif" w:hAnsi="Times New Roman;Times;serif"/>
          <w:sz w:val="22"/>
          <w:u w:val="single"/>
        </w:rPr>
        <w:t>Swing Line Exposure</w:t>
      </w:r>
      <w:r>
        <w:rPr>
          <w:rFonts w:ascii="Times New Roman;Times;serif" w:hAnsi="Times New Roman;Times;serif"/>
          <w:sz w:val="22"/>
        </w:rPr>
        <w:t>.  If, at any time, the Swing Line Exposure shall exceed the Swing Line Commitment, US Borrower shall, as promptly as practicable, but in no event later than the next Business Day, pay an aggregate principal amount of the Swing Loans sufficient to bring the Swing Line Exposure within the Swing Line Commitment.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(c)</w:t>
      </w:r>
      <w:r>
        <w:rPr>
          <w:rFonts w:ascii="Times New Roman;Times;serif" w:hAnsi="Times New Roman;Times;serif"/>
          <w:sz w:val="22"/>
          <w:u w:val="single"/>
        </w:rPr>
        <w:t>Alternate Currency Exposure</w:t>
      </w:r>
      <w:r>
        <w:rPr>
          <w:rFonts w:ascii="Times New Roman;Times;serif" w:hAnsi="Times New Roman;Times;serif"/>
          <w:sz w:val="22"/>
        </w:rPr>
        <w:t>.  If, at any time, the Alternate Currency Exposure shall exceed the Alternate Currency Maximum Amount, US Borrower (and the appropriate Foreign Borrowers) shall, as promptly as practicable, but in no event later than the next Business Day, pay an aggregate principal amount of the Alternate Currency Loans sufficient to bring the Alternate Currency Exposure within the Alternate Currency Maximum Amount.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(d)</w:t>
      </w:r>
      <w:r>
        <w:rPr>
          <w:rFonts w:ascii="Times New Roman;Times;serif" w:hAnsi="Times New Roman;Times;serif"/>
          <w:sz w:val="22"/>
          <w:u w:val="single"/>
        </w:rPr>
        <w:t>Debt Issuances</w:t>
      </w:r>
      <w:r>
        <w:rPr>
          <w:rFonts w:ascii="Times New Roman;Times;serif" w:hAnsi="Times New Roman;Times;serif"/>
          <w:sz w:val="22"/>
        </w:rPr>
        <w:t xml:space="preserve">.  During the Covenant Adjustment Period, the US Borrower (and the appropriate Foreign Borrowers, if applicable) shall make mandatory principal prepayments of the Revolving Loans, Swing Line Loans and/or Cash Collateralize the Letter of Credit Exposure in the manner set forth in clause (g) below in an amount equal to one hundred percent (100%) of the aggregate Net Cash Proceeds from any Debt Issuance not permitted pursuant to </w:t>
      </w:r>
      <w:r>
        <w:rPr>
          <w:rFonts w:ascii="Times New Roman;Times;serif" w:hAnsi="Times New Roman;Times;serif"/>
          <w:sz w:val="22"/>
          <w:u w:val="single"/>
        </w:rPr>
        <w:t>Section 5.8</w:t>
      </w:r>
      <w:r>
        <w:rPr>
          <w:rFonts w:ascii="Times New Roman;Times;serif" w:hAnsi="Times New Roman;Times;serif"/>
          <w:sz w:val="22"/>
        </w:rPr>
        <w:t>.  Such prepayment shall be made within three (3) Business Days after the date of receipt of the Net Cash Proceeds of any such Debt Issuance.</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(e)</w:t>
      </w:r>
      <w:r>
        <w:rPr>
          <w:rFonts w:ascii="Times New Roman;Times;serif" w:hAnsi="Times New Roman;Times;serif"/>
          <w:sz w:val="22"/>
          <w:u w:val="single"/>
        </w:rPr>
        <w:t>Equity Issuances</w:t>
      </w:r>
      <w:r>
        <w:rPr>
          <w:rFonts w:ascii="Times New Roman;Times;serif" w:hAnsi="Times New Roman;Times;serif"/>
          <w:sz w:val="22"/>
        </w:rPr>
        <w:t>.  During the Covenant Adjustment Period, the US Borrower (and the appropriate Foreign Borrowers, if applicable) shall make mandatory principal prepayments of the Revolving Loans, Swing Line Loans and/or Cash Collateralize the Letter of Credit Exposure in the manner set forth in clause (g) below in an amount equal to one hundred percent (100%) of the aggregate Net Cash Proceeds from any Equity Issuance other than the exercise price on stock options issued as part of employee or director compensation.  Such prepayment shall be made within three (3) Business Days after the date of receipt of the Net Cash Proceeds of any such Equity Issuance.</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(f)</w:t>
      </w:r>
      <w:r>
        <w:rPr>
          <w:rFonts w:ascii="Times New Roman;Times;serif" w:hAnsi="Times New Roman;Times;serif"/>
          <w:sz w:val="22"/>
          <w:u w:val="single"/>
        </w:rPr>
        <w:t>Sale of Assets</w:t>
      </w:r>
      <w:r>
        <w:rPr>
          <w:rFonts w:ascii="Times New Roman;Times;serif" w:hAnsi="Times New Roman;Times;serif"/>
          <w:sz w:val="22"/>
        </w:rPr>
        <w:t xml:space="preserve">.  During the Covenant Adjustment Period, the US Borrower (and the appropriate Foreign Borrowers, if applicable) shall make mandatory principal prepayments of the Revolving Loans, Swing Line Loans and/or Cash Collateralize the Letter of Credit Exposure in the manner set forth in clause (g) below in amounts equal to one hundred percent (100%) of the aggregate Net Cash Proceeds from </w:t>
      </w:r>
      <w:bookmarkStart w:id="1832" w:name="_Hlk173331793"/>
      <w:bookmarkEnd w:id="1832"/>
      <w:r>
        <w:rPr>
          <w:rFonts w:ascii="Times New Roman;Times;serif" w:hAnsi="Times New Roman;Times;serif"/>
          <w:sz w:val="22"/>
        </w:rPr>
        <w:t xml:space="preserve">any sale, lease, transfer or other disposition of any assets (including pursuant to a statutory division, but excluding involuntary dispositions constituting a casualty or condemnation event) to any Person (other than any sale, lease, transfer or other disposition of any assets permitted pursuant to, and in accordance with, clauses (a), (b), (c), (d), (e), (g), (h), (i) (other than any sale, lease, transfer or other disposition to a Company that is not a Credit Party), (k) and (l) of </w:t>
      </w:r>
      <w:r>
        <w:rPr>
          <w:rFonts w:ascii="Times New Roman;Times;serif" w:hAnsi="Times New Roman;Times;serif"/>
          <w:sz w:val="22"/>
          <w:u w:val="single"/>
        </w:rPr>
        <w:t>Section 5.12</w:t>
      </w:r>
      <w:r>
        <w:rPr>
          <w:rFonts w:ascii="Times New Roman;Times;serif" w:hAnsi="Times New Roman;Times;serif"/>
          <w:sz w:val="22"/>
        </w:rPr>
        <w:t xml:space="preserve">) to the extent that the aggregate amount of such Net Cash Proceeds from such sale, lease, transfer or other disposition following the Tenth Amendment Effective Date exceed $5,000,000 in the aggregate during the Covenant Adjustment Period. Such prepayments shall be made within three (3) Business Days (or in the case of Foreign Proceeds, 30 days or such longer period as may be agreed by the Agent) after the date of receipt of the Net Cash Proceeds (or such later date as may be approved by the Agent in its discretion for the purpose of avoiding breakage costs); </w:t>
      </w:r>
      <w:r>
        <w:rPr>
          <w:rFonts w:ascii="Times New Roman;Times;serif" w:hAnsi="Times New Roman;Times;serif"/>
          <w:sz w:val="22"/>
          <w:u w:val="single"/>
        </w:rPr>
        <w:t>provided</w:t>
      </w:r>
      <w:r>
        <w:rPr>
          <w:rFonts w:ascii="Times New Roman;Times;serif" w:hAnsi="Times New Roman;Times;serif"/>
          <w:sz w:val="22"/>
        </w:rPr>
        <w:t xml:space="preserve">, however, that in the case of any transaction subject to the requirements of this </w:t>
      </w:r>
      <w:r>
        <w:rPr>
          <w:rFonts w:ascii="Times New Roman;Times;serif" w:hAnsi="Times New Roman;Times;serif"/>
          <w:sz w:val="22"/>
          <w:u w:val="single"/>
        </w:rPr>
        <w:t>Section 2.11(f)</w:t>
      </w:r>
      <w:r>
        <w:rPr>
          <w:rFonts w:ascii="Aptos" w:hAnsi="Aptos"/>
          <w:sz w:val="24"/>
        </w:rPr>
        <w:t xml:space="preserve"> </w:t>
      </w:r>
      <w:r>
        <w:rPr>
          <w:rFonts w:ascii="Times New Roman;Times;serif" w:hAnsi="Times New Roman;Times;serif"/>
          <w:sz w:val="22"/>
        </w:rPr>
        <w:t>relates to assets of a Foreign Subsidiary (the “</w:t>
      </w:r>
      <w:r>
        <w:rPr>
          <w:rFonts w:ascii="Times New Roman;Times;serif" w:hAnsi="Times New Roman;Times;serif"/>
          <w:sz w:val="22"/>
          <w:u w:val="single"/>
        </w:rPr>
        <w:t>Foreign Proceeds</w:t>
      </w:r>
      <w:r>
        <w:rPr>
          <w:rFonts w:ascii="Aptos" w:hAnsi="Aptos"/>
          <w:sz w:val="24"/>
        </w:rPr>
        <w:t>”</w:t>
      </w:r>
      <w:r>
        <w:rPr>
          <w:rFonts w:ascii="Times New Roman;Times;serif" w:hAnsi="Times New Roman;Times;serif"/>
          <w:sz w:val="22"/>
        </w:rPr>
        <w:t xml:space="preserve">), if the repatriation of such Foreign Proceeds would (A) have a material adverse tax consequence to any Company or (B) not be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60</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 xml:space="preserve">permitted under local applicable law (e.g., financial assistance, corporate benefit, restrictions on upstreaming of cash intra group and the fiduciary and statutory duties of the directors of the relevant Subsidiaries), in each case, then such Foreign Proceeds shall not be required to be applied pursuant to clause (g) until such time as such Foreign Proceeds may be repatriated without causing material adverse tax consequences or such restrictions under local applicable law no longer exist, </w:t>
      </w:r>
      <w:bookmarkStart w:id="1833" w:name="_Hlk173396612"/>
      <w:bookmarkEnd w:id="1833"/>
      <w:r>
        <w:rPr>
          <w:rFonts w:ascii="Times New Roman;Times;serif" w:hAnsi="Times New Roman;Times;serif"/>
          <w:sz w:val="22"/>
        </w:rPr>
        <w:t>after which, promptly upon such repatriation thereof, such Foreign Proceeds shall be applied in accordance with clause (g) below.</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(g)</w:t>
      </w:r>
      <w:r>
        <w:rPr>
          <w:rFonts w:ascii="Times New Roman;Times;serif" w:hAnsi="Times New Roman;Times;serif"/>
          <w:sz w:val="22"/>
          <w:u w:val="single"/>
        </w:rPr>
        <w:t>Application of Mandatory Payments</w:t>
      </w:r>
      <w:r>
        <w:rPr>
          <w:rFonts w:ascii="Times New Roman;Times;serif" w:hAnsi="Times New Roman;Times;serif"/>
          <w:sz w:val="22"/>
        </w:rPr>
        <w:t xml:space="preserve">.  Each prepayment pursuant to Section 5.30 or clauses (a), (b), (c), (d), (e) and (f) hereof shall be applied in the following order (i) first, on a pro rata basis for the Revolving Lenders, to outstanding Revolving Loans that are Base Rate Loans or Daily Simple RFR Loans, (ii) second, on a pro rata basis for the Revolving Lenders, to outstanding Revolving Loans that are Term RFR Loans, and (iii) third, on a pro rata basis for the Revolving Lenders, to outstanding Revolving Loans that are Alternate Currency Loans;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 xml:space="preserve">that, if the outstanding principal amount of any Eurodollar Fixed Rate Loan shall be reduced to an amount less than the minimum amount set forth in </w:t>
      </w:r>
      <w:r>
        <w:rPr>
          <w:rFonts w:ascii="Times New Roman;Times;serif" w:hAnsi="Times New Roman;Times;serif"/>
          <w:sz w:val="22"/>
          <w:u w:val="single"/>
        </w:rPr>
        <w:t>Section 2.5(d)</w:t>
      </w:r>
      <w:r>
        <w:rPr>
          <w:rFonts w:ascii="Aptos" w:hAnsi="Aptos"/>
          <w:sz w:val="24"/>
        </w:rPr>
        <w:t xml:space="preserve"> </w:t>
      </w:r>
      <w:r>
        <w:rPr>
          <w:rFonts w:ascii="Times New Roman;Times;serif" w:hAnsi="Times New Roman;Times;serif"/>
          <w:sz w:val="22"/>
        </w:rPr>
        <w:t xml:space="preserve">hereof as a result of such prepayment, then such Eurodollar Fixed Rate Loan shall be converted into a Base Rate Loan on the date of such required prepayment (regardless of whether there are any outstanding Revolving Loans, Swing Line Loans or Letters of Credit prior to or immediately following such prepayment);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further</w:t>
      </w:r>
      <w:r>
        <w:rPr>
          <w:rFonts w:ascii="Times New Roman;Times;serif" w:hAnsi="Times New Roman;Times;serif"/>
          <w:sz w:val="22"/>
        </w:rPr>
        <w:t xml:space="preserve">, that (i) any prepayment equal to or in excess of $5,000,000 pursuant to clauses (d), (e) and (f) above, in each case shall permanently reduce the Revolving Credit Commitment on the date of the required payment in an amount equal to the amount of such prepayment. Any prepayment of a Eurodollar Fixed Rate Loan pursuant to this </w:t>
      </w:r>
      <w:r>
        <w:rPr>
          <w:rFonts w:ascii="Times New Roman;Times;serif" w:hAnsi="Times New Roman;Times;serif"/>
          <w:sz w:val="22"/>
          <w:u w:val="single"/>
        </w:rPr>
        <w:t>Section 2.11</w:t>
      </w:r>
      <w:r>
        <w:rPr>
          <w:rFonts w:ascii="Aptos" w:hAnsi="Aptos"/>
          <w:sz w:val="24"/>
        </w:rPr>
        <w:t xml:space="preserve"> </w:t>
      </w:r>
      <w:r>
        <w:rPr>
          <w:rFonts w:ascii="Times New Roman;Times;serif" w:hAnsi="Times New Roman;Times;serif"/>
          <w:sz w:val="22"/>
        </w:rPr>
        <w:t xml:space="preserve">shall be subject to the prepayment provisions set forth in </w:t>
      </w:r>
      <w:r>
        <w:rPr>
          <w:rFonts w:ascii="Times New Roman;Times;serif" w:hAnsi="Times New Roman;Times;serif"/>
          <w:sz w:val="22"/>
          <w:u w:val="single"/>
        </w:rPr>
        <w:t>Article III</w:t>
      </w:r>
      <w:r>
        <w:rPr>
          <w:rFonts w:ascii="Aptos" w:hAnsi="Aptos"/>
          <w:sz w:val="24"/>
        </w:rPr>
        <w:t xml:space="preserve"> </w:t>
      </w:r>
      <w:r>
        <w:rPr>
          <w:rFonts w:ascii="Times New Roman;Times;serif" w:hAnsi="Times New Roman;Times;serif"/>
          <w:sz w:val="22"/>
        </w:rPr>
        <w:t>hereof.</w:t>
      </w:r>
    </w:p>
    <w:p>
      <w:pPr>
        <w:pStyle w:val="TextBody"/>
        <w:bidi w:val="0"/>
        <w:spacing w:lineRule="auto" w:line="285" w:before="0" w:after="0"/>
        <w:ind w:left="0" w:right="0" w:hanging="0"/>
        <w:jc w:val="both"/>
        <w:rPr>
          <w:rFonts w:ascii="Aptos" w:hAnsi="Aptos"/>
          <w:sz w:val="24"/>
        </w:rPr>
      </w:pPr>
      <w:r>
        <w:rPr>
          <w:rFonts w:ascii="Times New Roman;Times;serif" w:hAnsi="Times New Roman;Times;serif"/>
          <w:sz w:val="22"/>
        </w:rPr>
        <w:t>(h)</w:t>
      </w:r>
      <w:r>
        <w:rPr>
          <w:rFonts w:ascii="Times New Roman;Times;serif" w:hAnsi="Times New Roman;Times;serif"/>
          <w:sz w:val="22"/>
          <w:u w:val="single"/>
        </w:rPr>
        <w:t>Corresponding Payment</w:t>
      </w:r>
      <w:r>
        <w:rPr>
          <w:rFonts w:ascii="Times New Roman;Times;serif" w:hAnsi="Times New Roman;Times;serif"/>
          <w:sz w:val="22"/>
        </w:rPr>
        <w:t xml:space="preserve">.  Each permanent reduction required pursuant to clause (g) above shall be accompanied by a payment of principal sufficient to reduce the aggregate outstanding Revolving Loans after such reduction to the Revolving Credit Commitment as so reduced, and if the aggregate amount of all outstanding Letters of Credit exceeds the Revolving Credit Commitment as so reduced, the US Borrower shall be required to Cash Collateralize the Letter of Credit Exposure in an amount equal to such excess.  Any reduction of the Revolving Credit Commitment to zero shall be accompanied by payment of all outstanding Revolving Loans and Swing Loans (and furnishing of Cash Collateral satisfactory to the Agent for all Letter of Credit Exposure or other arrangements satisfactory to the Fronting Lender) and shall result in the termination of the Revolving Credit Commitment and the Swing Line Commitment and the revolving credit facility established pursuant to </w:t>
      </w:r>
      <w:r>
        <w:rPr>
          <w:rFonts w:ascii="Times New Roman;Times;serif" w:hAnsi="Times New Roman;Times;serif"/>
          <w:sz w:val="22"/>
          <w:u w:val="single"/>
        </w:rPr>
        <w:t>Article II</w:t>
      </w:r>
      <w:r>
        <w:rPr>
          <w:rFonts w:ascii="Times New Roman;Times;serif" w:hAnsi="Times New Roman;Times;serif"/>
          <w:sz w:val="22"/>
        </w:rPr>
        <w:t xml:space="preserve">.  If the reduction of the Revolving Credit Commitment requires the repayment of any Eurodollar Fixed Rate Loan, such repayment shall be accompanied by any amount required to be paid pursuant to </w:t>
      </w:r>
      <w:r>
        <w:rPr>
          <w:rFonts w:ascii="Times New Roman;Times;serif" w:hAnsi="Times New Roman;Times;serif"/>
          <w:sz w:val="22"/>
          <w:u w:val="single"/>
        </w:rPr>
        <w:t>Section 3.3</w:t>
      </w:r>
      <w:r>
        <w:rPr>
          <w:rFonts w:ascii="Aptos" w:hAnsi="Aptos"/>
          <w:sz w:val="24"/>
        </w:rPr>
        <w:t xml:space="preserve"> </w:t>
      </w:r>
      <w:r>
        <w:rPr>
          <w:rFonts w:ascii="Times New Roman;Times;serif" w:hAnsi="Times New Roman;Times;serif"/>
          <w:sz w:val="22"/>
        </w:rPr>
        <w:t>hereof.</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2.12</w:t>
      </w:r>
      <w:bookmarkStart w:id="1834" w:name="_Toc236844310"/>
      <w:bookmarkStart w:id="1835" w:name="_Toc172896655"/>
      <w:bookmarkEnd w:id="1834"/>
      <w:bookmarkEnd w:id="1835"/>
      <w:r>
        <w:rPr>
          <w:rFonts w:ascii="Times New Roman;Times;serif" w:hAnsi="Times New Roman;Times;serif"/>
          <w:sz w:val="22"/>
          <w:u w:val="single"/>
        </w:rPr>
        <w:t>Liability of Borrowers</w:t>
      </w:r>
      <w:r>
        <w:rPr>
          <w:rFonts w:ascii="Times New Roman;Times;serif" w:hAnsi="Times New Roman;Times;serif"/>
          <w:sz w:val="24"/>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(a)</w:t>
      </w:r>
      <w:r>
        <w:rPr>
          <w:rFonts w:ascii="Times New Roman;Times;serif" w:hAnsi="Times New Roman;Times;serif"/>
          <w:sz w:val="22"/>
          <w:u w:val="single"/>
        </w:rPr>
        <w:t>Joint and Several Liability</w:t>
      </w:r>
      <w:r>
        <w:rPr>
          <w:rFonts w:ascii="Times New Roman;Times;serif" w:hAnsi="Times New Roman;Times;serif"/>
          <w:sz w:val="22"/>
        </w:rPr>
        <w:t xml:space="preserve">.  Each Borrower hereby authorizes Administrative Borrower or any other Borrower to request Loans or Letters of Credit hereunder.  Each Borrower acknowledges and agrees that Agent and the Lenders are entering into this Agreement at the request of each Borrower and with the understanding that US Borrower is and shall remain fully liable, jointly and severally, for payment in full of the Obligations, and each Foreign Borrower is and shall remain fully liable for payment in full of the Obligations of any other Foreign Borrower, as set forth in the Loan Documents.  Each Borrower agrees that it is receiving or will receive a direct pecuniary benefit for each Loan made or Letter of Credit issued hereunder (including the Obligations of Foreign Borrowers through </w:t>
      </w:r>
      <w:r>
        <w:rPr>
          <w:rFonts w:ascii="Times New Roman;Times;serif" w:hAnsi="Times New Roman;Times;serif"/>
          <w:sz w:val="22"/>
          <w:u w:val="single"/>
        </w:rPr>
        <w:t>Article XI</w:t>
      </w:r>
      <w:r>
        <w:rPr>
          <w:rFonts w:ascii="Aptos" w:hAnsi="Aptos"/>
          <w:sz w:val="24"/>
        </w:rPr>
        <w:t xml:space="preserve"> </w:t>
      </w:r>
      <w:r>
        <w:rPr>
          <w:rFonts w:ascii="Times New Roman;Times;serif" w:hAnsi="Times New Roman;Times;serif"/>
          <w:sz w:val="22"/>
        </w:rPr>
        <w:t>hereof).</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(b)</w:t>
      </w:r>
      <w:r>
        <w:rPr>
          <w:rFonts w:ascii="Times New Roman;Times;serif" w:hAnsi="Times New Roman;Times;serif"/>
          <w:sz w:val="22"/>
          <w:u w:val="single"/>
        </w:rPr>
        <w:t>Appointment of Administrative Borrower</w:t>
      </w:r>
      <w:r>
        <w:rPr>
          <w:rFonts w:ascii="Times New Roman;Times;serif" w:hAnsi="Times New Roman;Times;serif"/>
          <w:sz w:val="22"/>
        </w:rPr>
        <w:t xml:space="preserve">.  Each Borrower hereby irrevocably appoints Administrative Borrower as the borrowing agent and attorney-in-fact for all Borrowers, which appointment shall remain in full force and effect unless and until Agent shall have received prior written notice signed by each Borrower that such appointment has been revoked and that another Borrower has been appointed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61</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Administrative Borrower.  Each Borrower hereby irrevocably appoints and authorizes Administrative Borrower to (i) provide Agent with all notices with respect to Loans and Letters of Credit obtained for the benefit of any Borrower and all other notices and instructions under this Agreement, (ii) take such action as Administrative Borrower deems appropriate on its behalf to obtain Loans and Letters of Credit, and (iii) exercise such other powers as are reasonably incidental thereto to carry out the purposes of this Agreement.  It is understood that the handling of the Collateral of Borrowers in a combined fashion, as more fully set forth herein, is done solely as an accommodation to Borrowers in order to utilize the collective borrowing powers of Borrowers in the most efficient and economical manner and at their request, and that neither Agent nor any Lender shall incur liability to any Borrower as a result hereof.  Each Borrower expects to derive benefit, directly or indirectly, from the handling of the Collateral in a combined fashion since the successful operation of each Borrower is dependent on the continued successful performance of the integrated group.</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(c)</w:t>
      </w:r>
      <w:r>
        <w:rPr>
          <w:rFonts w:ascii="Times New Roman;Times;serif" w:hAnsi="Times New Roman;Times;serif"/>
          <w:sz w:val="22"/>
          <w:u w:val="single"/>
        </w:rPr>
        <w:t>Maximum Liability of Each Foreign Borrower and Rights of Contribution</w:t>
      </w:r>
      <w:r>
        <w:rPr>
          <w:rFonts w:ascii="Times New Roman;Times;serif" w:hAnsi="Times New Roman;Times;serif"/>
          <w:sz w:val="22"/>
        </w:rPr>
        <w:t>.  Anything in this Agreement or any other Loan Document to the contrary notwithstanding, in no event shall the maximum liability of any Foreign Borrower exceed the maximum amount that (after giving effect to the incurring of the obligations hereunder and to any rights to contribution of such Foreign Borrower from other Affiliates of such Foreign Borrower) would not render the rights to payment of Agent and the Lenders hereunder void, voidable or avoidable under any applicable fraudulent transfer law.  Borrowers hereby agree as among themselves that, in connection with the payments made hereunder, each Foreign Borrower shall have a right of contribution from each other Borrower in accordance with applicable law.  Such contribution rights shall be waived until such time as the Secured Obligations (other than (i) contingent obligations which by their terms survive the termination of this Agreement and (ii) obligations and liabilities under Bank Product Agreements or Secured Hedge Agreements as to which arrangements reasonably satisfactory to the applicable Lender (or an entity that is an affiliate of such Lender) shall have been made) have been irrevocably paid in full, and no Borrower shall exercise any such contribution rights until the Secured Obligations have been irrevocably paid in full (other than (i) contingent obligations which by their terms survive the termination of this Agreement and (ii) Secured Hedge Obligations or obligations and liabilities under Bank Product Agreements, in each case as to which arrangements reasonably satisfactory to the applicable Secured Party shall have been made).</w:t>
      </w:r>
    </w:p>
    <w:p>
      <w:pPr>
        <w:pStyle w:val="TextBody"/>
        <w:bidi w:val="0"/>
        <w:spacing w:lineRule="auto" w:line="285"/>
        <w:ind w:left="0" w:right="0" w:hanging="0"/>
        <w:jc w:val="both"/>
        <w:rPr>
          <w:rFonts w:ascii="Aptos" w:hAnsi="Aptos"/>
          <w:sz w:val="24"/>
        </w:rPr>
      </w:pPr>
      <w:r>
        <w:rPr>
          <w:rFonts w:ascii="Times New Roman;Times;serif" w:hAnsi="Times New Roman;Times;serif"/>
          <w:sz w:val="22"/>
        </w:rPr>
        <w:t>(d)</w:t>
      </w:r>
      <w:r>
        <w:rPr>
          <w:rFonts w:ascii="Times New Roman;Times;serif" w:hAnsi="Times New Roman;Times;serif"/>
          <w:sz w:val="22"/>
          <w:u w:val="single"/>
        </w:rPr>
        <w:t>Waivers of Each Borrower</w:t>
      </w:r>
      <w:r>
        <w:rPr>
          <w:rFonts w:ascii="Times New Roman;Times;serif" w:hAnsi="Times New Roman;Times;serif"/>
          <w:sz w:val="22"/>
        </w:rPr>
        <w:t xml:space="preserve">.  In the event that any obligation of any Borrower under this Agreement is deemed to be an agreement by such Borrower to answer for the debt or default of another Credit Party or as an hypothecation of property as security therefor, each Borrower represents and warrants that (i) no representation has been made to such Borrower as to the creditworthiness of such other Credit Party, and (ii) such Borrower has established adequate means of obtaining from such other Credit Party on a continuing basis, financial or other information pertaining to such other Credit Party’s financial condition.  Each Borrower expressly waives, except as expressly required under this Agreement, diligence, demand, presentment, protest and notice of every kind and nature whatsoever, consents to the taking by Agent and the Lenders of any additional security of another Credit Party for the obligations secured hereby, or the alteration or release in any manner of any security of another Credit Party now or hereafter held in connection with the Obligations, and consents that Agent, the Lenders and any other Credit Party may deal with each other in connection with such obligations or otherwise, or alter any contracts now or hereafter existing between them, in any manner whatsoever, including without limitation the renewal, extension, acceleration or changes in time for payment of any such obligations or in the terms or conditions of any security held.  Agent and the Lenders are hereby expressly given the right, at their option, to proceed in the enforcement of any of the Obligations independently of any other remedy or security they may at any time hold in connection with such obligations secured and it shall not be necessary for Agent and the Lenders to proceed upon or against or exhaust any other security or remedy before proceeding to enforce their rights against such Borrower.  Each Borrower further subordinates any right of subrogation, reimbursement, exoneration, contribution, indemnification, setoff or other recourse in respect of sums paid to Agent and the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62</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Lenders by any other Credit Party until such time as the Commitment has been terminated and the Secured Obligations have been repaid in full (other than (i) contingent obligations which by their terms survive the termination of this Agreement and (ii) Secured Hedge Agreements or obligations and liabilities under Bank Product Agreements, in each case as to which arrangements satisfactory to the applicable Secured Party).</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2.13</w:t>
      </w:r>
      <w:r>
        <w:rPr>
          <w:rFonts w:ascii="Times New Roman;Times;serif" w:hAnsi="Times New Roman;Times;serif"/>
          <w:sz w:val="22"/>
          <w:u w:val="single"/>
        </w:rPr>
        <w:t>Addition of Foreign Borrowers</w:t>
      </w:r>
      <w:r>
        <w:rPr>
          <w:rFonts w:ascii="Times New Roman;Times;serif" w:hAnsi="Times New Roman;Times;serif"/>
          <w:sz w:val="22"/>
        </w:rPr>
        <w:t>.  </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(a)</w:t>
      </w:r>
      <w:r>
        <w:rPr>
          <w:rFonts w:ascii="Times New Roman;Times;serif" w:hAnsi="Times New Roman;Times;serif"/>
          <w:sz w:val="22"/>
          <w:u w:val="single"/>
        </w:rPr>
        <w:t>Addition of Foreign Borrower</w:t>
      </w:r>
      <w:r>
        <w:rPr>
          <w:rFonts w:ascii="Times New Roman;Times;serif" w:hAnsi="Times New Roman;Times;serif"/>
          <w:sz w:val="22"/>
        </w:rPr>
        <w:t>.  At the request of Administrative Borrower (with at least thirty (30) days prior written notice to Agent and the Lenders) and the approval of Agent, in its reasonable discretion, a Foreign Subsidiary of US Borrower that shall not then be a Foreign Borrower may become a Foreign Borrower hereunder, provided that all of the following requirements shall have been met at the time of such addition to the reasonable satisfaction of Agent:</w:t>
      </w:r>
    </w:p>
    <w:p>
      <w:pPr>
        <w:pStyle w:val="TextBody"/>
        <w:bidi w:val="0"/>
        <w:spacing w:lineRule="auto" w:line="285" w:before="0" w:after="240"/>
        <w:ind w:left="720" w:right="0" w:hanging="0"/>
        <w:jc w:val="both"/>
        <w:rPr>
          <w:rFonts w:ascii="Times New Roman;Times;serif" w:hAnsi="Times New Roman;Times;serif"/>
          <w:sz w:val="22"/>
        </w:rPr>
      </w:pPr>
      <w:r>
        <w:rPr>
          <w:rFonts w:ascii="Times New Roman;Times;serif" w:hAnsi="Times New Roman;Times;serif"/>
          <w:sz w:val="22"/>
        </w:rPr>
        <w:t>(i)such Foreign Subsidiary shall be a Wholly-Owned Subsidiary of US Borrower or shall be a Foreign Subsidiary of which US Borrower owns, directly or indirectly, at least eighty percent (80%) of the equity interests and eighty percent (80%) of the equity interests entitled to vote;</w:t>
      </w:r>
    </w:p>
    <w:p>
      <w:pPr>
        <w:pStyle w:val="TextBody"/>
        <w:bidi w:val="0"/>
        <w:spacing w:lineRule="auto" w:line="285" w:before="0" w:after="240"/>
        <w:ind w:left="720" w:right="0" w:hanging="0"/>
        <w:jc w:val="both"/>
        <w:rPr>
          <w:rFonts w:ascii="Times New Roman;Times;serif" w:hAnsi="Times New Roman;Times;serif"/>
          <w:sz w:val="22"/>
        </w:rPr>
      </w:pPr>
      <w:r>
        <w:rPr>
          <w:rFonts w:ascii="Times New Roman;Times;serif" w:hAnsi="Times New Roman;Times;serif"/>
          <w:sz w:val="22"/>
        </w:rPr>
        <w:t>(ii)such Foreign Subsidiary (A) shall be organized under the laws of an Approved Foreign Jurisdiction, and (B) shall not be organized under the laws of a jurisdiction for which any Lender (that is organized in the United States) has provided notice to Agent that it is illegal for such Lender, or violates the policies of such Lender (in such Lender’s reasonable interpretation of such policies), to lend into such foreign jurisdiction;</w:t>
      </w:r>
    </w:p>
    <w:p>
      <w:pPr>
        <w:pStyle w:val="TextBody"/>
        <w:bidi w:val="0"/>
        <w:spacing w:lineRule="auto" w:line="285" w:before="0" w:after="240"/>
        <w:ind w:left="720" w:right="0" w:hanging="0"/>
        <w:jc w:val="both"/>
        <w:rPr>
          <w:rFonts w:ascii="Times New Roman;Times;serif" w:hAnsi="Times New Roman;Times;serif"/>
          <w:sz w:val="22"/>
        </w:rPr>
      </w:pPr>
      <w:r>
        <w:rPr>
          <w:rFonts w:ascii="Times New Roman;Times;serif" w:hAnsi="Times New Roman;Times;serif"/>
          <w:sz w:val="22"/>
        </w:rPr>
        <w:t>(iii)US Borrower and each Domestic Guarantor of Payment shall have guaranteed the obligations of such Foreign Subsidiary under this Agreement pursuant to the terms of a Guaranty of Payment;</w:t>
      </w:r>
    </w:p>
    <w:p>
      <w:pPr>
        <w:pStyle w:val="TextBody"/>
        <w:bidi w:val="0"/>
        <w:spacing w:lineRule="auto" w:line="285" w:before="0" w:after="240"/>
        <w:ind w:left="720" w:right="0" w:hanging="0"/>
        <w:jc w:val="both"/>
        <w:rPr>
          <w:rFonts w:ascii="Times New Roman;Times;serif" w:hAnsi="Times New Roman;Times;serif"/>
          <w:sz w:val="22"/>
        </w:rPr>
      </w:pPr>
      <w:r>
        <w:rPr>
          <w:rFonts w:ascii="Times New Roman;Times;serif" w:hAnsi="Times New Roman;Times;serif"/>
          <w:sz w:val="22"/>
        </w:rPr>
        <w:t>(iv)such Foreign Subsidiary shall have executed an Additional Foreign Borrower Assumption Agreement and appropriate Foreign Borrower Revolving Credit Notes (for Lenders requesting Notes);</w:t>
      </w:r>
    </w:p>
    <w:p>
      <w:pPr>
        <w:pStyle w:val="TextBody"/>
        <w:bidi w:val="0"/>
        <w:spacing w:lineRule="auto" w:line="285" w:before="0" w:after="240"/>
        <w:ind w:left="720" w:right="0" w:hanging="0"/>
        <w:jc w:val="both"/>
        <w:rPr>
          <w:rFonts w:ascii="Times New Roman;Times;serif" w:hAnsi="Times New Roman;Times;serif"/>
          <w:sz w:val="22"/>
        </w:rPr>
      </w:pPr>
      <w:r>
        <w:rPr>
          <w:rFonts w:ascii="Times New Roman;Times;serif" w:hAnsi="Times New Roman;Times;serif"/>
          <w:sz w:val="22"/>
        </w:rPr>
        <w:t>(v)[reserved]; and</w:t>
      </w:r>
    </w:p>
    <w:p>
      <w:pPr>
        <w:pStyle w:val="TextBody"/>
        <w:bidi w:val="0"/>
        <w:spacing w:lineRule="auto" w:line="285" w:before="0" w:after="0"/>
        <w:ind w:left="720" w:right="0" w:hanging="0"/>
        <w:jc w:val="both"/>
        <w:rPr>
          <w:rFonts w:ascii="Aptos" w:hAnsi="Aptos"/>
          <w:sz w:val="24"/>
        </w:rPr>
      </w:pPr>
      <w:r>
        <w:rPr>
          <w:rFonts w:ascii="Times New Roman;Times;serif" w:hAnsi="Times New Roman;Times;serif"/>
          <w:sz w:val="22"/>
        </w:rPr>
        <w:t xml:space="preserve">(vi)such Foreign Subsidiary that shall become a Foreign Borrower shall have provided to Agent such corporate governance and authorization documents and an opinion of counsel and any other documents and items (including, without limitation, such information as any Lender may request pursuant to </w:t>
      </w:r>
      <w:r>
        <w:rPr>
          <w:rFonts w:ascii="Times New Roman;Times;serif" w:hAnsi="Times New Roman;Times;serif"/>
          <w:sz w:val="22"/>
          <w:u w:val="single"/>
        </w:rPr>
        <w:t>Section 11.11</w:t>
      </w:r>
      <w:r>
        <w:rPr>
          <w:rFonts w:ascii="Aptos" w:hAnsi="Aptos"/>
          <w:sz w:val="24"/>
        </w:rPr>
        <w:t xml:space="preserve"> </w:t>
      </w:r>
      <w:r>
        <w:rPr>
          <w:rFonts w:ascii="Times New Roman;Times;serif" w:hAnsi="Times New Roman;Times;serif"/>
          <w:sz w:val="22"/>
        </w:rPr>
        <w:t>hereof) as may be deemed necessary or advisable by Agent (including an amendment to this Agreement), all of the foregoing to be in form and substance reasonably satisfactory to Agent.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(b)</w:t>
      </w:r>
      <w:r>
        <w:rPr>
          <w:rFonts w:ascii="Times New Roman;Times;serif" w:hAnsi="Times New Roman;Times;serif"/>
          <w:sz w:val="22"/>
          <w:u w:val="single"/>
        </w:rPr>
        <w:t>[Reserved]</w:t>
      </w:r>
      <w:r>
        <w:rPr>
          <w:rFonts w:ascii="Times New Roman;Times;serif" w:hAnsi="Times New Roman;Times;serif"/>
          <w:sz w:val="22"/>
        </w:rPr>
        <w:t>.  </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(c)</w:t>
      </w:r>
      <w:r>
        <w:rPr>
          <w:rFonts w:ascii="Times New Roman;Times;serif" w:hAnsi="Times New Roman;Times;serif"/>
          <w:sz w:val="22"/>
          <w:u w:val="single"/>
        </w:rPr>
        <w:t>Additional Credit Party Bound by Provisions</w:t>
      </w:r>
      <w:r>
        <w:rPr>
          <w:rFonts w:ascii="Times New Roman;Times;serif" w:hAnsi="Times New Roman;Times;serif"/>
          <w:sz w:val="22"/>
        </w:rPr>
        <w:t>.  Upon satisfaction by Administrative Borrower and any such Foreign Subsidiary of the requirements set forth in subsection (a) above, as applicable, Agent shall promptly notify Administrative Borrower and the Lenders, whereupon such Foreign Subsidiary shall be designated a “Foreign Borrower”, pursuant to the terms and conditions of this Agreement, and such Foreign Subsidiary shall become bound by all representations, warranties, covenants, provisions and conditions of this Agreement and each other Loan Document applicable to the Foreign Borrowers, as if such Foreign Borrower had been the original party making such representations, warranties and covenants.</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63</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(d)</w:t>
      </w:r>
      <w:r>
        <w:rPr>
          <w:rFonts w:ascii="Times New Roman;Times;serif" w:hAnsi="Times New Roman;Times;serif"/>
          <w:sz w:val="22"/>
          <w:u w:val="single"/>
        </w:rPr>
        <w:t>Alternative Structures</w:t>
      </w:r>
      <w:r>
        <w:rPr>
          <w:rFonts w:ascii="Times New Roman;Times;serif" w:hAnsi="Times New Roman;Times;serif"/>
          <w:sz w:val="22"/>
        </w:rPr>
        <w:t xml:space="preserve">.  Agent, the Lenders and Borrowers agree that, if the addition of a Foreign Borrower pursuant to this </w:t>
      </w:r>
      <w:r>
        <w:rPr>
          <w:rFonts w:ascii="Times New Roman;Times;serif" w:hAnsi="Times New Roman;Times;serif"/>
          <w:sz w:val="22"/>
          <w:u w:val="single"/>
        </w:rPr>
        <w:t>Section 2.13</w:t>
      </w:r>
      <w:r>
        <w:rPr>
          <w:rFonts w:ascii="Aptos" w:hAnsi="Aptos"/>
          <w:sz w:val="24"/>
        </w:rPr>
        <w:t xml:space="preserve"> </w:t>
      </w:r>
      <w:r>
        <w:rPr>
          <w:rFonts w:ascii="Times New Roman;Times;serif" w:hAnsi="Times New Roman;Times;serif"/>
          <w:sz w:val="22"/>
        </w:rPr>
        <w:t xml:space="preserve">would result in a requirement by such Foreign Borrower to pay to any Lenders additional amounts pursuant to </w:t>
      </w:r>
      <w:r>
        <w:rPr>
          <w:rFonts w:ascii="Times New Roman;Times;serif" w:hAnsi="Times New Roman;Times;serif"/>
          <w:sz w:val="22"/>
          <w:u w:val="single"/>
        </w:rPr>
        <w:t>Section 3.2</w:t>
      </w:r>
      <w:r>
        <w:rPr>
          <w:rFonts w:ascii="Aptos" w:hAnsi="Aptos"/>
          <w:sz w:val="24"/>
        </w:rPr>
        <w:t xml:space="preserve"> </w:t>
      </w:r>
      <w:r>
        <w:rPr>
          <w:rFonts w:ascii="Times New Roman;Times;serif" w:hAnsi="Times New Roman;Times;serif"/>
          <w:sz w:val="22"/>
        </w:rPr>
        <w:t>hereof, then Agent, the Lenders and Borrowers agree to use reasonable efforts to designate a different lending office or otherwise propose an alternate structure that would avoid the need for, or reduce the amount of, such additional amounts so long as the same would not, in the reasonable judgment of Agent and the Lenders, be otherwise disadvantageous to Agent and the Lenders.</w:t>
      </w:r>
    </w:p>
    <w:p>
      <w:pPr>
        <w:pStyle w:val="TextBody"/>
        <w:bidi w:val="0"/>
        <w:spacing w:lineRule="auto" w:line="285"/>
        <w:ind w:left="0" w:right="0" w:hanging="0"/>
        <w:jc w:val="both"/>
        <w:rPr>
          <w:rFonts w:ascii="Aptos" w:hAnsi="Aptos"/>
          <w:sz w:val="24"/>
        </w:rPr>
      </w:pPr>
      <w:r>
        <w:rPr>
          <w:rFonts w:ascii="Times New Roman;Times;serif" w:hAnsi="Times New Roman;Times;serif"/>
          <w:sz w:val="22"/>
        </w:rPr>
        <w:t>(e)</w:t>
      </w:r>
      <w:r>
        <w:rPr>
          <w:rFonts w:ascii="Times New Roman;Times;serif" w:hAnsi="Times New Roman;Times;serif"/>
          <w:sz w:val="22"/>
          <w:u w:val="single"/>
        </w:rPr>
        <w:t>Provisions Relating to the Addition of Foreign Borrowers</w:t>
      </w:r>
      <w:r>
        <w:rPr>
          <w:rFonts w:ascii="Times New Roman;Times;serif" w:hAnsi="Times New Roman;Times;serif"/>
          <w:sz w:val="22"/>
        </w:rPr>
        <w:t xml:space="preserve">.  To the extent that a Foreign Borrower is added pursuant to this </w:t>
      </w:r>
      <w:r>
        <w:rPr>
          <w:rFonts w:ascii="Times New Roman;Times;serif" w:hAnsi="Times New Roman;Times;serif"/>
          <w:sz w:val="22"/>
          <w:u w:val="single"/>
        </w:rPr>
        <w:t>Section 2.13</w:t>
      </w:r>
      <w:r>
        <w:rPr>
          <w:rFonts w:ascii="Times New Roman;Times;serif" w:hAnsi="Times New Roman;Times;serif"/>
          <w:sz w:val="22"/>
        </w:rPr>
        <w:t>, and the fully executed Foreign Borrower Assumption Agreement with respect to such Foreign Borrower contains additional legal requirements, terms and conditions applicable to extensions of credit to such Foreign Borrower in the applicable jurisdiction of such Foreign Borrower (as determined by Agent in its reasonable discretion), this Agreement shall be automatically amended solely to incorporate such additional legal requirements, terms and provisions.</w:t>
      </w:r>
    </w:p>
    <w:p>
      <w:pPr>
        <w:pStyle w:val="TextBody"/>
        <w:bidi w:val="0"/>
        <w:spacing w:lineRule="auto" w:line="285" w:before="0" w:after="0"/>
        <w:ind w:left="0" w:right="0" w:firstLine="720"/>
        <w:jc w:val="both"/>
        <w:rPr>
          <w:rFonts w:ascii="Times New Roman;Times;serif" w:hAnsi="Times New Roman;Times;serif"/>
          <w:sz w:val="22"/>
        </w:rPr>
      </w:pPr>
      <w:r>
        <w:rPr>
          <w:rFonts w:ascii="Times New Roman;Times;serif" w:hAnsi="Times New Roman;Times;serif"/>
          <w:sz w:val="22"/>
        </w:rPr>
        <w:t xml:space="preserve">Notwithstanding the foregoing, following the Eleventh Amendment Effective Date, no Foreign Borrower shall be permitted under this Agreement. </w:t>
      </w:r>
    </w:p>
    <w:p>
      <w:pPr>
        <w:pStyle w:val="TextBody"/>
        <w:bidi w:val="0"/>
        <w:spacing w:lineRule="auto" w:line="331" w:before="0" w:after="160"/>
        <w:ind w:left="0" w:right="0" w:hanging="0"/>
        <w:jc w:val="both"/>
        <w:rPr/>
      </w:pPr>
      <w:r>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2.14</w:t>
      </w:r>
      <w:r>
        <w:rPr>
          <w:rFonts w:ascii="Times New Roman;Times;serif" w:hAnsi="Times New Roman;Times;serif"/>
          <w:sz w:val="22"/>
          <w:u w:val="single"/>
        </w:rPr>
        <w:t>Flood Insurance</w:t>
      </w:r>
      <w:r>
        <w:rPr>
          <w:rFonts w:ascii="Times New Roman;Times;serif" w:hAnsi="Times New Roman;Times;serif"/>
          <w:sz w:val="24"/>
        </w:rPr>
        <w:t xml:space="preserve">. </w:t>
      </w:r>
      <w:r>
        <w:rPr>
          <w:rFonts w:ascii="Times New Roman;Times;serif" w:hAnsi="Times New Roman;Times;serif"/>
          <w:sz w:val="22"/>
        </w:rPr>
        <w:t>If any portion of any improved real property subject to a mortgage in favor Agent, for the benefit of the Secured Parties, is at any time located in an area identified by the Federal Emergency Management Agency (or any successor agency) as a special flood hazard area with respect to which flood insurance has been made available under the Flood Insurance Laws, then the US Borrower shall, or shall cause the applicable Credit Party to, (i) maintain, or cause to be maintained, with a financially sound and reputable insurer, flood insurance in a reasonable total amount required by Agent and otherwise sufficient to comply with all applicable rules and regulations promulgated pursuant to the Flood Insurance Laws, (ii) reasonably cooperate with Agent and provide information reasonably required by Agent to comply with the Flood Insurance Laws, (iii) deliver to Agent evidence of such compliance in form and substance reasonably acceptable to Agent, including, without limitation, evidence of annual renewals of such insurance and (iv) furnish to Agent prompt written notice of any re-designation of any such real property</w:t>
      </w:r>
      <w:r>
        <w:rPr>
          <w:rFonts w:ascii="Aptos" w:hAnsi="Aptos"/>
          <w:sz w:val="24"/>
        </w:rPr>
        <w:t xml:space="preserve"> </w:t>
      </w:r>
      <w:r>
        <w:rPr>
          <w:rFonts w:ascii="Times New Roman;Times;serif" w:hAnsi="Times New Roman;Times;serif"/>
          <w:sz w:val="22"/>
        </w:rPr>
        <w:t xml:space="preserve">into or out of a special flood hazard area.  Notwithstanding the foregoing, Agent shall not enter into any mortgage in respect of any real property until the earlier of (A) the date that is thirty (30) days after the US Borrower has delivered to Agent and the Lenders (which may be delivered electronically) (x) a completed “Life-of-Loan” Federal Emergency Management Agency Standard Flood Hazard Determination with respect to such real property (together with a notice about special flood hazard area status and flood disaster assistance, which, if applicable, shall be duly executed by the applicable Credit Party relating to such real property) and (y) if any such real property is located in an area determined by the Federal Emergency Management Agency to have special flood hazards, evidence of such flood insurance as may be required under applicable law, including Regulation H of the FRB and the other Flood Insurance Laws, and as otherwise required by </w:t>
      </w:r>
      <w:r>
        <w:rPr>
          <w:rFonts w:ascii="Times New Roman;Times;serif" w:hAnsi="Times New Roman;Times;serif"/>
          <w:sz w:val="22"/>
          <w:u w:val="single"/>
        </w:rPr>
        <w:t>Section 6.18</w:t>
      </w:r>
      <w:r>
        <w:rPr>
          <w:rFonts w:ascii="Times New Roman;Times;serif" w:hAnsi="Times New Roman;Times;serif"/>
          <w:sz w:val="22"/>
        </w:rPr>
        <w:t>, and (B) the receipt of written confirmation (which may be by electronic mail) from each of the other Lenders that flood insurance due diligence and flood insurance compliance has been completed by the Lenders (such written confirmation not to be unreasonably withheld, delayed or conditioned).  </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2.15</w:t>
      </w:r>
      <w:bookmarkStart w:id="1836" w:name="_Toc82189948"/>
      <w:bookmarkEnd w:id="1836"/>
      <w:r>
        <w:rPr>
          <w:rFonts w:ascii="Times New Roman;Times;serif" w:hAnsi="Times New Roman;Times;serif"/>
          <w:sz w:val="22"/>
          <w:u w:val="single"/>
        </w:rPr>
        <w:t>Extension of Revolving Credit Maturity Date</w:t>
      </w:r>
      <w:r>
        <w:rPr>
          <w:rFonts w:ascii="Times New Roman;Times;serif" w:hAnsi="Times New Roman;Times;serif"/>
          <w:sz w:val="22"/>
        </w:rPr>
        <w:t>.</w:t>
      </w:r>
      <w:r>
        <w:rPr>
          <w:rFonts w:ascii="Aptos" w:hAnsi="Aptos"/>
          <w:sz w:val="24"/>
          <w:u w:val="single"/>
        </w:rPr>
        <w:t xml:space="preserve"> </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 xml:space="preserve">(a)The Commitments shall terminate on the Revolving Credit Maturity Date.  Contemporaneously with the delivery of the financial statements required pursuant to </w:t>
      </w:r>
      <w:r>
        <w:rPr>
          <w:rFonts w:ascii="Times New Roman;Times;serif" w:hAnsi="Times New Roman;Times;serif"/>
          <w:sz w:val="22"/>
          <w:u w:val="single"/>
        </w:rPr>
        <w:t>Section 5.3(b)</w:t>
      </w:r>
      <w:r>
        <w:rPr>
          <w:rFonts w:ascii="Aptos" w:hAnsi="Aptos"/>
          <w:sz w:val="24"/>
        </w:rPr>
        <w:t xml:space="preserve"> </w:t>
      </w:r>
      <w:r>
        <w:rPr>
          <w:rFonts w:ascii="Times New Roman;Times;serif" w:hAnsi="Times New Roman;Times;serif"/>
          <w:sz w:val="22"/>
        </w:rPr>
        <w:t xml:space="preserve">hereof, US Borrower may deliver a Request for Extension, requesting that the Lenders extend the Revolving Credit Maturity Date for an additional one-year period;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 xml:space="preserve">that such extension shall not occur more than one time during the term of this Agreement.  If US Borrower requests such an extension, each Lender shall notify US Borrower on or before 30 days following delivery of such Request for Extension (such date, the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64</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pPr>
      <w:r>
        <w:rPr/>
        <w:t>“</w:t>
      </w:r>
      <w:r>
        <w:rPr>
          <w:rFonts w:ascii="Times New Roman;Times;serif" w:hAnsi="Times New Roman;Times;serif"/>
          <w:sz w:val="22"/>
          <w:u w:val="single"/>
        </w:rPr>
        <w:t>Consent Deadline</w:t>
      </w:r>
      <w:r>
        <w:rPr>
          <w:rFonts w:ascii="Aptos" w:hAnsi="Aptos"/>
          <w:sz w:val="24"/>
        </w:rPr>
        <w:t>”</w:t>
      </w:r>
      <w:r>
        <w:rPr>
          <w:rFonts w:ascii="Times New Roman;Times;serif" w:hAnsi="Times New Roman;Times;serif"/>
          <w:sz w:val="22"/>
        </w:rPr>
        <w:t>) whether it has consented to extend the Revolving Credit Maturity Date for an additional one-year period.  Agent and the Lenders may, each in their sole and individual discretion, elect to extend the Revolving Credit Maturity Date, it being understood that any Lender who has not responded to such extension request by the Consent Deadline shall be deemed to have rejected such request.  </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 xml:space="preserve">(b)If Lenders holding more than 50% of the Revolving Credit Commitment elect to so extend the then existing Revolving Credit Maturity Date, the Revolving Credit Maturity Date will automatically be extended for an additional one-year period only for those extending Lenders.  The Revolving Credit Maturity Date for the non-extending Lenders shall remain unchanged.  So long as no Event of Default then exists, then US Borrower may, at its sole expense and effort, upon notice to such non-extending Lender and Agent, require such non-extending Lender to assign and delegate, without recourse (in accordance with and subject to the restrictions contained in, and consents required by, </w:t>
      </w:r>
      <w:r>
        <w:rPr>
          <w:rFonts w:ascii="Times New Roman;Times;serif" w:hAnsi="Times New Roman;Times;serif"/>
          <w:sz w:val="22"/>
          <w:u w:val="single"/>
        </w:rPr>
        <w:t>Section 11.10</w:t>
      </w:r>
      <w:r>
        <w:rPr>
          <w:rFonts w:ascii="Times New Roman;Times;serif" w:hAnsi="Times New Roman;Times;serif"/>
          <w:sz w:val="22"/>
        </w:rPr>
        <w:t xml:space="preserve">), all of its interests, rights and obligations under this Agreement and the related Loan Documents to an Eligible Transferee that shall assume such obligations (which assignee may be another Lender, if a Lender accepts such assignment);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 xml:space="preserve">that (i) US Borrower shall have paid to Agent the assignment fee (if any) specified in </w:t>
      </w:r>
      <w:r>
        <w:rPr>
          <w:rFonts w:ascii="Times New Roman;Times;serif" w:hAnsi="Times New Roman;Times;serif"/>
          <w:sz w:val="22"/>
          <w:u w:val="single"/>
        </w:rPr>
        <w:t>Section 11.10</w:t>
      </w:r>
      <w:r>
        <w:rPr>
          <w:rFonts w:ascii="Aptos" w:hAnsi="Aptos"/>
          <w:sz w:val="24"/>
        </w:rPr>
        <w:t xml:space="preserve"> </w:t>
      </w:r>
      <w:r>
        <w:rPr>
          <w:rFonts w:ascii="Times New Roman;Times;serif" w:hAnsi="Times New Roman;Times;serif"/>
          <w:sz w:val="22"/>
        </w:rPr>
        <w:t>and (ii) such non-extending Lender shall have received payment of an amount equal to the outstanding principal of its Revolving Loans, Swing Loans and participations in Letters of Credit, accrued interest thereon, accrued fees and all other amounts payable to it hereunder and under the other Loan Documents from the assignee (to the extent of such outstanding principal and accrued interest and fees) or US Borrower (in the case of all other amounts).</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 xml:space="preserve">(c)On the Revolving Credit Maturity Date for any non-extending Lenders, (i) US Borrower shall repay all outstanding Revolving Loans due and payable to such non-extending Lenders (together with all accrued and unpaid interest thereon and accrued and unpaid commitment fees hereunder), (ii) each of the non-extending Lenders shall be automatically released from their respective risk participation obligations under </w:t>
      </w:r>
      <w:r>
        <w:rPr>
          <w:rFonts w:ascii="Times New Roman;Times;serif" w:hAnsi="Times New Roman;Times;serif"/>
          <w:sz w:val="22"/>
          <w:u w:val="single"/>
        </w:rPr>
        <w:t>Section 2.2(b)(v)</w:t>
      </w:r>
      <w:r>
        <w:rPr>
          <w:rFonts w:ascii="Aptos" w:hAnsi="Aptos"/>
          <w:sz w:val="24"/>
        </w:rPr>
        <w:t xml:space="preserve"> </w:t>
      </w:r>
      <w:r>
        <w:rPr>
          <w:rFonts w:ascii="Times New Roman;Times;serif" w:hAnsi="Times New Roman;Times;serif"/>
          <w:sz w:val="22"/>
        </w:rPr>
        <w:t xml:space="preserve">hereof with respect to any outstanding Swing Loans and under </w:t>
      </w:r>
      <w:r>
        <w:rPr>
          <w:rFonts w:ascii="Times New Roman;Times;serif" w:hAnsi="Times New Roman;Times;serif"/>
          <w:sz w:val="22"/>
          <w:u w:val="single"/>
        </w:rPr>
        <w:t>Section 2.2(c)(iii)</w:t>
      </w:r>
      <w:r>
        <w:rPr>
          <w:rFonts w:ascii="Aptos" w:hAnsi="Aptos"/>
          <w:sz w:val="24"/>
        </w:rPr>
        <w:t xml:space="preserve"> </w:t>
      </w:r>
      <w:r>
        <w:rPr>
          <w:rFonts w:ascii="Times New Roman;Times;serif" w:hAnsi="Times New Roman;Times;serif"/>
          <w:sz w:val="22"/>
        </w:rPr>
        <w:t xml:space="preserve">hereof with respect to any outstanding Letters of Credit, (iii) all outstanding Revolving Loans, risk participation obligations with respect to any outstanding Swing Loans and risk participation obligations with respect to any outstanding Letters of Credit (and the related Letter of Credit Exposure) shall be automatically reallocated among the extending Lenders based on each such Lender’s Revolving Credit Commitment and (iv) to the extent that the Revolving Credit Exposure would exceed the Revolving Credit Commitment after giving effect to such reallocation pursuant to the immediately preceding clause (iii), US Borrower shall prepay Revolving Loans, Swing Loans or Cash Collateralize Letters of Credit in accordance with </w:t>
      </w:r>
      <w:r>
        <w:rPr>
          <w:rFonts w:ascii="Times New Roman;Times;serif" w:hAnsi="Times New Roman;Times;serif"/>
          <w:sz w:val="22"/>
          <w:u w:val="single"/>
        </w:rPr>
        <w:t>Section 3.7</w:t>
      </w:r>
      <w:r>
        <w:rPr>
          <w:rFonts w:ascii="Aptos" w:hAnsi="Aptos"/>
          <w:sz w:val="24"/>
        </w:rPr>
        <w:t xml:space="preserve"> </w:t>
      </w:r>
      <w:r>
        <w:rPr>
          <w:rFonts w:ascii="Times New Roman;Times;serif" w:hAnsi="Times New Roman;Times;serif"/>
          <w:sz w:val="22"/>
        </w:rPr>
        <w:t>hereof.</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 xml:space="preserve">(d)Any extension shall be effective as of the date of the amendment effecting such extension and each such amendment shall be conditioned upon (i) no Default or Event of Default, (ii) accuracy in all material respects of the representations and warranties set forth in this Agreement and (iii) such other conditions as each extending Lender shall require.  The Lenders hereby irrevocably authorize Agent to enter into amendments to this Agreement and the other Loan Documents with US Borrower as may be necessary or appropriate in the reasonable opinion of Agent and US Borrower in order to extend the Revolving Credit Maturity Date on terms consistent with this </w:t>
      </w:r>
      <w:r>
        <w:rPr>
          <w:rFonts w:ascii="Times New Roman;Times;serif" w:hAnsi="Times New Roman;Times;serif"/>
          <w:sz w:val="22"/>
          <w:u w:val="single"/>
        </w:rPr>
        <w:t>Section 2.15</w:t>
      </w:r>
      <w:r>
        <w:rPr>
          <w:rFonts w:ascii="Times New Roman;Times;serif" w:hAnsi="Times New Roman;Times;serif"/>
          <w:sz w:val="22"/>
        </w:rPr>
        <w:t>.  US Borrower shall pay any reasonable and documented out-of-pocket attorneys’ fees or other reasonable and documented out-of-pocket expenses of Agent in connection with the documentation of any such extension, as well as such other fees, if any, as may be agreed upon between Borrowers and Agent.</w:t>
      </w:r>
    </w:p>
    <w:p>
      <w:pPr>
        <w:pStyle w:val="TextBody"/>
        <w:bidi w:val="0"/>
        <w:spacing w:lineRule="auto" w:line="285"/>
        <w:ind w:left="0" w:right="0" w:hanging="0"/>
        <w:jc w:val="both"/>
        <w:rPr>
          <w:rFonts w:ascii="Times New Roman;Times;serif" w:hAnsi="Times New Roman;Times;serif"/>
          <w:sz w:val="22"/>
        </w:rPr>
      </w:pPr>
      <w:r>
        <w:rPr>
          <w:rFonts w:ascii="Times New Roman;Times;serif" w:hAnsi="Times New Roman;Times;serif"/>
          <w:sz w:val="22"/>
        </w:rPr>
        <w:t>(e)Unless Agent, the Fronting Lender and Swing Line Lender have each agreed in their respective sole discretions to act as Agent, Fronting Lender or Swing Line Lender (as the case may be) following the extended Revolving Credit Maturity Date, a successor Agent, Fronting Lender or Swing Line Lender (as the case may be) shall have been appointed by the Lenders to act as Agent, Fronting Lender or Swing Line Lender (as the case may be) commencing on the extended Revolving Credit Maturity Date.</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65</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center"/>
        <w:rPr>
          <w:rFonts w:ascii="Aptos" w:hAnsi="Aptos"/>
          <w:sz w:val="24"/>
        </w:rPr>
      </w:pPr>
      <w:r>
        <w:rPr>
          <w:rFonts w:ascii="Times New Roman;Times;serif" w:hAnsi="Times New Roman;Times;serif"/>
          <w:caps/>
          <w:sz w:val="22"/>
        </w:rPr>
        <w:t>ARTICLE III.</w:t>
      </w:r>
      <w:r>
        <w:rPr>
          <w:rFonts w:ascii="Aptos" w:hAnsi="Aptos"/>
          <w:caps/>
          <w:sz w:val="24"/>
        </w:rPr>
        <w:t xml:space="preserve"> </w:t>
      </w:r>
      <w:bookmarkStart w:id="1837" w:name="_Toc236844311"/>
      <w:bookmarkStart w:id="1838" w:name="_Toc172896657"/>
      <w:bookmarkEnd w:id="1837"/>
      <w:bookmarkEnd w:id="1838"/>
      <w:r>
        <w:rPr>
          <w:rFonts w:ascii="Times New Roman;Times;serif" w:hAnsi="Times New Roman;Times;serif"/>
          <w:caps/>
          <w:sz w:val="22"/>
        </w:rPr>
        <w:t>GENERAL LOAN PROVISIONS</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3.1</w:t>
      </w:r>
      <w:bookmarkStart w:id="1839" w:name="_Toc236844312"/>
      <w:bookmarkStart w:id="1840" w:name="_Toc172896658"/>
      <w:bookmarkEnd w:id="1839"/>
      <w:bookmarkEnd w:id="1840"/>
      <w:r>
        <w:rPr>
          <w:rFonts w:ascii="Times New Roman;Times;serif" w:hAnsi="Times New Roman;Times;serif"/>
          <w:sz w:val="22"/>
          <w:u w:val="single"/>
        </w:rPr>
        <w:t>Increased Costs</w:t>
      </w:r>
      <w:r>
        <w:rPr>
          <w:rFonts w:ascii="Times New Roman;Times;serif" w:hAnsi="Times New Roman;Times;serif"/>
          <w:sz w:val="22"/>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(a)</w:t>
      </w:r>
      <w:r>
        <w:rPr>
          <w:rFonts w:ascii="Times New Roman;Times;serif" w:hAnsi="Times New Roman;Times;serif"/>
          <w:sz w:val="22"/>
          <w:u w:val="single"/>
        </w:rPr>
        <w:t>Increased Costs Generally</w:t>
      </w:r>
      <w:r>
        <w:rPr>
          <w:rFonts w:ascii="Times New Roman;Times;serif" w:hAnsi="Times New Roman;Times;serif"/>
          <w:sz w:val="22"/>
        </w:rPr>
        <w:t>.  If any Change in Law shall:</w:t>
      </w:r>
    </w:p>
    <w:p>
      <w:pPr>
        <w:pStyle w:val="TextBody"/>
        <w:bidi w:val="0"/>
        <w:spacing w:lineRule="auto" w:line="285" w:before="0" w:after="240"/>
        <w:ind w:left="720" w:right="0" w:hanging="0"/>
        <w:jc w:val="both"/>
        <w:rPr>
          <w:rFonts w:ascii="Times New Roman;Times;serif" w:hAnsi="Times New Roman;Times;serif"/>
          <w:sz w:val="22"/>
        </w:rPr>
      </w:pPr>
      <w:r>
        <w:rPr>
          <w:rFonts w:ascii="Times New Roman;Times;serif" w:hAnsi="Times New Roman;Times;serif"/>
          <w:sz w:val="22"/>
        </w:rPr>
        <w:t>(i)impose, modify or deem applicable any reserve, special deposit, compulsory loan, insurance charge or similar requirement against assets of, deposits with or for the account of, or advances, loans or other credit extended or participated in by, any Lender (except any reserve requirement reflected in the Eurodollar Rate) or any Fronting Lender;</w:t>
      </w:r>
    </w:p>
    <w:p>
      <w:pPr>
        <w:pStyle w:val="TextBody"/>
        <w:bidi w:val="0"/>
        <w:spacing w:lineRule="auto" w:line="285" w:before="0" w:after="240"/>
        <w:ind w:left="720" w:right="0" w:hanging="0"/>
        <w:jc w:val="both"/>
        <w:rPr>
          <w:rFonts w:ascii="Times New Roman;Times;serif" w:hAnsi="Times New Roman;Times;serif"/>
          <w:sz w:val="22"/>
        </w:rPr>
      </w:pPr>
      <w:r>
        <w:rPr>
          <w:rFonts w:ascii="Times New Roman;Times;serif" w:hAnsi="Times New Roman;Times;serif"/>
          <w:sz w:val="22"/>
        </w:rPr>
        <w:t>(ii)subject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pStyle w:val="TextBody"/>
        <w:bidi w:val="0"/>
        <w:spacing w:lineRule="auto" w:line="285" w:before="0" w:after="240"/>
        <w:ind w:left="720" w:right="0" w:hanging="0"/>
        <w:jc w:val="both"/>
        <w:rPr>
          <w:rFonts w:ascii="Times New Roman;Times;serif" w:hAnsi="Times New Roman;Times;serif"/>
          <w:sz w:val="22"/>
        </w:rPr>
      </w:pPr>
      <w:r>
        <w:rPr>
          <w:rFonts w:ascii="Times New Roman;Times;serif" w:hAnsi="Times New Roman;Times;serif"/>
          <w:sz w:val="22"/>
        </w:rPr>
        <w:t>(iii)impose on any Lender or any Fronting Lender or the London interbank market any other condition, cost or expense (other than Taxes) affecting this Agreement or Transitioned RFR Loans made by such Lender or any Letter of Credit or participation therein;</w:t>
      </w:r>
    </w:p>
    <w:p>
      <w:pPr>
        <w:pStyle w:val="TextBody"/>
        <w:bidi w:val="0"/>
        <w:spacing w:lineRule="auto" w:line="285" w:before="0" w:after="0"/>
        <w:ind w:left="720" w:right="0" w:hanging="0"/>
        <w:jc w:val="both"/>
        <w:rPr>
          <w:rFonts w:ascii="Aptos" w:hAnsi="Aptos"/>
          <w:sz w:val="24"/>
        </w:rPr>
      </w:pPr>
      <w:r>
        <w:rPr>
          <w:rFonts w:ascii="Times New Roman;Times;serif" w:hAnsi="Times New Roman;Times;serif"/>
          <w:sz w:val="22"/>
        </w:rPr>
        <w:t xml:space="preserve">(iv)and the result of any of the foregoing shall be to increase the cost to such Lender, the Fronting Lender or such other Recipient of making, converting to, continuing or maintaining any Loan (or of maintaining its obligation to make any such Loan), or to increase the cost to such Lender, such Fronting Lender or such other Recipient of participating in, issuing or maintaining any Letter of Credit (or of maintaining its obligation to participate in or to issue any Letter of Credit), or to reduce the amount of any sum received or receivable by such Lender, such Fronting Lender or such other Recipient hereunder (whether of principal, interest or any other amount) then, upon written request of such Lender, such Fronting Lender or other Recipient in accordance with paragraph (c) of this </w:t>
      </w:r>
      <w:r>
        <w:rPr>
          <w:rFonts w:ascii="Times New Roman;Times;serif" w:hAnsi="Times New Roman;Times;serif"/>
          <w:sz w:val="22"/>
          <w:u w:val="single"/>
        </w:rPr>
        <w:t>Section 3.1</w:t>
      </w:r>
      <w:r>
        <w:rPr>
          <w:rFonts w:ascii="Times New Roman;Times;serif" w:hAnsi="Times New Roman;Times;serif"/>
          <w:sz w:val="22"/>
        </w:rPr>
        <w:t xml:space="preserve">, the Borrowers shall promptly pay to any such Lender, such Fronting Lender or other Recipient, as the case may be, such additional amount or amounts as will compensate such Lender, such Fronting Lender or other Recipient, as the case may be, for such additional costs incurred or reduction suffered.  For the avoidance of doubt, this </w:t>
      </w:r>
      <w:r>
        <w:rPr>
          <w:rFonts w:ascii="Times New Roman;Times;serif" w:hAnsi="Times New Roman;Times;serif"/>
          <w:sz w:val="22"/>
          <w:u w:val="single"/>
        </w:rPr>
        <w:t>Section 3.1</w:t>
      </w:r>
      <w:r>
        <w:rPr>
          <w:rFonts w:ascii="Aptos" w:hAnsi="Aptos"/>
          <w:sz w:val="24"/>
        </w:rPr>
        <w:t xml:space="preserve"> </w:t>
      </w:r>
      <w:r>
        <w:rPr>
          <w:rFonts w:ascii="Times New Roman;Times;serif" w:hAnsi="Times New Roman;Times;serif"/>
          <w:sz w:val="22"/>
        </w:rPr>
        <w:t xml:space="preserve">shall not apply to Taxes, which shall be governed exclusively by </w:t>
      </w:r>
      <w:r>
        <w:rPr>
          <w:rFonts w:ascii="Times New Roman;Times;serif" w:hAnsi="Times New Roman;Times;serif"/>
          <w:sz w:val="22"/>
          <w:u w:val="single"/>
        </w:rPr>
        <w:t>Section 3.2</w:t>
      </w:r>
      <w:r>
        <w:rPr>
          <w:rFonts w:ascii="Aptos" w:hAnsi="Aptos"/>
          <w:sz w:val="24"/>
        </w:rPr>
        <w:t xml:space="preserve"> </w:t>
      </w:r>
      <w:r>
        <w:rPr>
          <w:rFonts w:ascii="Times New Roman;Times;serif" w:hAnsi="Times New Roman;Times;serif"/>
          <w:sz w:val="22"/>
        </w:rPr>
        <w:t>hereof.</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(b)</w:t>
      </w:r>
      <w:r>
        <w:rPr>
          <w:rFonts w:ascii="Times New Roman;Times;serif" w:hAnsi="Times New Roman;Times;serif"/>
          <w:sz w:val="22"/>
          <w:u w:val="single"/>
        </w:rPr>
        <w:t>Capital Requirements</w:t>
      </w:r>
      <w:r>
        <w:rPr>
          <w:rFonts w:ascii="Times New Roman;Times;serif" w:hAnsi="Times New Roman;Times;serif"/>
          <w:sz w:val="22"/>
        </w:rPr>
        <w:t xml:space="preserve">.  If any Lender or any Fronting Lender determines that any Change in Law affecting such Lender or such Fronting Lender or any lending office of such Lender or such Lender’s or such Fronting Lender’s holding company, if any, regarding capital or liquidity requirements, has or would have the effect of reducing the rate of return on such Lender’s or such Fronting Lender’s capital or on the capital of such Lender’s or such Fronting Lender’s holding company, if any, as a consequence of this Agreement, the Revolving Credit Commitment of such Lender or the Loans made by, or participations in Letters of Credit or Swing Loans held by, such Lender, or the Letters of Credit issued by such Fronting Lender, to a level below that which such Lender or such Fronting Lender or such Lender’s or such Fronting Lender’s holding company could have achieved but for such Change in Law other than due to Taxes which, for the avoidance of doubt, are covered by </w:t>
      </w:r>
      <w:r>
        <w:rPr>
          <w:rFonts w:ascii="Times New Roman;Times;serif" w:hAnsi="Times New Roman;Times;serif"/>
          <w:sz w:val="22"/>
          <w:u w:val="single"/>
        </w:rPr>
        <w:t>Section 3.2</w:t>
      </w:r>
      <w:r>
        <w:rPr>
          <w:rFonts w:ascii="Aptos" w:hAnsi="Aptos"/>
          <w:sz w:val="24"/>
        </w:rPr>
        <w:t xml:space="preserve"> </w:t>
      </w:r>
      <w:r>
        <w:rPr>
          <w:rFonts w:ascii="Times New Roman;Times;serif" w:hAnsi="Times New Roman;Times;serif"/>
          <w:sz w:val="22"/>
        </w:rPr>
        <w:t xml:space="preserve">hereof (taking into consideration such Lender’s or such Fronting Lender’s policies and the policies of such Lender’s or such Fronting Lender’s holding company with respect to capital adequacy and liquidity), then upon written request of such Lender or such Fronting Lender, the Borrowers shall promptly pay to such Lender or such Fronting Lender in accordance with paragraph (c) of this </w:t>
      </w:r>
      <w:r>
        <w:rPr>
          <w:rFonts w:ascii="Times New Roman;Times;serif" w:hAnsi="Times New Roman;Times;serif"/>
          <w:sz w:val="22"/>
          <w:u w:val="single"/>
        </w:rPr>
        <w:t>Section 3.1</w:t>
      </w:r>
      <w:r>
        <w:rPr>
          <w:rFonts w:ascii="Times New Roman;Times;serif" w:hAnsi="Times New Roman;Times;serif"/>
          <w:sz w:val="22"/>
        </w:rPr>
        <w:t>, as the case may be, such additional amount or amounts as will compensate such Lender or such Fronting Lender or such Lender’s or such Fronting Lender’s holding company for any such reduction suffered.</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66</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(c)</w:t>
      </w:r>
      <w:r>
        <w:rPr>
          <w:rFonts w:ascii="Times New Roman;Times;serif" w:hAnsi="Times New Roman;Times;serif"/>
          <w:sz w:val="22"/>
          <w:u w:val="single"/>
        </w:rPr>
        <w:t>Certificates for Reimbursement</w:t>
      </w:r>
      <w:r>
        <w:rPr>
          <w:rFonts w:ascii="Times New Roman;Times;serif" w:hAnsi="Times New Roman;Times;serif"/>
          <w:sz w:val="22"/>
        </w:rPr>
        <w:t xml:space="preserve">.  A certificate of a Lender, a Fronting Lender or such other Recipient setting forth the amount or amounts necessary to compensate such Lender or such Fronting Lender setting forth in reasonable detail the manner in which such amount or amounts were determined, such other Recipient or any of their respective holding companies, as the case may be, as specified in paragraph (a) or (b) of this </w:t>
      </w:r>
      <w:r>
        <w:rPr>
          <w:rFonts w:ascii="Times New Roman;Times;serif" w:hAnsi="Times New Roman;Times;serif"/>
          <w:sz w:val="22"/>
          <w:u w:val="single"/>
        </w:rPr>
        <w:t>Section 3.1</w:t>
      </w:r>
      <w:r>
        <w:rPr>
          <w:rFonts w:ascii="Aptos" w:hAnsi="Aptos"/>
          <w:sz w:val="24"/>
        </w:rPr>
        <w:t xml:space="preserve"> </w:t>
      </w:r>
      <w:r>
        <w:rPr>
          <w:rFonts w:ascii="Times New Roman;Times;serif" w:hAnsi="Times New Roman;Times;serif"/>
          <w:sz w:val="22"/>
        </w:rPr>
        <w:t xml:space="preserve">and delivered to the Borrower, shall be conclusive absent manifest error; </w:t>
      </w:r>
      <w:r>
        <w:rPr>
          <w:rFonts w:ascii="Times New Roman;Times;serif" w:hAnsi="Times New Roman;Times;serif"/>
          <w:sz w:val="22"/>
          <w:u w:val="single"/>
        </w:rPr>
        <w:t>provided</w:t>
      </w:r>
      <w:r>
        <w:rPr>
          <w:rFonts w:ascii="Times New Roman;Times;serif" w:hAnsi="Times New Roman;Times;serif"/>
          <w:sz w:val="22"/>
        </w:rPr>
        <w:t xml:space="preserve">, however, that such certificate shall state that it is the general policy or practice of such Lender, Fronting Lender or other Recipient, as applicable, to exercise similar rights (where available) in relation to other borrowers under syndicated credit facilities that are similarly impacted by the circumstances described in paragraph (a) or (b) of this </w:t>
      </w:r>
      <w:r>
        <w:rPr>
          <w:rFonts w:ascii="Times New Roman;Times;serif" w:hAnsi="Times New Roman;Times;serif"/>
          <w:sz w:val="22"/>
          <w:u w:val="single"/>
        </w:rPr>
        <w:t>Section 3.1</w:t>
      </w:r>
      <w:r>
        <w:rPr>
          <w:rFonts w:ascii="Times New Roman;Times;serif" w:hAnsi="Times New Roman;Times;serif"/>
          <w:sz w:val="22"/>
        </w:rPr>
        <w:t>.  The Borrowers shall pay such Lender or such Fronting Lender or such other Recipient, as the case may be, the amount shown as due on any such certificate within fifteen (15) days after receipt thereof.</w:t>
      </w:r>
    </w:p>
    <w:p>
      <w:pPr>
        <w:pStyle w:val="TextBody"/>
        <w:bidi w:val="0"/>
        <w:spacing w:lineRule="auto" w:line="285" w:before="0" w:after="0"/>
        <w:ind w:left="0" w:right="0" w:hanging="0"/>
        <w:jc w:val="both"/>
        <w:rPr>
          <w:rFonts w:ascii="Aptos" w:hAnsi="Aptos"/>
          <w:sz w:val="24"/>
        </w:rPr>
      </w:pPr>
      <w:r>
        <w:rPr>
          <w:rFonts w:ascii="Times New Roman;Times;serif" w:hAnsi="Times New Roman;Times;serif"/>
          <w:sz w:val="22"/>
        </w:rPr>
        <w:t>(d)</w:t>
      </w:r>
      <w:r>
        <w:rPr>
          <w:rFonts w:ascii="Times New Roman;Times;serif" w:hAnsi="Times New Roman;Times;serif"/>
          <w:sz w:val="22"/>
          <w:u w:val="single"/>
        </w:rPr>
        <w:t>Delay in Requests</w:t>
      </w:r>
      <w:r>
        <w:rPr>
          <w:rFonts w:ascii="Times New Roman;Times;serif" w:hAnsi="Times New Roman;Times;serif"/>
          <w:sz w:val="22"/>
        </w:rPr>
        <w:t xml:space="preserve">.  Failure or delay on the part of any Lender or any Fronting Lender or such other Recipient to demand compensation pursuant to this </w:t>
      </w:r>
      <w:r>
        <w:rPr>
          <w:rFonts w:ascii="Times New Roman;Times;serif" w:hAnsi="Times New Roman;Times;serif"/>
          <w:sz w:val="22"/>
          <w:u w:val="single"/>
        </w:rPr>
        <w:t>Section 3.1</w:t>
      </w:r>
      <w:r>
        <w:rPr>
          <w:rFonts w:ascii="Aptos" w:hAnsi="Aptos"/>
          <w:sz w:val="24"/>
        </w:rPr>
        <w:t xml:space="preserve"> </w:t>
      </w:r>
      <w:r>
        <w:rPr>
          <w:rFonts w:ascii="Times New Roman;Times;serif" w:hAnsi="Times New Roman;Times;serif"/>
          <w:sz w:val="22"/>
        </w:rPr>
        <w:t xml:space="preserve">shall not constitute a waiver of such Lender’s or such Fronting Lender’s or such other Recipient’s right to demand such compensation;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 xml:space="preserve">that the Borrowers shall not be required to compensate any Lender or an Fronting Lender or any other Recipient pursuant to this </w:t>
      </w:r>
      <w:r>
        <w:rPr>
          <w:rFonts w:ascii="Times New Roman;Times;serif" w:hAnsi="Times New Roman;Times;serif"/>
          <w:sz w:val="22"/>
          <w:u w:val="single"/>
        </w:rPr>
        <w:t>Section 3.1</w:t>
      </w:r>
      <w:r>
        <w:rPr>
          <w:rFonts w:ascii="Aptos" w:hAnsi="Aptos"/>
          <w:sz w:val="24"/>
        </w:rPr>
        <w:t xml:space="preserve"> </w:t>
      </w:r>
      <w:r>
        <w:rPr>
          <w:rFonts w:ascii="Times New Roman;Times;serif" w:hAnsi="Times New Roman;Times;serif"/>
          <w:sz w:val="22"/>
        </w:rPr>
        <w:t>for any increased costs incurred or reductions suffered more than ninety (90) days prior to the date that such Lender or such Fronting Lender or such other Recipient, as the case may be, notifies the Administrative Borrower of the Change in Law giving rise to such increased costs or reductions, and of such Lender’s or such Fronting Lender’s or such other Recipient’s intention to claim compensation therefor (except that if the Change in Law giving rise to such increased costs or reductions is retroactive, then the ninety-day period referred to above shall be extended to include the period of retroactive effect thereof).</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3.2</w:t>
      </w:r>
      <w:bookmarkStart w:id="1841" w:name="_Toc236844313"/>
      <w:bookmarkStart w:id="1842" w:name="_Toc172896659"/>
      <w:bookmarkEnd w:id="1841"/>
      <w:bookmarkEnd w:id="1842"/>
      <w:r>
        <w:rPr>
          <w:rFonts w:ascii="Times New Roman;Times;serif" w:hAnsi="Times New Roman;Times;serif"/>
          <w:sz w:val="22"/>
          <w:u w:val="single"/>
        </w:rPr>
        <w:t>Taxes</w:t>
      </w:r>
      <w:r>
        <w:rPr>
          <w:rFonts w:ascii="Times New Roman;Times;serif" w:hAnsi="Times New Roman;Times;serif"/>
          <w:sz w:val="22"/>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(a)</w:t>
      </w:r>
      <w:r>
        <w:rPr>
          <w:rFonts w:ascii="Times New Roman;Times;serif" w:hAnsi="Times New Roman;Times;serif"/>
          <w:sz w:val="22"/>
          <w:u w:val="single"/>
        </w:rPr>
        <w:t>Defined Terms</w:t>
      </w:r>
      <w:r>
        <w:rPr>
          <w:rFonts w:ascii="Times New Roman;Times;serif" w:hAnsi="Times New Roman;Times;serif"/>
          <w:sz w:val="22"/>
        </w:rPr>
        <w:t xml:space="preserve">.  For purposes of this </w:t>
      </w:r>
      <w:r>
        <w:rPr>
          <w:rFonts w:ascii="Times New Roman;Times;serif" w:hAnsi="Times New Roman;Times;serif"/>
          <w:sz w:val="22"/>
          <w:u w:val="single"/>
        </w:rPr>
        <w:t>Section 3.2</w:t>
      </w:r>
      <w:r>
        <w:rPr>
          <w:rFonts w:ascii="Times New Roman;Times;serif" w:hAnsi="Times New Roman;Times;serif"/>
          <w:sz w:val="22"/>
        </w:rPr>
        <w:t>, the term “Lender” includes any Fronting Lender and the term “applicable law” includes FATCA.</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(b)</w:t>
      </w:r>
      <w:r>
        <w:rPr>
          <w:rFonts w:ascii="Times New Roman;Times;serif" w:hAnsi="Times New Roman;Times;serif"/>
          <w:sz w:val="22"/>
          <w:u w:val="single"/>
        </w:rPr>
        <w:t>Payments Free of Taxes</w:t>
      </w:r>
      <w:r>
        <w:rPr>
          <w:rFonts w:ascii="Times New Roman;Times;serif" w:hAnsi="Times New Roman;Times;serif"/>
          <w:sz w:val="22"/>
        </w:rPr>
        <w:t xml:space="preserve">.  Any and all payments by or on account of any obligation of any Credit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Credit Party shall be increased as necessary so that, after such deduction or withholding has been made (including such deductions and withholdings applicable to additional sums payable under this </w:t>
      </w:r>
      <w:r>
        <w:rPr>
          <w:rFonts w:ascii="Times New Roman;Times;serif" w:hAnsi="Times New Roman;Times;serif"/>
          <w:sz w:val="22"/>
          <w:u w:val="single"/>
        </w:rPr>
        <w:t>Section 3.2</w:t>
      </w:r>
      <w:r>
        <w:rPr>
          <w:rFonts w:ascii="Times New Roman;Times;serif" w:hAnsi="Times New Roman;Times;serif"/>
          <w:sz w:val="22"/>
        </w:rPr>
        <w:t>), the applicable Recipient receives an amount equal to the sum it would have received had no such deduction or withholding been made.</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(c)</w:t>
      </w:r>
      <w:r>
        <w:rPr>
          <w:rFonts w:ascii="Times New Roman;Times;serif" w:hAnsi="Times New Roman;Times;serif"/>
          <w:sz w:val="22"/>
          <w:u w:val="single"/>
        </w:rPr>
        <w:t>Payment of Other Taxes by the Credit Parties</w:t>
      </w:r>
      <w:r>
        <w:rPr>
          <w:rFonts w:ascii="Times New Roman;Times;serif" w:hAnsi="Times New Roman;Times;serif"/>
          <w:sz w:val="22"/>
        </w:rPr>
        <w:t>.  The Credit Parties shall timely pay to the relevant Governmental Authority in accordance with applicable law, or at the option of Agent timely reimburse it for the payment of, any Other Taxes.</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(d)</w:t>
      </w:r>
      <w:r>
        <w:rPr>
          <w:rFonts w:ascii="Times New Roman;Times;serif" w:hAnsi="Times New Roman;Times;serif"/>
          <w:sz w:val="22"/>
          <w:u w:val="single"/>
        </w:rPr>
        <w:t>Indemnification by the Credit Parties</w:t>
      </w:r>
      <w:r>
        <w:rPr>
          <w:rFonts w:ascii="Times New Roman;Times;serif" w:hAnsi="Times New Roman;Times;serif"/>
          <w:sz w:val="22"/>
        </w:rPr>
        <w:t xml:space="preserve">.  The Credit Parties shall jointly and severally indemnify each Recipient, within ten (10) days after demand therefor, for the full amount of any Indemnified Taxes (including Indemnified Taxes imposed or asserted on or attributable to amounts payable under this </w:t>
      </w:r>
      <w:r>
        <w:rPr>
          <w:rFonts w:ascii="Times New Roman;Times;serif" w:hAnsi="Times New Roman;Times;serif"/>
          <w:sz w:val="22"/>
          <w:u w:val="single"/>
        </w:rPr>
        <w:t>Section 3.2</w:t>
      </w:r>
      <w:r>
        <w:rPr>
          <w:rFonts w:ascii="Times New Roman;Times;serif" w:hAnsi="Times New Roman;Times;serif"/>
          <w:sz w:val="22"/>
        </w:rPr>
        <w:t xml:space="preserve">)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67</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Authority.  A certificate as to the amount of such payment or liability delivered to the Administrative Borrower by a Recipient (with a copy to Agent), or by Agent on its own behalf or on behalf of a Recipient, shall be conclusive absent manifest error.</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(e)</w:t>
      </w:r>
      <w:r>
        <w:rPr>
          <w:rFonts w:ascii="Times New Roman;Times;serif" w:hAnsi="Times New Roman;Times;serif"/>
          <w:sz w:val="22"/>
          <w:u w:val="single"/>
        </w:rPr>
        <w:t>Indemnification by the Lenders</w:t>
      </w:r>
      <w:r>
        <w:rPr>
          <w:rFonts w:ascii="Times New Roman;Times;serif" w:hAnsi="Times New Roman;Times;serif"/>
          <w:sz w:val="22"/>
        </w:rPr>
        <w:t xml:space="preserve">.  Each Lender shall severally indemnify Agent, within ten (10) days after demand therefor, for (i) any Indemnified Taxes attributable to such Lender (but only to the extent that any Credit Party has not already indemnified Agent for such Indemnified Taxes and without limiting the obligation of the Credit Parties to do so), (ii) any Taxes attributable to such Lender’s failure to comply with the provisions of </w:t>
      </w:r>
      <w:r>
        <w:rPr>
          <w:rFonts w:ascii="Times New Roman;Times;serif" w:hAnsi="Times New Roman;Times;serif"/>
          <w:sz w:val="22"/>
          <w:u w:val="single"/>
        </w:rPr>
        <w:t>Section 11.10(c)</w:t>
      </w:r>
      <w:r>
        <w:rPr>
          <w:rFonts w:ascii="Aptos" w:hAnsi="Aptos"/>
          <w:sz w:val="24"/>
        </w:rPr>
        <w:t xml:space="preserve"> </w:t>
      </w:r>
      <w:r>
        <w:rPr>
          <w:rFonts w:ascii="Times New Roman;Times;serif" w:hAnsi="Times New Roman;Times;serif"/>
          <w:sz w:val="22"/>
        </w:rPr>
        <w:t>hereof relating to the maintenance of a Participant Register and (iii) any Excluded Taxes attributable to such Lender, in each case, that are payable or paid by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Agent shall be conclusive absent manifest error.  Each Lender hereby authorizes Agent to set off and apply any and all amounts at any time owing to such Lender under any Loan Document or otherwise payable by Agent to the Lender from any other source against any amount due to Agent under this paragraph (e).</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(f)</w:t>
      </w:r>
      <w:r>
        <w:rPr>
          <w:rFonts w:ascii="Times New Roman;Times;serif" w:hAnsi="Times New Roman;Times;serif"/>
          <w:sz w:val="22"/>
          <w:u w:val="single"/>
        </w:rPr>
        <w:t>Evidence of Payments</w:t>
      </w:r>
      <w:r>
        <w:rPr>
          <w:rFonts w:ascii="Times New Roman;Times;serif" w:hAnsi="Times New Roman;Times;serif"/>
          <w:sz w:val="22"/>
        </w:rPr>
        <w:t xml:space="preserve">.  As soon as practicable after any payment of Taxes by any Credit Party to a Governmental Authority pursuant to this </w:t>
      </w:r>
      <w:r>
        <w:rPr>
          <w:rFonts w:ascii="Times New Roman;Times;serif" w:hAnsi="Times New Roman;Times;serif"/>
          <w:sz w:val="22"/>
          <w:u w:val="single"/>
        </w:rPr>
        <w:t>Section 3.2</w:t>
      </w:r>
      <w:r>
        <w:rPr>
          <w:rFonts w:ascii="Times New Roman;Times;serif" w:hAnsi="Times New Roman;Times;serif"/>
          <w:sz w:val="22"/>
        </w:rPr>
        <w:t>, such Credit Party shall deliver to Agent the original or a certified copy of a receipt issued by such Governmental Authority evidencing such payment, a copy of the return reporting such payment or other evidence of such payment reasonably satisfactory to Agent.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(g)</w:t>
      </w:r>
      <w:r>
        <w:rPr>
          <w:rFonts w:ascii="Times New Roman;Times;serif" w:hAnsi="Times New Roman;Times;serif"/>
          <w:sz w:val="22"/>
          <w:u w:val="single"/>
        </w:rPr>
        <w:t>Status of Lenders</w:t>
      </w:r>
      <w:r>
        <w:rPr>
          <w:rFonts w:ascii="Times New Roman;Times;serif" w:hAnsi="Times New Roman;Times;serif"/>
          <w:sz w:val="22"/>
        </w:rPr>
        <w:t>.</w:t>
      </w:r>
    </w:p>
    <w:p>
      <w:pPr>
        <w:pStyle w:val="TextBody"/>
        <w:bidi w:val="0"/>
        <w:spacing w:lineRule="auto" w:line="285" w:before="0" w:after="240"/>
        <w:ind w:left="720" w:right="0" w:hanging="0"/>
        <w:jc w:val="both"/>
        <w:rPr>
          <w:rFonts w:ascii="Aptos" w:hAnsi="Aptos"/>
          <w:sz w:val="24"/>
        </w:rPr>
      </w:pPr>
      <w:r>
        <w:rPr>
          <w:rFonts w:ascii="Times New Roman;Times;serif" w:hAnsi="Times New Roman;Times;serif"/>
          <w:sz w:val="22"/>
        </w:rPr>
        <w:t xml:space="preserve">(i)Any Lender that is entitled to an exemption from or reduction of withholding Tax with respect to payments made under any Loan Document shall deliver to the Administrative Borrower and Agent, at the time or times reasonably requested by the Administrative Borrower or Agent, such properly completed and executed documentation reasonably requested by the Administrative Borrower or Agent as will permit such payments to be made without withholding or at a reduced rate of withholding.  In addition, any Lender, if reasonably requested by the Administrative Borrower or Agent, shall deliver such other documentation prescribed by applicable law or reasonably requested by the Administrative Borrower or Agent as will enable the Administrative Borrower or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Times;serif" w:hAnsi="Times New Roman;Times;serif"/>
          <w:sz w:val="22"/>
          <w:u w:val="single"/>
        </w:rPr>
        <w:t>Section 3.2(g)(ii)(A)</w:t>
      </w:r>
      <w:r>
        <w:rPr>
          <w:rFonts w:ascii="Times New Roman;Times;serif" w:hAnsi="Times New Roman;Times;serif"/>
          <w:sz w:val="22"/>
        </w:rPr>
        <w:t xml:space="preserve">, </w:t>
      </w:r>
      <w:r>
        <w:rPr>
          <w:rFonts w:ascii="Times New Roman;Times;serif" w:hAnsi="Times New Roman;Times;serif"/>
          <w:sz w:val="22"/>
          <w:u w:val="single"/>
        </w:rPr>
        <w:t>(ii)(B)</w:t>
      </w:r>
      <w:r>
        <w:rPr>
          <w:rFonts w:ascii="Aptos" w:hAnsi="Aptos"/>
          <w:sz w:val="24"/>
        </w:rPr>
        <w:t xml:space="preserve"> </w:t>
      </w:r>
      <w:r>
        <w:rPr>
          <w:rFonts w:ascii="Times New Roman;Times;serif" w:hAnsi="Times New Roman;Times;serif"/>
          <w:sz w:val="22"/>
        </w:rPr>
        <w:t xml:space="preserve">and </w:t>
      </w:r>
      <w:r>
        <w:rPr>
          <w:rFonts w:ascii="Times New Roman;Times;serif" w:hAnsi="Times New Roman;Times;serif"/>
          <w:sz w:val="22"/>
          <w:u w:val="single"/>
        </w:rPr>
        <w:t>(ii)(D)</w:t>
      </w:r>
      <w:r>
        <w:rPr>
          <w:rFonts w:ascii="Aptos" w:hAnsi="Aptos"/>
          <w:sz w:val="24"/>
        </w:rPr>
        <w:t xml:space="preserve"> </w:t>
      </w:r>
      <w:r>
        <w:rPr>
          <w:rFonts w:ascii="Times New Roman;Times;serif" w:hAnsi="Times New Roman;Times;serif"/>
          <w:sz w:val="22"/>
        </w:rPr>
        <w:t>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lineRule="auto" w:line="285" w:before="0" w:after="240"/>
        <w:ind w:left="720" w:right="0" w:hanging="0"/>
        <w:jc w:val="both"/>
        <w:rPr>
          <w:rFonts w:ascii="Times New Roman;Times;serif" w:hAnsi="Times New Roman;Times;serif"/>
          <w:sz w:val="22"/>
        </w:rPr>
      </w:pPr>
      <w:r>
        <w:rPr>
          <w:rFonts w:ascii="Times New Roman;Times;serif" w:hAnsi="Times New Roman;Times;serif"/>
          <w:sz w:val="22"/>
        </w:rPr>
        <w:t>(ii)Without limiting the generality of the foregoing, in the event that a Borrower is a U.S. Person:</w:t>
      </w:r>
    </w:p>
    <w:p>
      <w:pPr>
        <w:pStyle w:val="TextBody"/>
        <w:bidi w:val="0"/>
        <w:spacing w:lineRule="auto" w:line="285" w:before="0" w:after="240"/>
        <w:ind w:left="1440" w:right="0" w:hanging="0"/>
        <w:jc w:val="both"/>
        <w:rPr>
          <w:rFonts w:ascii="Aptos" w:hAnsi="Aptos"/>
          <w:sz w:val="24"/>
        </w:rPr>
      </w:pPr>
      <w:r>
        <w:rPr>
          <w:rFonts w:ascii="Times New Roman;Times;serif" w:hAnsi="Times New Roman;Times;serif"/>
          <w:sz w:val="24"/>
        </w:rPr>
        <w:t>(A)</w:t>
      </w:r>
      <w:r>
        <w:rPr>
          <w:rFonts w:ascii="Times New Roman;Times;serif" w:hAnsi="Times New Roman;Times;serif"/>
          <w:sz w:val="22"/>
        </w:rPr>
        <w:t>any Lender that is a U.S. Person shall deliver to the Administrative Borrower and Agent on or prior to the date on which such Lender becomes a Lender under this Agreement (and from time to time thereafter upon the reasonable request of the Administrative Borrower or Agent), executed copies of IRS Form W-9 certifying that such Lender is exempt from United States federal backup withholding tax;</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68</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ind w:left="1440" w:right="0" w:hanging="0"/>
        <w:jc w:val="both"/>
        <w:rPr>
          <w:rFonts w:ascii="Aptos" w:hAnsi="Aptos"/>
          <w:sz w:val="24"/>
        </w:rPr>
      </w:pPr>
      <w:r>
        <w:rPr>
          <w:rFonts w:ascii="Times New Roman;Times;serif" w:hAnsi="Times New Roman;Times;serif"/>
          <w:sz w:val="24"/>
        </w:rPr>
        <w:t>(B)</w:t>
      </w:r>
      <w:r>
        <w:rPr>
          <w:rFonts w:ascii="Times New Roman;Times;serif" w:hAnsi="Times New Roman;Times;serif"/>
          <w:sz w:val="22"/>
        </w:rPr>
        <w:t>any Foreign Lender shall, to the extent it is legally entitled to do so, deliver to the Administrative Borrower and Agent (in such number of copies as shall be requested by the recipient) on or prior to the date on which such Foreign Lender becomes a Lender under this Agreement (and from time to time thereafter upon the reasonable request of the Administrative Borrower or Agent), whichever of the following is applicable:</w:t>
      </w:r>
    </w:p>
    <w:p>
      <w:pPr>
        <w:pStyle w:val="TextBody"/>
        <w:bidi w:val="0"/>
        <w:spacing w:lineRule="auto" w:line="285" w:before="0" w:after="240"/>
        <w:ind w:left="2160" w:right="0" w:firstLine="720"/>
        <w:jc w:val="both"/>
        <w:rPr>
          <w:rFonts w:ascii="Times New Roman;Times;serif" w:hAnsi="Times New Roman;Times;serif"/>
          <w:sz w:val="22"/>
        </w:rPr>
      </w:pPr>
      <w:r>
        <w:rPr>
          <w:rFonts w:ascii="Times New Roman;Times;serif" w:hAnsi="Times New Roman;Times;serif"/>
          <w:sz w:val="22"/>
        </w:rPr>
        <w:t>(1)in the case of a Foreign Lender claiming the benefits of an income tax treaty to which the United States is a party (x) with respect to payments of interest under any Loan Document, executed copies of IRS Form W-8BEN-E establishing an exemption from, or reduction of, United States federal withholding Tax pursuant to the “interest” article of such tax treaty and (y) with respect to any other applicable payments under any Loan Document, IRS Form W-8BEN-E establishing an exemption from, or reduction of, United States federal withholding Tax pursuant to the “business profits” or “other income” article of such tax treaty;</w:t>
      </w:r>
    </w:p>
    <w:p>
      <w:pPr>
        <w:pStyle w:val="TextBody"/>
        <w:bidi w:val="0"/>
        <w:spacing w:lineRule="auto" w:line="285" w:before="0" w:after="240"/>
        <w:ind w:left="2880" w:right="0" w:hanging="0"/>
        <w:jc w:val="both"/>
        <w:rPr>
          <w:rFonts w:ascii="Times New Roman;Times;serif" w:hAnsi="Times New Roman;Times;serif"/>
          <w:sz w:val="22"/>
        </w:rPr>
      </w:pPr>
      <w:r>
        <w:rPr>
          <w:rFonts w:ascii="Times New Roman;Times;serif" w:hAnsi="Times New Roman;Times;serif"/>
          <w:sz w:val="22"/>
        </w:rPr>
        <w:t>(2)executed copies of IRS Form W-8ECI;</w:t>
      </w:r>
    </w:p>
    <w:p>
      <w:pPr>
        <w:pStyle w:val="TextBody"/>
        <w:bidi w:val="0"/>
        <w:spacing w:lineRule="auto" w:line="285" w:before="0" w:after="240"/>
        <w:ind w:left="2160" w:right="0" w:firstLine="720"/>
        <w:jc w:val="both"/>
        <w:rPr>
          <w:rFonts w:ascii="Times New Roman;Times;serif" w:hAnsi="Times New Roman;Times;serif"/>
          <w:sz w:val="22"/>
        </w:rPr>
      </w:pPr>
      <w:r>
        <w:rPr>
          <w:rFonts w:ascii="Times New Roman;Times;serif" w:hAnsi="Times New Roman;Times;serif"/>
          <w:sz w:val="22"/>
        </w:rPr>
        <w:t>(3)in the case of a Foreign Lender claiming the benefits of the exemption for portfolio interest under Section 881(c) of the Code, (x) a certificate substantially in the form of Exhibit I-1 to the effect that such Foreign Lender is not a “bank” within the meaning of Section 881(c)(3)(A) of the Code, a “10 percent shareholder” of the applicable Borrower within the meaning of Section 881(c)(3)(B) of the Code, or a “controlled foreign corporation” described in Section 881(c)(3)(C) of the Code (a “U.S. Tax Compliance Certificate”) and (y) executed copies of IRS Form W-8BEN-E; or</w:t>
      </w:r>
    </w:p>
    <w:p>
      <w:pPr>
        <w:pStyle w:val="TextBody"/>
        <w:bidi w:val="0"/>
        <w:spacing w:lineRule="auto" w:line="285" w:before="0" w:after="240"/>
        <w:ind w:left="2160" w:right="0" w:firstLine="720"/>
        <w:jc w:val="both"/>
        <w:rPr>
          <w:rFonts w:ascii="Aptos" w:hAnsi="Aptos"/>
          <w:sz w:val="22"/>
        </w:rPr>
      </w:pPr>
      <w:r>
        <w:rPr>
          <w:rFonts w:ascii="Times New Roman;Times;serif" w:hAnsi="Times New Roman;Times;serif"/>
          <w:sz w:val="22"/>
        </w:rPr>
        <w:t xml:space="preserve">(4)to the extent a Foreign Lender is not the beneficial owner, executed copies of IRS Form W-8IMY, accompanied by IRS Form W-8ECI, IRS Form W-8BEN-E, a U.S. Tax Compliance Certificate substantially in the form of </w:t>
      </w:r>
      <w:r>
        <w:rPr>
          <w:rFonts w:ascii="Times New Roman;Times;serif" w:hAnsi="Times New Roman;Times;serif"/>
          <w:sz w:val="22"/>
          <w:u w:val="single"/>
        </w:rPr>
        <w:t>Exhibit I-2</w:t>
      </w:r>
      <w:r>
        <w:rPr>
          <w:rFonts w:ascii="Aptos" w:hAnsi="Aptos"/>
          <w:sz w:val="22"/>
        </w:rPr>
        <w:t xml:space="preserve"> </w:t>
      </w:r>
      <w:r>
        <w:rPr>
          <w:rFonts w:ascii="Times New Roman;Times;serif" w:hAnsi="Times New Roman;Times;serif"/>
          <w:sz w:val="22"/>
        </w:rPr>
        <w:t xml:space="preserve">or </w:t>
      </w:r>
      <w:r>
        <w:rPr>
          <w:rFonts w:ascii="Times New Roman;Times;serif" w:hAnsi="Times New Roman;Times;serif"/>
          <w:sz w:val="22"/>
          <w:u w:val="single"/>
        </w:rPr>
        <w:t>Exhibit I-3</w:t>
      </w:r>
      <w:r>
        <w:rPr>
          <w:rFonts w:ascii="Times New Roman;Times;serif" w:hAnsi="Times New Roman;Times;serif"/>
          <w:sz w:val="22"/>
        </w:rPr>
        <w:t xml:space="preserve">, IRS Form W-9, and/or other certification documents from each beneficial owner, as applicable; </w:t>
      </w:r>
      <w:r>
        <w:rPr>
          <w:rFonts w:ascii="Times New Roman;Times;serif" w:hAnsi="Times New Roman;Times;serif"/>
          <w:sz w:val="22"/>
          <w:u w:val="single"/>
        </w:rPr>
        <w:t>provided</w:t>
      </w:r>
      <w:r>
        <w:rPr>
          <w:rFonts w:ascii="Aptos" w:hAnsi="Aptos"/>
          <w:sz w:val="22"/>
        </w:rPr>
        <w:t xml:space="preserve"> </w:t>
      </w:r>
      <w:r>
        <w:rPr>
          <w:rFonts w:ascii="Times New Roman;Times;serif" w:hAnsi="Times New Roman;Times;serif"/>
          <w:sz w:val="22"/>
        </w:rPr>
        <w:t xml:space="preserve">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Times;serif" w:hAnsi="Times New Roman;Times;serif"/>
          <w:sz w:val="22"/>
          <w:u w:val="single"/>
        </w:rPr>
        <w:t>Exhibit I-4</w:t>
      </w:r>
      <w:r>
        <w:rPr>
          <w:rFonts w:ascii="Aptos" w:hAnsi="Aptos"/>
          <w:sz w:val="22"/>
        </w:rPr>
        <w:t xml:space="preserve"> </w:t>
      </w:r>
      <w:r>
        <w:rPr>
          <w:rFonts w:ascii="Times New Roman;Times;serif" w:hAnsi="Times New Roman;Times;serif"/>
          <w:sz w:val="22"/>
        </w:rPr>
        <w:t>on behalf of each such direct and indirect partner;</w:t>
      </w:r>
    </w:p>
    <w:p>
      <w:pPr>
        <w:pStyle w:val="TextBody"/>
        <w:bidi w:val="0"/>
        <w:spacing w:lineRule="auto" w:line="285" w:before="0" w:after="240"/>
        <w:ind w:left="1440" w:right="0" w:hanging="0"/>
        <w:jc w:val="both"/>
        <w:rPr>
          <w:rFonts w:ascii="Aptos" w:hAnsi="Aptos"/>
          <w:sz w:val="24"/>
        </w:rPr>
      </w:pPr>
      <w:r>
        <w:rPr>
          <w:rFonts w:ascii="Times New Roman;Times;serif" w:hAnsi="Times New Roman;Times;serif"/>
          <w:sz w:val="24"/>
        </w:rPr>
        <w:t>(C)</w:t>
      </w:r>
      <w:r>
        <w:rPr>
          <w:rFonts w:ascii="Times New Roman;Times;serif" w:hAnsi="Times New Roman;Times;serif"/>
          <w:sz w:val="22"/>
        </w:rPr>
        <w:t>any Foreign Lender shall, to the extent it is legally entitled to do so, deliver to the Administrative Borrower and Agent (in such number of copies as shall be requested by the recipient) on or prior to the date on which such Foreign Lender becomes a Lender under this Agreement (and from time to time thereafter upon the reasonable request of the Administrative Borrower or Agent), executed copies of any other form prescribed by applicable law as a basis for claiming exemption from or a reduction in United States federal withholding Tax, duly completed, together with such supplementary documentation as may be prescribed by applicable law to permit the Administrative Borrower or Agent to determine the withholding or deduction required to be made; and</w:t>
      </w:r>
    </w:p>
    <w:p>
      <w:pPr>
        <w:pStyle w:val="TextBody"/>
        <w:bidi w:val="0"/>
        <w:spacing w:lineRule="auto" w:line="285"/>
        <w:ind w:left="1440" w:right="0" w:hanging="0"/>
        <w:jc w:val="both"/>
        <w:rPr>
          <w:rFonts w:ascii="Aptos" w:hAnsi="Aptos"/>
          <w:sz w:val="24"/>
        </w:rPr>
      </w:pPr>
      <w:r>
        <w:rPr>
          <w:rFonts w:ascii="Times New Roman;Times;serif" w:hAnsi="Times New Roman;Times;serif"/>
          <w:sz w:val="24"/>
        </w:rPr>
        <w:t>(D)</w:t>
      </w:r>
      <w:r>
        <w:rPr>
          <w:rFonts w:ascii="Times New Roman;Times;serif" w:hAnsi="Times New Roman;Times;serif"/>
          <w:sz w:val="22"/>
        </w:rPr>
        <w:t xml:space="preserve">if a payment made to a Lender under any Loan Document would be subject to United States federal withholding Tax imposed by FATCA if such Lender were to fail to comply with the applicable reporting requirements of FATCA (including those contained in Section 1471(b) or 1472(b) of the Code, as applicable), such Lender shall deliver to the Administrative Borrower and Agent at the time or times prescribed by law and at such time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69</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ind w:left="1440" w:right="0" w:hanging="0"/>
        <w:jc w:val="both"/>
        <w:rPr>
          <w:rFonts w:ascii="Times New Roman;Times;serif" w:hAnsi="Times New Roman;Times;serif"/>
          <w:sz w:val="22"/>
        </w:rPr>
      </w:pPr>
      <w:r>
        <w:rPr>
          <w:rFonts w:ascii="Times New Roman;Times;serif" w:hAnsi="Times New Roman;Times;serif"/>
          <w:sz w:val="22"/>
        </w:rPr>
        <w:t>or times reasonably requested by the Administrative Borrower or Agent such documentation prescribed by applicable law (including as prescribed by Section 1471(b)(3)(C)(i) of the Code) and such additional documentation reasonably requested by the Administrative Borrower or Agent as may be necessary for the Administrative Borrower and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First Amendment Date.</w:t>
      </w:r>
    </w:p>
    <w:p>
      <w:pPr>
        <w:pStyle w:val="TextBody"/>
        <w:bidi w:val="0"/>
        <w:spacing w:lineRule="auto" w:line="285" w:before="0" w:after="240"/>
        <w:ind w:left="720" w:right="0" w:firstLine="720"/>
        <w:jc w:val="both"/>
        <w:rPr>
          <w:rFonts w:ascii="Times New Roman;Times;serif" w:hAnsi="Times New Roman;Times;serif"/>
          <w:sz w:val="22"/>
        </w:rPr>
      </w:pPr>
      <w:r>
        <w:rPr>
          <w:rFonts w:ascii="Times New Roman;Times;serif" w:hAnsi="Times New Roman;Times;serif"/>
          <w:sz w:val="22"/>
        </w:rPr>
        <w:t>Each Lender agrees that if any form or certification it previously delivered expires or becomes obsolete or inaccurate in any respect, it shall update such form or certification or promptly notify the Administrative Borrower and Agent in writing of its legal inability to do so.</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(h)</w:t>
      </w:r>
      <w:r>
        <w:rPr>
          <w:rFonts w:ascii="Times New Roman;Times;serif" w:hAnsi="Times New Roman;Times;serif"/>
          <w:sz w:val="22"/>
          <w:u w:val="single"/>
        </w:rPr>
        <w:t>Treatment of Certain Refunds</w:t>
      </w:r>
      <w:r>
        <w:rPr>
          <w:rFonts w:ascii="Times New Roman;Times;serif" w:hAnsi="Times New Roman;Times;serif"/>
          <w:sz w:val="22"/>
        </w:rPr>
        <w:t xml:space="preserve">.  If any party determines, in its sole discretion exercised in good faith, that it has received a refund of any Taxes as to which it has been indemnified pursuant to this </w:t>
      </w:r>
      <w:r>
        <w:rPr>
          <w:rFonts w:ascii="Times New Roman;Times;serif" w:hAnsi="Times New Roman;Times;serif"/>
          <w:sz w:val="22"/>
          <w:u w:val="single"/>
        </w:rPr>
        <w:t>Section 3.2</w:t>
      </w:r>
      <w:r>
        <w:rPr>
          <w:rFonts w:ascii="Aptos" w:hAnsi="Aptos"/>
          <w:sz w:val="24"/>
        </w:rPr>
        <w:t xml:space="preserve"> </w:t>
      </w:r>
      <w:r>
        <w:rPr>
          <w:rFonts w:ascii="Times New Roman;Times;serif" w:hAnsi="Times New Roman;Times;serif"/>
          <w:sz w:val="22"/>
        </w:rPr>
        <w:t xml:space="preserve">(including by the payment of additional amounts pursuant to this </w:t>
      </w:r>
      <w:r>
        <w:rPr>
          <w:rFonts w:ascii="Times New Roman;Times;serif" w:hAnsi="Times New Roman;Times;serif"/>
          <w:sz w:val="22"/>
          <w:u w:val="single"/>
        </w:rPr>
        <w:t>Section 3.2</w:t>
      </w:r>
      <w:r>
        <w:rPr>
          <w:rFonts w:ascii="Times New Roman;Times;serif" w:hAnsi="Times New Roman;Times;serif"/>
          <w:sz w:val="22"/>
        </w:rPr>
        <w:t xml:space="preserve">), it shall pay to the indemnifying party an amount equal to such refund (but only to the extent of indemnity payments made under this </w:t>
      </w:r>
      <w:r>
        <w:rPr>
          <w:rFonts w:ascii="Times New Roman;Times;serif" w:hAnsi="Times New Roman;Times;serif"/>
          <w:sz w:val="22"/>
          <w:u w:val="single"/>
        </w:rPr>
        <w:t>Section 3.2</w:t>
      </w:r>
      <w:r>
        <w:rPr>
          <w:rFonts w:ascii="Aptos" w:hAnsi="Aptos"/>
          <w:sz w:val="24"/>
        </w:rPr>
        <w:t xml:space="preserve"> </w:t>
      </w:r>
      <w:r>
        <w:rPr>
          <w:rFonts w:ascii="Times New Roman;Times;serif" w:hAnsi="Times New Roman;Times;serif"/>
          <w:sz w:val="22"/>
        </w:rPr>
        <w:t>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(h) (plus any penalties, interest or other charges imposed by the relevant Governmental Authority) in the event that such indemnified party is required to repay such refund to such Governmental Authority.  Notwithstanding anything to the contrary in this paragraph (h), in no event will the indemnified party be required to pay any amount to an indemnifying party pursuant to this paragraph (h)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(i)[</w:t>
      </w:r>
      <w:r>
        <w:rPr>
          <w:rFonts w:ascii="Times New Roman;Times;serif" w:hAnsi="Times New Roman;Times;serif"/>
          <w:sz w:val="22"/>
          <w:u w:val="single"/>
        </w:rPr>
        <w:t>Reserved</w:t>
      </w:r>
      <w:r>
        <w:rPr>
          <w:rFonts w:ascii="Times New Roman;Times;serif" w:hAnsi="Times New Roman;Times;serif"/>
          <w:sz w:val="22"/>
        </w:rPr>
        <w:t>].</w:t>
      </w:r>
    </w:p>
    <w:p>
      <w:pPr>
        <w:pStyle w:val="TextBody"/>
        <w:bidi w:val="0"/>
        <w:spacing w:lineRule="auto" w:line="285" w:before="0" w:after="0"/>
        <w:ind w:left="0" w:right="0" w:hanging="0"/>
        <w:jc w:val="both"/>
        <w:rPr>
          <w:rFonts w:ascii="Aptos" w:hAnsi="Aptos"/>
          <w:sz w:val="24"/>
        </w:rPr>
      </w:pPr>
      <w:r>
        <w:rPr>
          <w:rFonts w:ascii="Times New Roman;Times;serif" w:hAnsi="Times New Roman;Times;serif"/>
          <w:sz w:val="22"/>
        </w:rPr>
        <w:t>(j)</w:t>
      </w:r>
      <w:r>
        <w:rPr>
          <w:rFonts w:ascii="Times New Roman;Times;serif" w:hAnsi="Times New Roman;Times;serif"/>
          <w:sz w:val="22"/>
          <w:u w:val="single"/>
        </w:rPr>
        <w:t>Survival</w:t>
      </w:r>
      <w:r>
        <w:rPr>
          <w:rFonts w:ascii="Times New Roman;Times;serif" w:hAnsi="Times New Roman;Times;serif"/>
          <w:sz w:val="22"/>
        </w:rPr>
        <w:t xml:space="preserve">.  Each party’s obligations under this </w:t>
      </w:r>
      <w:r>
        <w:rPr>
          <w:rFonts w:ascii="Times New Roman;Times;serif" w:hAnsi="Times New Roman;Times;serif"/>
          <w:sz w:val="22"/>
          <w:u w:val="single"/>
        </w:rPr>
        <w:t>Section 3.2</w:t>
      </w:r>
      <w:r>
        <w:rPr>
          <w:rFonts w:ascii="Aptos" w:hAnsi="Aptos"/>
          <w:sz w:val="24"/>
        </w:rPr>
        <w:t xml:space="preserve"> </w:t>
      </w:r>
      <w:r>
        <w:rPr>
          <w:rFonts w:ascii="Times New Roman;Times;serif" w:hAnsi="Times New Roman;Times;serif"/>
          <w:sz w:val="22"/>
        </w:rPr>
        <w:t>shall survive the resignation or replacement of Agent or any assignment of rights by, or the replacement of, a Lender, the termination of the Commitments and the repayment, satisfaction or discharge of all obligations under any Loan Document.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3.3</w:t>
      </w:r>
      <w:bookmarkStart w:id="1843" w:name="_Toc236844314"/>
      <w:bookmarkStart w:id="1844" w:name="_Toc172896660"/>
      <w:bookmarkEnd w:id="1843"/>
      <w:bookmarkEnd w:id="1844"/>
      <w:r>
        <w:rPr>
          <w:rFonts w:ascii="Times New Roman;Times;serif" w:hAnsi="Times New Roman;Times;serif"/>
          <w:sz w:val="22"/>
          <w:u w:val="single"/>
        </w:rPr>
        <w:t>Funding Losses</w:t>
      </w:r>
      <w:r>
        <w:rPr>
          <w:rFonts w:ascii="Times New Roman;Times;serif" w:hAnsi="Times New Roman;Times;serif"/>
          <w:sz w:val="22"/>
        </w:rPr>
        <w:t xml:space="preserve">.  US Borrower (and the appropriate Foreign Borrower) agrees to indemnify each Lender, promptly after receipt of a written request therefor, and to hold each Lender harmless from, any loss or expense that such Lender may sustain or incur as a consequence of (a) default by a Borrower in making a borrowing of, conversion into or continuation of Eurodollar Fixed Rate Loans after such Borrower has given a notice (including a written or verbal notice that is subsequently revoked) requesting the same in accordance with the provisions of this Agreement, (b) default by a Borrower in making any prepayment of or conversion from Eurodollar Fixed Rate Loans after such Borrower has given a notice (including a written or verbal notice that is subsequently revoked) thereof in accordance with the provisions of this Agreement, (c) the making of a prepayment of a Eurodollar Fixed Rate Loan on a day that is not the last day of an Interest Period applicable thereto, (d) any conversion of a Term RFR Loan to a Base Rate Loan on a day that is not the last day of an Interest Period applicable thereto, or (e) any compulsory assignment of such Lender’s interests, rights and obligations under this Agreement pursuant to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70</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u w:val="single"/>
        </w:rPr>
        <w:t>Section 3.4(b)</w:t>
      </w:r>
      <w:r>
        <w:rPr>
          <w:rFonts w:ascii="Aptos" w:hAnsi="Aptos"/>
          <w:sz w:val="24"/>
        </w:rPr>
        <w:t xml:space="preserve"> </w:t>
      </w:r>
      <w:r>
        <w:rPr>
          <w:rFonts w:ascii="Times New Roman;Times;serif" w:hAnsi="Times New Roman;Times;serif"/>
          <w:sz w:val="22"/>
        </w:rPr>
        <w:t xml:space="preserve">hereof.  Such indemnification shall be in an amount equal to the excess, if any, of (i) the amount of interest that would have accrued on the amounts so prepaid, or not so borrowed, converted or continued, for the period from the date of such prepayment or of such failure to borrow, convert or continue to the last day of such Interest Period (or, in the case of a failure to borrow, convert or continue, the Interest Period that would have commenced on the date of such failure) in each case at the applicable rate of interest for such Loans provided for herein (excluding, however, the Applicable Margin included therein, if any) over (ii) the amount of interest (as reasonably determined by such Lender) that would have accrued to such Lender on such amount by placing such amount on deposit for a comparable period with leading banks in the appropriate London interbank market, along with any administration fee charged by such Lender.  A certificate as to any amounts payable pursuant to this </w:t>
      </w:r>
      <w:r>
        <w:rPr>
          <w:rFonts w:ascii="Times New Roman;Times;serif" w:hAnsi="Times New Roman;Times;serif"/>
          <w:sz w:val="22"/>
          <w:u w:val="single"/>
        </w:rPr>
        <w:t>Section 3.3</w:t>
      </w:r>
      <w:r>
        <w:rPr>
          <w:rFonts w:ascii="Aptos" w:hAnsi="Aptos"/>
          <w:sz w:val="24"/>
        </w:rPr>
        <w:t xml:space="preserve"> </w:t>
      </w:r>
      <w:r>
        <w:rPr>
          <w:rFonts w:ascii="Times New Roman;Times;serif" w:hAnsi="Times New Roman;Times;serif"/>
          <w:sz w:val="22"/>
        </w:rPr>
        <w:t xml:space="preserve">submitted to Administrative Borrower (with a copy to Agent) by any Lender shall be conclusive absent manifest error.  The obligations of Borrowers pursuant to this </w:t>
      </w:r>
      <w:r>
        <w:rPr>
          <w:rFonts w:ascii="Times New Roman;Times;serif" w:hAnsi="Times New Roman;Times;serif"/>
          <w:sz w:val="22"/>
          <w:u w:val="single"/>
        </w:rPr>
        <w:t>Section 3.3</w:t>
      </w:r>
      <w:r>
        <w:rPr>
          <w:rFonts w:ascii="Aptos" w:hAnsi="Aptos"/>
          <w:sz w:val="24"/>
        </w:rPr>
        <w:t xml:space="preserve"> </w:t>
      </w:r>
      <w:r>
        <w:rPr>
          <w:rFonts w:ascii="Times New Roman;Times;serif" w:hAnsi="Times New Roman;Times;serif"/>
          <w:sz w:val="22"/>
        </w:rPr>
        <w:t>shall survive the termination of this Agreement and the payment of the Loans and all other amounts payable hereunder.</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3.4</w:t>
      </w:r>
      <w:bookmarkStart w:id="1845" w:name="_Toc236844315"/>
      <w:bookmarkStart w:id="1846" w:name="_Toc172896661"/>
      <w:bookmarkEnd w:id="1845"/>
      <w:bookmarkEnd w:id="1846"/>
      <w:r>
        <w:rPr>
          <w:rFonts w:ascii="Times New Roman;Times;serif" w:hAnsi="Times New Roman;Times;serif"/>
          <w:sz w:val="22"/>
          <w:u w:val="single"/>
        </w:rPr>
        <w:t>Mitigation Obligations; Replacement of Lenders</w:t>
      </w:r>
      <w:r>
        <w:rPr>
          <w:rFonts w:ascii="Times New Roman;Times;serif" w:hAnsi="Times New Roman;Times;serif"/>
          <w:sz w:val="22"/>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(a)</w:t>
      </w:r>
      <w:r>
        <w:rPr>
          <w:rFonts w:ascii="Times New Roman;Times;serif" w:hAnsi="Times New Roman;Times;serif"/>
          <w:sz w:val="22"/>
          <w:u w:val="single"/>
        </w:rPr>
        <w:t>Designation of a Different Lending Office</w:t>
      </w:r>
      <w:r>
        <w:rPr>
          <w:rFonts w:ascii="Times New Roman;Times;serif" w:hAnsi="Times New Roman;Times;serif"/>
          <w:sz w:val="22"/>
        </w:rPr>
        <w:t xml:space="preserve">.  If any Lender requests compensation under </w:t>
      </w:r>
      <w:r>
        <w:rPr>
          <w:rFonts w:ascii="Times New Roman;Times;serif" w:hAnsi="Times New Roman;Times;serif"/>
          <w:sz w:val="22"/>
          <w:u w:val="single"/>
        </w:rPr>
        <w:t>Section 3.1</w:t>
      </w:r>
      <w:r>
        <w:rPr>
          <w:rFonts w:ascii="Times New Roman;Times;serif" w:hAnsi="Times New Roman;Times;serif"/>
          <w:sz w:val="22"/>
        </w:rPr>
        <w:t xml:space="preserve">, or requires any Borrower to pay any Indemnified Taxes or additional amounts to any Lender or any Governmental Authority for the account of any Lender pursuant to </w:t>
      </w:r>
      <w:r>
        <w:rPr>
          <w:rFonts w:ascii="Times New Roman;Times;serif" w:hAnsi="Times New Roman;Times;serif"/>
          <w:sz w:val="22"/>
          <w:u w:val="single"/>
        </w:rPr>
        <w:t>Section 3.2</w:t>
      </w:r>
      <w:r>
        <w:rPr>
          <w:rFonts w:ascii="Aptos" w:hAnsi="Aptos"/>
          <w:sz w:val="24"/>
        </w:rPr>
        <w:t xml:space="preserve"> </w:t>
      </w:r>
      <w:r>
        <w:rPr>
          <w:rFonts w:ascii="Times New Roman;Times;serif" w:hAnsi="Times New Roman;Times;serif"/>
          <w:sz w:val="22"/>
        </w:rPr>
        <w:t xml:space="preserve">hereof or cease to make available Eurodollar Fixed Rate Loans or Term RFR Loans pursuant to </w:t>
      </w:r>
      <w:r>
        <w:rPr>
          <w:rFonts w:ascii="Times New Roman;Times;serif" w:hAnsi="Times New Roman;Times;serif"/>
          <w:sz w:val="22"/>
          <w:u w:val="single"/>
        </w:rPr>
        <w:t>Section 3.5(a)</w:t>
      </w:r>
      <w:r>
        <w:rPr>
          <w:rFonts w:ascii="Aptos" w:hAnsi="Aptos"/>
          <w:sz w:val="24"/>
        </w:rPr>
        <w:t xml:space="preserve"> </w:t>
      </w:r>
      <w:r>
        <w:rPr>
          <w:rFonts w:ascii="Times New Roman;Times;serif" w:hAnsi="Times New Roman;Times;serif"/>
          <w:sz w:val="22"/>
        </w:rPr>
        <w:t xml:space="preserve">or </w:t>
      </w:r>
      <w:r>
        <w:rPr>
          <w:rFonts w:ascii="Times New Roman;Times;serif" w:hAnsi="Times New Roman;Times;serif"/>
          <w:sz w:val="22"/>
          <w:u w:val="single"/>
        </w:rPr>
        <w:t>Section 3.5(b)</w:t>
      </w:r>
      <w:r>
        <w:rPr>
          <w:rFonts w:ascii="Aptos" w:hAnsi="Aptos"/>
          <w:sz w:val="24"/>
        </w:rPr>
        <w:t xml:space="preserve"> </w:t>
      </w:r>
      <w:r>
        <w:rPr>
          <w:rFonts w:ascii="Times New Roman;Times;serif" w:hAnsi="Times New Roman;Times;serif"/>
          <w:sz w:val="22"/>
        </w:rPr>
        <w:t xml:space="preserve">hereof, then such Lender shall, at the request of the Administrative Borrower, use reasonable efforts to designate a different lending office for funding or booking its Loans hereunder or its participation in any Letter of Credit affected by such event or to assign its rights and obligations hereunder to another of its offices, branches or affiliates, if, in the judgment of such Lender, such designation or assignment (i) would eliminate or reduce amounts payable pursuant to </w:t>
      </w:r>
      <w:r>
        <w:rPr>
          <w:rFonts w:ascii="Times New Roman;Times;serif" w:hAnsi="Times New Roman;Times;serif"/>
          <w:sz w:val="22"/>
          <w:u w:val="single"/>
        </w:rPr>
        <w:t>Section 3.1</w:t>
      </w:r>
      <w:r>
        <w:rPr>
          <w:rFonts w:ascii="Aptos" w:hAnsi="Aptos"/>
          <w:sz w:val="24"/>
        </w:rPr>
        <w:t xml:space="preserve"> </w:t>
      </w:r>
      <w:r>
        <w:rPr>
          <w:rFonts w:ascii="Times New Roman;Times;serif" w:hAnsi="Times New Roman;Times;serif"/>
          <w:sz w:val="22"/>
        </w:rPr>
        <w:t xml:space="preserve">or </w:t>
      </w:r>
      <w:r>
        <w:rPr>
          <w:rFonts w:ascii="Times New Roman;Times;serif" w:hAnsi="Times New Roman;Times;serif"/>
          <w:sz w:val="22"/>
          <w:u w:val="single"/>
        </w:rPr>
        <w:t>Section 3.2</w:t>
      </w:r>
      <w:r>
        <w:rPr>
          <w:rFonts w:ascii="Aptos" w:hAnsi="Aptos"/>
          <w:sz w:val="24"/>
        </w:rPr>
        <w:t xml:space="preserve"> </w:t>
      </w:r>
      <w:r>
        <w:rPr>
          <w:rFonts w:ascii="Times New Roman;Times;serif" w:hAnsi="Times New Roman;Times;serif"/>
          <w:sz w:val="22"/>
        </w:rPr>
        <w:t>hereof or permit the continuation or making of Eurodollar Fixed Rate Loans, as the case may be, in the future and (ii) would not subject such Lender to any unreimbursed cost or expense and would not otherwise be disadvantageous to such Lender. The Borrowers hereby agree to pay all reasonable costs and expenses incurred by any Lender in connection with any such designation or assignment.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(b)</w:t>
      </w:r>
      <w:r>
        <w:rPr>
          <w:rFonts w:ascii="Times New Roman;Times;serif" w:hAnsi="Times New Roman;Times;serif"/>
          <w:sz w:val="22"/>
          <w:u w:val="single"/>
        </w:rPr>
        <w:t>Replacement of Lenders</w:t>
      </w:r>
      <w:r>
        <w:rPr>
          <w:rFonts w:ascii="Times New Roman;Times;serif" w:hAnsi="Times New Roman;Times;serif"/>
          <w:sz w:val="22"/>
        </w:rPr>
        <w:t xml:space="preserve">.  If any Lender requests compensation under </w:t>
      </w:r>
      <w:r>
        <w:rPr>
          <w:rFonts w:ascii="Times New Roman;Times;serif" w:hAnsi="Times New Roman;Times;serif"/>
          <w:sz w:val="22"/>
          <w:u w:val="single"/>
        </w:rPr>
        <w:t>Section 3.1</w:t>
      </w:r>
      <w:r>
        <w:rPr>
          <w:rFonts w:ascii="Aptos" w:hAnsi="Aptos"/>
          <w:sz w:val="24"/>
        </w:rPr>
        <w:t xml:space="preserve"> </w:t>
      </w:r>
      <w:r>
        <w:rPr>
          <w:rFonts w:ascii="Times New Roman;Times;serif" w:hAnsi="Times New Roman;Times;serif"/>
          <w:sz w:val="22"/>
        </w:rPr>
        <w:t xml:space="preserve">hereof, or if any Borrower is required to pay any Indemnified Taxes or additional amounts to any Lender or any Governmental Authority for the account of any Lender pursuant to </w:t>
      </w:r>
      <w:r>
        <w:rPr>
          <w:rFonts w:ascii="Times New Roman;Times;serif" w:hAnsi="Times New Roman;Times;serif"/>
          <w:sz w:val="22"/>
          <w:u w:val="single"/>
        </w:rPr>
        <w:t>Section 3.2</w:t>
      </w:r>
      <w:r>
        <w:rPr>
          <w:rFonts w:ascii="Aptos" w:hAnsi="Aptos"/>
          <w:sz w:val="24"/>
        </w:rPr>
        <w:t xml:space="preserve"> </w:t>
      </w:r>
      <w:r>
        <w:rPr>
          <w:rFonts w:ascii="Times New Roman;Times;serif" w:hAnsi="Times New Roman;Times;serif"/>
          <w:sz w:val="22"/>
        </w:rPr>
        <w:t xml:space="preserve">hereof, or if any Lender shall cease to make available Eurodollar Fixed Rate Loans or Term RFR Loans pursuant to </w:t>
      </w:r>
      <w:r>
        <w:rPr>
          <w:rFonts w:ascii="Times New Roman;Times;serif" w:hAnsi="Times New Roman;Times;serif"/>
          <w:sz w:val="22"/>
          <w:u w:val="single"/>
        </w:rPr>
        <w:t>Section 3.5(a)</w:t>
      </w:r>
      <w:r>
        <w:rPr>
          <w:rFonts w:ascii="Aptos" w:hAnsi="Aptos"/>
          <w:sz w:val="24"/>
        </w:rPr>
        <w:t xml:space="preserve"> </w:t>
      </w:r>
      <w:r>
        <w:rPr>
          <w:rFonts w:ascii="Times New Roman;Times;serif" w:hAnsi="Times New Roman;Times;serif"/>
          <w:sz w:val="22"/>
        </w:rPr>
        <w:t xml:space="preserve">or </w:t>
      </w:r>
      <w:r>
        <w:rPr>
          <w:rFonts w:ascii="Times New Roman;Times;serif" w:hAnsi="Times New Roman;Times;serif"/>
          <w:sz w:val="22"/>
          <w:u w:val="single"/>
        </w:rPr>
        <w:t>Section 3.5(b)</w:t>
      </w:r>
      <w:r>
        <w:rPr>
          <w:rFonts w:ascii="Aptos" w:hAnsi="Aptos"/>
          <w:sz w:val="24"/>
        </w:rPr>
        <w:t xml:space="preserve"> </w:t>
      </w:r>
      <w:r>
        <w:rPr>
          <w:rFonts w:ascii="Times New Roman;Times;serif" w:hAnsi="Times New Roman;Times;serif"/>
          <w:sz w:val="22"/>
        </w:rPr>
        <w:t xml:space="preserve">hereof, and, in each case, such Lender has declined or is unable to designate a different lending office in accordance with </w:t>
      </w:r>
      <w:r>
        <w:rPr>
          <w:rFonts w:ascii="Times New Roman;Times;serif" w:hAnsi="Times New Roman;Times;serif"/>
          <w:sz w:val="22"/>
          <w:u w:val="single"/>
        </w:rPr>
        <w:t>Section 3.4(a)</w:t>
      </w:r>
      <w:r>
        <w:rPr>
          <w:rFonts w:ascii="Aptos" w:hAnsi="Aptos"/>
          <w:sz w:val="24"/>
        </w:rPr>
        <w:t xml:space="preserve"> </w:t>
      </w:r>
      <w:r>
        <w:rPr>
          <w:rFonts w:ascii="Times New Roman;Times;serif" w:hAnsi="Times New Roman;Times;serif"/>
          <w:sz w:val="22"/>
        </w:rPr>
        <w:t xml:space="preserve">hereof that eliminates the amounts payable pursuant to </w:t>
      </w:r>
      <w:r>
        <w:rPr>
          <w:rFonts w:ascii="Times New Roman;Times;serif" w:hAnsi="Times New Roman;Times;serif"/>
          <w:sz w:val="22"/>
          <w:u w:val="single"/>
        </w:rPr>
        <w:t>Section 3.1</w:t>
      </w:r>
      <w:r>
        <w:rPr>
          <w:rFonts w:ascii="Aptos" w:hAnsi="Aptos"/>
          <w:sz w:val="24"/>
        </w:rPr>
        <w:t xml:space="preserve"> </w:t>
      </w:r>
      <w:r>
        <w:rPr>
          <w:rFonts w:ascii="Times New Roman;Times;serif" w:hAnsi="Times New Roman;Times;serif"/>
          <w:sz w:val="22"/>
        </w:rPr>
        <w:t xml:space="preserve">or </w:t>
      </w:r>
      <w:r>
        <w:rPr>
          <w:rFonts w:ascii="Times New Roman;Times;serif" w:hAnsi="Times New Roman;Times;serif"/>
          <w:sz w:val="22"/>
          <w:u w:val="single"/>
        </w:rPr>
        <w:t>Section 3.2</w:t>
      </w:r>
      <w:r>
        <w:rPr>
          <w:rFonts w:ascii="Aptos" w:hAnsi="Aptos"/>
          <w:sz w:val="24"/>
        </w:rPr>
        <w:t xml:space="preserve"> </w:t>
      </w:r>
      <w:r>
        <w:rPr>
          <w:rFonts w:ascii="Times New Roman;Times;serif" w:hAnsi="Times New Roman;Times;serif"/>
          <w:sz w:val="22"/>
        </w:rPr>
        <w:t xml:space="preserve">hereof, as the case may be, or allows such Lender to continue to make or maintain Eurodollar Fixed Rate Loans, or if any Lender is a Defaulting Lender or a Non-Consenting Lender, then the Administrative Borrower may, at Borrowers’ sole expense and effort, upon notice to such Lender and Agent, require such Lender to assign and delegate, without recourse (in accordance with and subject to the restrictions contained in, and consents required by, </w:t>
      </w:r>
      <w:r>
        <w:rPr>
          <w:rFonts w:ascii="Times New Roman;Times;serif" w:hAnsi="Times New Roman;Times;serif"/>
          <w:sz w:val="22"/>
          <w:u w:val="single"/>
        </w:rPr>
        <w:t>Section 11.10</w:t>
      </w:r>
      <w:r>
        <w:rPr>
          <w:rFonts w:ascii="Aptos" w:hAnsi="Aptos"/>
          <w:sz w:val="24"/>
        </w:rPr>
        <w:t xml:space="preserve"> </w:t>
      </w:r>
      <w:r>
        <w:rPr>
          <w:rFonts w:ascii="Times New Roman;Times;serif" w:hAnsi="Times New Roman;Times;serif"/>
          <w:sz w:val="22"/>
        </w:rPr>
        <w:t xml:space="preserve">hereof), all of its interests, rights (other than its existing rights to payments pursuant to </w:t>
      </w:r>
      <w:r>
        <w:rPr>
          <w:rFonts w:ascii="Times New Roman;Times;serif" w:hAnsi="Times New Roman;Times;serif"/>
          <w:sz w:val="22"/>
          <w:u w:val="single"/>
        </w:rPr>
        <w:t>Section 3.1</w:t>
      </w:r>
      <w:r>
        <w:rPr>
          <w:rFonts w:ascii="Aptos" w:hAnsi="Aptos"/>
          <w:sz w:val="24"/>
        </w:rPr>
        <w:t xml:space="preserve"> </w:t>
      </w:r>
      <w:r>
        <w:rPr>
          <w:rFonts w:ascii="Times New Roman;Times;serif" w:hAnsi="Times New Roman;Times;serif"/>
          <w:sz w:val="22"/>
        </w:rPr>
        <w:t xml:space="preserve">or </w:t>
      </w:r>
      <w:r>
        <w:rPr>
          <w:rFonts w:ascii="Times New Roman;Times;serif" w:hAnsi="Times New Roman;Times;serif"/>
          <w:sz w:val="22"/>
          <w:u w:val="single"/>
        </w:rPr>
        <w:t>Section 3.2</w:t>
      </w:r>
      <w:r>
        <w:rPr>
          <w:rFonts w:ascii="Aptos" w:hAnsi="Aptos"/>
          <w:sz w:val="24"/>
        </w:rPr>
        <w:t xml:space="preserve"> </w:t>
      </w:r>
      <w:r>
        <w:rPr>
          <w:rFonts w:ascii="Times New Roman;Times;serif" w:hAnsi="Times New Roman;Times;serif"/>
          <w:sz w:val="22"/>
        </w:rPr>
        <w:t xml:space="preserve">hereof) and obligations under this Agreement and the related Loan Documents to an Eligible Transferee that shall assume such obligations (which assignee may be another Lender, if a Lender accepts such assignment);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that:</w:t>
      </w:r>
    </w:p>
    <w:p>
      <w:pPr>
        <w:pStyle w:val="TextBody"/>
        <w:bidi w:val="0"/>
        <w:spacing w:lineRule="auto" w:line="285" w:before="0" w:after="240"/>
        <w:ind w:left="720" w:right="0" w:hanging="0"/>
        <w:jc w:val="both"/>
        <w:rPr>
          <w:rFonts w:ascii="Aptos" w:hAnsi="Aptos"/>
          <w:sz w:val="24"/>
        </w:rPr>
      </w:pPr>
      <w:r>
        <w:rPr>
          <w:rFonts w:ascii="Times New Roman;Times;serif" w:hAnsi="Times New Roman;Times;serif"/>
          <w:sz w:val="22"/>
        </w:rPr>
        <w:t xml:space="preserve">(i)the Borrowers shall have paid to Agent the assignment fee (if any) specified in </w:t>
      </w:r>
      <w:r>
        <w:rPr>
          <w:rFonts w:ascii="Times New Roman;Times;serif" w:hAnsi="Times New Roman;Times;serif"/>
          <w:sz w:val="22"/>
          <w:u w:val="single"/>
        </w:rPr>
        <w:t>Section 11.10</w:t>
      </w:r>
      <w:r>
        <w:rPr>
          <w:rFonts w:ascii="Aptos" w:hAnsi="Aptos"/>
          <w:sz w:val="24"/>
        </w:rPr>
        <w:t xml:space="preserve"> </w:t>
      </w:r>
      <w:r>
        <w:rPr>
          <w:rFonts w:ascii="Times New Roman;Times;serif" w:hAnsi="Times New Roman;Times;serif"/>
          <w:sz w:val="22"/>
        </w:rPr>
        <w:t>hereof;</w:t>
      </w:r>
    </w:p>
    <w:p>
      <w:pPr>
        <w:pStyle w:val="TextBody"/>
        <w:bidi w:val="0"/>
        <w:spacing w:lineRule="auto" w:line="285" w:before="0" w:after="240"/>
        <w:ind w:left="720" w:right="0" w:hanging="0"/>
        <w:jc w:val="both"/>
        <w:rPr>
          <w:rFonts w:ascii="Times New Roman;Times;serif" w:hAnsi="Times New Roman;Times;serif"/>
          <w:sz w:val="22"/>
        </w:rPr>
      </w:pPr>
      <w:r>
        <w:rPr>
          <w:rFonts w:ascii="Times New Roman;Times;serif" w:hAnsi="Times New Roman;Times;serif"/>
          <w:sz w:val="22"/>
        </w:rPr>
        <w:t xml:space="preserve">(ii)such Lender shall have received payment of an amount equal to the outstanding principal of its Loans and, if applicable, participations in Letters of Credit, accrued interest thereon, accrued fees and all other amounts payable to it hereunder and under the other Loan Documents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71</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720" w:right="0" w:hanging="0"/>
        <w:jc w:val="both"/>
        <w:rPr>
          <w:rFonts w:ascii="Aptos" w:hAnsi="Aptos"/>
          <w:sz w:val="24"/>
        </w:rPr>
      </w:pPr>
      <w:r>
        <w:rPr>
          <w:rFonts w:ascii="Times New Roman;Times;serif" w:hAnsi="Times New Roman;Times;serif"/>
          <w:sz w:val="22"/>
        </w:rPr>
        <w:t xml:space="preserve">(including any amounts under </w:t>
      </w:r>
      <w:r>
        <w:rPr>
          <w:rFonts w:ascii="Times New Roman;Times;serif" w:hAnsi="Times New Roman;Times;serif"/>
          <w:sz w:val="22"/>
          <w:u w:val="single"/>
        </w:rPr>
        <w:t>Section 3.3</w:t>
      </w:r>
      <w:r>
        <w:rPr>
          <w:rFonts w:ascii="Aptos" w:hAnsi="Aptos"/>
          <w:sz w:val="24"/>
        </w:rPr>
        <w:t xml:space="preserve"> </w:t>
      </w:r>
      <w:r>
        <w:rPr>
          <w:rFonts w:ascii="Times New Roman;Times;serif" w:hAnsi="Times New Roman;Times;serif"/>
          <w:sz w:val="22"/>
        </w:rPr>
        <w:t>hereof) from the assignee (to the extent of such outstanding principal and accrued interest and fees) or the Borrowers (in the case of all other amounts);</w:t>
      </w:r>
    </w:p>
    <w:p>
      <w:pPr>
        <w:pStyle w:val="TextBody"/>
        <w:bidi w:val="0"/>
        <w:spacing w:lineRule="auto" w:line="285" w:before="0" w:after="240"/>
        <w:ind w:left="720" w:right="0" w:hanging="0"/>
        <w:jc w:val="both"/>
        <w:rPr>
          <w:rFonts w:ascii="Aptos" w:hAnsi="Aptos"/>
          <w:sz w:val="24"/>
        </w:rPr>
      </w:pPr>
      <w:r>
        <w:rPr>
          <w:rFonts w:ascii="Times New Roman;Times;serif" w:hAnsi="Times New Roman;Times;serif"/>
          <w:sz w:val="22"/>
        </w:rPr>
        <w:t xml:space="preserve">(iii)in the case of any such assignment resulting from a claim for compensation under </w:t>
      </w:r>
      <w:r>
        <w:rPr>
          <w:rFonts w:ascii="Times New Roman;Times;serif" w:hAnsi="Times New Roman;Times;serif"/>
          <w:sz w:val="22"/>
          <w:u w:val="single"/>
        </w:rPr>
        <w:t>Section 3.1</w:t>
      </w:r>
      <w:r>
        <w:rPr>
          <w:rFonts w:ascii="Aptos" w:hAnsi="Aptos"/>
          <w:sz w:val="24"/>
        </w:rPr>
        <w:t xml:space="preserve"> </w:t>
      </w:r>
      <w:r>
        <w:rPr>
          <w:rFonts w:ascii="Times New Roman;Times;serif" w:hAnsi="Times New Roman;Times;serif"/>
          <w:sz w:val="22"/>
        </w:rPr>
        <w:t xml:space="preserve">hereof, or payments required to be made pursuant to </w:t>
      </w:r>
      <w:r>
        <w:rPr>
          <w:rFonts w:ascii="Times New Roman;Times;serif" w:hAnsi="Times New Roman;Times;serif"/>
          <w:sz w:val="22"/>
          <w:u w:val="single"/>
        </w:rPr>
        <w:t>Section 3.2</w:t>
      </w:r>
      <w:r>
        <w:rPr>
          <w:rFonts w:ascii="Aptos" w:hAnsi="Aptos"/>
          <w:sz w:val="24"/>
        </w:rPr>
        <w:t xml:space="preserve"> </w:t>
      </w:r>
      <w:r>
        <w:rPr>
          <w:rFonts w:ascii="Times New Roman;Times;serif" w:hAnsi="Times New Roman;Times;serif"/>
          <w:sz w:val="22"/>
        </w:rPr>
        <w:t>hereof, such assignment will result in a reduction in such compensation or payments thereafter;</w:t>
      </w:r>
    </w:p>
    <w:p>
      <w:pPr>
        <w:pStyle w:val="TextBody"/>
        <w:bidi w:val="0"/>
        <w:spacing w:lineRule="auto" w:line="285" w:before="0" w:after="240"/>
        <w:ind w:left="720" w:right="0" w:hanging="0"/>
        <w:jc w:val="both"/>
        <w:rPr>
          <w:rFonts w:ascii="Times New Roman;Times;serif" w:hAnsi="Times New Roman;Times;serif"/>
          <w:sz w:val="22"/>
        </w:rPr>
      </w:pPr>
      <w:r>
        <w:rPr>
          <w:rFonts w:ascii="Times New Roman;Times;serif" w:hAnsi="Times New Roman;Times;serif"/>
          <w:sz w:val="22"/>
        </w:rPr>
        <w:t>(iv)such assignment does not conflict with applicable law; and</w:t>
      </w:r>
    </w:p>
    <w:p>
      <w:pPr>
        <w:pStyle w:val="TextBody"/>
        <w:bidi w:val="0"/>
        <w:spacing w:lineRule="auto" w:line="285"/>
        <w:ind w:left="720" w:right="0" w:hanging="0"/>
        <w:jc w:val="both"/>
        <w:rPr>
          <w:rFonts w:ascii="Times New Roman;Times;serif" w:hAnsi="Times New Roman;Times;serif"/>
          <w:sz w:val="22"/>
        </w:rPr>
      </w:pPr>
      <w:r>
        <w:rPr>
          <w:rFonts w:ascii="Times New Roman;Times;serif" w:hAnsi="Times New Roman;Times;serif"/>
          <w:sz w:val="22"/>
        </w:rPr>
        <w:t>(v)in the case of any assignment resulting from a Lender becoming a Non-Consenting Lender, the applicable assignee shall have consented to the applicable amendment, waiver or consent.</w:t>
      </w:r>
    </w:p>
    <w:p>
      <w:pPr>
        <w:pStyle w:val="TextBody"/>
        <w:bidi w:val="0"/>
        <w:spacing w:lineRule="auto" w:line="285" w:before="0" w:after="240"/>
        <w:ind w:left="0" w:right="0" w:firstLine="720"/>
        <w:jc w:val="both"/>
        <w:rPr>
          <w:rFonts w:ascii="Aptos" w:hAnsi="Aptos"/>
          <w:sz w:val="22"/>
        </w:rPr>
      </w:pPr>
      <w:r>
        <w:rPr>
          <w:rFonts w:ascii="Times New Roman;Times;serif" w:hAnsi="Times New Roman;Times;serif"/>
          <w:sz w:val="22"/>
        </w:rPr>
        <w:t xml:space="preserve">A Lender shall not be required to make any such assignment or delegation if, prior thereto, as a result of a waiver by such Lender or otherwise, the circumstances entitling the Administrative Borrower to require such assignment and delegation cease to apply.  Each Lender agrees that if it is replaced pursuant to this </w:t>
      </w:r>
      <w:r>
        <w:rPr>
          <w:rFonts w:ascii="Times New Roman;Times;serif" w:hAnsi="Times New Roman;Times;serif"/>
          <w:sz w:val="22"/>
          <w:u w:val="single"/>
        </w:rPr>
        <w:t>Section 3.4</w:t>
      </w:r>
      <w:r>
        <w:rPr>
          <w:rFonts w:ascii="Times New Roman;Times;serif" w:hAnsi="Times New Roman;Times;serif"/>
          <w:sz w:val="22"/>
        </w:rPr>
        <w:t xml:space="preserve">, it shall execute and deliver to Agent an Assignment Agreement to evidence such sale and purchase and shall deliver to Agent any promissory note (if the assigning Lender’s Loans are evidenced by one or more promissory notes) subject to such Assignment Agreement; provided that the failure of any Lender replaced pursuant to this </w:t>
      </w:r>
      <w:r>
        <w:rPr>
          <w:rFonts w:ascii="Times New Roman;Times;serif" w:hAnsi="Times New Roman;Times;serif"/>
          <w:sz w:val="22"/>
          <w:u w:val="single"/>
        </w:rPr>
        <w:t>Section 3.4</w:t>
      </w:r>
      <w:r>
        <w:rPr>
          <w:rFonts w:ascii="Aptos" w:hAnsi="Aptos"/>
          <w:sz w:val="22"/>
        </w:rPr>
        <w:t xml:space="preserve"> </w:t>
      </w:r>
      <w:r>
        <w:rPr>
          <w:rFonts w:ascii="Times New Roman;Times;serif" w:hAnsi="Times New Roman;Times;serif"/>
          <w:sz w:val="22"/>
        </w:rPr>
        <w:t xml:space="preserve">to execute an Assignment Agreement or deliver such promissory notes shall not render such sale and purchase (and the corresponding assignment) invalid and such assignment shall be recorded in the Register and the promissory notes shall be deemed cancelled upon such failure.  Each Lender hereby irrevocably appoints Agent (such appointment being coupled with an interest) as such Lender’s attorney-in-fact, with full authority in the place and stead of such Lender and in the name of such Lender, from time to time in Agent’s discretion, with prior written notice to such Lender, to take any action and to execute any such Assignment Agreement or other instrument that Agent may deem reasonably necessary to carry out the provisions of this </w:t>
      </w:r>
      <w:r>
        <w:rPr>
          <w:rFonts w:ascii="Times New Roman;Times;serif" w:hAnsi="Times New Roman;Times;serif"/>
          <w:sz w:val="22"/>
          <w:u w:val="single"/>
        </w:rPr>
        <w:t>Section 3.4(b)</w:t>
      </w:r>
      <w:r>
        <w:rPr>
          <w:rFonts w:ascii="Times New Roman;Times;serif" w:hAnsi="Times New Roman;Times;serif"/>
          <w:sz w:val="22"/>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3.5</w:t>
      </w:r>
      <w:bookmarkStart w:id="1847" w:name="_Toc236844316"/>
      <w:bookmarkStart w:id="1848" w:name="_Toc172896662"/>
      <w:bookmarkEnd w:id="1847"/>
      <w:bookmarkEnd w:id="1848"/>
      <w:r>
        <w:rPr>
          <w:rFonts w:ascii="Times New Roman;Times;serif" w:hAnsi="Times New Roman;Times;serif"/>
          <w:sz w:val="22"/>
          <w:u w:val="single"/>
        </w:rPr>
        <w:t>Changed Circumstances</w:t>
      </w:r>
      <w:r>
        <w:rPr>
          <w:rFonts w:ascii="Times New Roman;Times;serif" w:hAnsi="Times New Roman;Times;serif"/>
          <w:sz w:val="22"/>
        </w:rPr>
        <w:t>.</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(a)Circumstances Affecting Eurodollar Rate, Daily Simple RFR and Term RFR Availability.</w:t>
      </w:r>
    </w:p>
    <w:p>
      <w:pPr>
        <w:pStyle w:val="TextBody"/>
        <w:bidi w:val="0"/>
        <w:spacing w:lineRule="auto" w:line="285" w:before="0" w:after="240"/>
        <w:ind w:left="720" w:right="0" w:hanging="0"/>
        <w:jc w:val="both"/>
        <w:rPr>
          <w:rFonts w:ascii="Times New Roman;Times;serif" w:hAnsi="Times New Roman;Times;serif"/>
          <w:sz w:val="22"/>
        </w:rPr>
      </w:pPr>
      <w:r>
        <w:rPr>
          <w:rFonts w:ascii="Times New Roman;Times;serif" w:hAnsi="Times New Roman;Times;serif"/>
          <w:sz w:val="22"/>
        </w:rPr>
        <w:t>(i)Subject to clause (c) below, in connection with any RFR Loan or, on and after the USD LIBOR Transition Date, any Base Rate Loan, a request therefor, a conversion to or a continuation thereof or otherwise, if for any reason (A) the Agent shall determine (which determination shall be conclusive and binding absent manifest error) that (x) if Daily Simple RFR is utilized in any calculations hereunder or under any other Loan Document with respect to any Obligations, interest, fees, commissions or other amounts, “Daily Simple RFR” cannot be determined pursuant to the definition thereof or (y) if Term RFR is utilized in any calculations hereunder or under any other Loan Document with respect to any Obligations, interest, fees, commissions or other amounts, “Term RFR” cannot be determined pursuant to the definition thereof on or prior to the first day of any Interest Period or (B) a Disqualifying Event occurs, then the Agent shall promptly give notice thereof to the Administrative Borrower.  Upon notice thereof by the Agent to the Administrative Borrower, (A)  any obligation of the Lenders to make RFR Loans in each such Currency, and any right of the Borrowers to convert any Loan in each such Currency (if applicable) or continue any Loan as an RFR Loan in each such Currency, shall be suspended (to the extent of the affected RFR Loans or, in the case of Term RFR Loans, the affected Interest Periods) until the Agent revokes such notice and (B) if such determination affects the calculation of Base Rate, the Agent shall during the period of such suspension compute Base Rate without reference to clause (c) of the definition of “Base Rate” until the Agent revokes such notice.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72</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720" w:right="0" w:hanging="0"/>
        <w:jc w:val="both"/>
        <w:rPr>
          <w:rFonts w:ascii="Aptos" w:hAnsi="Aptos"/>
          <w:sz w:val="24"/>
        </w:rPr>
      </w:pPr>
      <w:r>
        <w:rPr>
          <w:rFonts w:ascii="Times New Roman;Times;serif" w:hAnsi="Times New Roman;Times;serif"/>
          <w:sz w:val="22"/>
        </w:rPr>
        <w:t>Upon receipt of such notice, (A) the Administrative Borrower may revoke any pending request for a borrowing of, conversion to or continuation of RFR Loans in each such affected Currency (to the extent of the affected RFR Loans or, in the case of a Term RFR Loans, the affected Interest Periods) or, failing that, (I) in the case of any request for a borrowing of an affected RFR Loan</w:t>
      </w:r>
      <w:r>
        <w:rPr>
          <w:rFonts w:ascii="Aptos" w:hAnsi="Aptos"/>
          <w:sz w:val="24"/>
        </w:rPr>
        <w:t xml:space="preserve"> </w:t>
      </w:r>
      <w:r>
        <w:rPr>
          <w:rFonts w:ascii="Times New Roman;Times;serif" w:hAnsi="Times New Roman;Times;serif"/>
          <w:sz w:val="22"/>
        </w:rPr>
        <w:t>in Dollars, the Borrowers will be deemed to have converted any such request into a request for a borrowing of or conversion to Base Rate Loans in the amount specified therein and (II) in the case of any request for a borrowing of an affected RFR Loan in an Alternate Currency, then such request shall be ineffective</w:t>
      </w:r>
      <w:r>
        <w:rPr>
          <w:rFonts w:ascii="Aptos" w:hAnsi="Aptos"/>
          <w:sz w:val="24"/>
        </w:rPr>
        <w:t xml:space="preserve"> </w:t>
      </w:r>
      <w:r>
        <w:rPr>
          <w:rFonts w:ascii="Times New Roman;Times;serif" w:hAnsi="Times New Roman;Times;serif"/>
          <w:sz w:val="22"/>
        </w:rPr>
        <w:t>and (B)(I)</w:t>
      </w:r>
      <w:r>
        <w:rPr>
          <w:rFonts w:ascii="Aptos" w:hAnsi="Aptos"/>
          <w:sz w:val="24"/>
        </w:rPr>
        <w:t> </w:t>
      </w:r>
      <w:r>
        <w:rPr>
          <w:rFonts w:ascii="Times New Roman;Times;serif" w:hAnsi="Times New Roman;Times;serif"/>
          <w:sz w:val="22"/>
        </w:rPr>
        <w:t>any outstanding affected RFR Loans denominated in Dollars will be deemed to have been converted into Base Rate Loans immediately or, in the case of Term RFR Loans, at the end of the applicable Interest Period and (II)</w:t>
      </w:r>
      <w:r>
        <w:rPr>
          <w:rFonts w:ascii="Aptos" w:hAnsi="Aptos"/>
          <w:sz w:val="24"/>
        </w:rPr>
        <w:t> </w:t>
      </w:r>
      <w:r>
        <w:rPr>
          <w:rFonts w:ascii="Times New Roman;Times;serif" w:hAnsi="Times New Roman;Times;serif"/>
          <w:sz w:val="22"/>
        </w:rPr>
        <w:t xml:space="preserve">any outstanding affected RFR Loans denominated in an Alternate Currency, at the Borrowers’ election, shall either (1) be converted into Base Rate Loans denominated in Dollars (in an amount equal to the Dollar Equivalent of such Alternate Currency) immediately or, in the case of Term RFR Loans, at the end of the applicable Interest Period or (2) be prepaid in full, together with accrued interest thereon (subject to </w:t>
      </w:r>
      <w:r>
        <w:rPr>
          <w:rFonts w:ascii="Times New Roman;Times;serif" w:hAnsi="Times New Roman;Times;serif"/>
          <w:sz w:val="22"/>
          <w:u w:val="single"/>
        </w:rPr>
        <w:t>Section 2.3(d)</w:t>
      </w:r>
      <w:r>
        <w:rPr>
          <w:rFonts w:ascii="Times New Roman;Times;serif" w:hAnsi="Times New Roman;Times;serif"/>
          <w:sz w:val="22"/>
        </w:rPr>
        <w:t xml:space="preserve">), immediately or, in the case of Term RFR Loans, at the end of the applicable Interest Period;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that if no election is made by the Borrowers by the date that is three (3) Business Days after receipt by the Administrative Borrower of such notice or, in the case of Term RFR Loans, the last day of the current Interest Period for the applicable RFR Loan, if earlier,</w:t>
      </w:r>
      <w:r>
        <w:rPr>
          <w:rFonts w:ascii="Aptos" w:hAnsi="Aptos"/>
          <w:sz w:val="24"/>
        </w:rPr>
        <w:t xml:space="preserve"> </w:t>
      </w:r>
      <w:r>
        <w:rPr>
          <w:rFonts w:ascii="Times New Roman;Times;serif" w:hAnsi="Times New Roman;Times;serif"/>
          <w:sz w:val="22"/>
        </w:rPr>
        <w:t xml:space="preserve">the Borrowers shall be deemed to have elected clause (1) above.  Upon any such prepayment or conversion, the Borrowers shall also pay any additional amounts required pursuant to </w:t>
      </w:r>
      <w:r>
        <w:rPr>
          <w:rFonts w:ascii="Times New Roman;Times;serif" w:hAnsi="Times New Roman;Times;serif"/>
          <w:sz w:val="22"/>
          <w:u w:val="single"/>
        </w:rPr>
        <w:t>Section 11.6</w:t>
      </w:r>
      <w:r>
        <w:rPr>
          <w:rFonts w:ascii="Times New Roman;Times;serif" w:hAnsi="Times New Roman;Times;serif"/>
          <w:sz w:val="22"/>
        </w:rPr>
        <w:t>.</w:t>
      </w:r>
    </w:p>
    <w:p>
      <w:pPr>
        <w:pStyle w:val="TextBody"/>
        <w:bidi w:val="0"/>
        <w:spacing w:lineRule="auto" w:line="285"/>
        <w:ind w:left="720" w:right="0" w:hanging="0"/>
        <w:jc w:val="both"/>
        <w:rPr>
          <w:rFonts w:ascii="Aptos" w:hAnsi="Aptos"/>
          <w:sz w:val="24"/>
        </w:rPr>
      </w:pPr>
      <w:r>
        <w:rPr>
          <w:rFonts w:ascii="Times New Roman;Times;serif" w:hAnsi="Times New Roman;Times;serif"/>
          <w:sz w:val="22"/>
        </w:rPr>
        <w:t>(ii)Subject to clause (c) below, if, for any reason (x) on or prior to the first day of any Interest Period with respect to a Eurodollar Fixed Rate Loan or (y) prior to the USD LIBOR Transition Date, on any day with respect to a Base Rate Loan, in connection with a request therefor, a conversion to or a continuation thereof or otherwise, (A) the Agent shall determine (which determination shall be conclusive and binding absent manifest error) that deposits are not being offered to banks in the London or other applicable offshore interbank market for the applicable Currency, amount and Interest Period of such Loan (or, with respect to any Base Rate Loan, for a one month term), (B) the Agent shall determine (which determination shall be conclusive and binding absent manifest error) that a fundamental change has occurred in the foreign exchange or interbank markets with respect to the applicable Alternate Currency (including changes in national or international financial, political or economic conditions or currency exchange rates or exchange controls), (C) the Agent shall determine (which determination shall be conclusive and binding absent manifest error) that reasonable and adequate means do not exist for the ascertaining the Adjusted Eurodollar Rate for such Currency and Interest Period, including because the Screen Rate for the applicable Currency is not available or published on a current basis, or (D) the Required Lenders shall determine (which determination shall be conclusive and binding absent manifest error) that the Adjusted Eurodollar Rate does not adequately and fairly reflect the cost to such Lenders of making or maintaining such Loans during such Interest Period and shall have provided notice of such determination to the Agent, then the Agent shall promptly give notice thereof to the Administrative Borrower.  Thereafter, until the Agent notifies the Administrative Borrower that such circumstances no longer exist, (x)</w:t>
      </w:r>
      <w:r>
        <w:rPr>
          <w:rFonts w:ascii="Aptos" w:hAnsi="Aptos"/>
          <w:sz w:val="24"/>
        </w:rPr>
        <w:t xml:space="preserve"> </w:t>
      </w:r>
      <w:r>
        <w:rPr>
          <w:rFonts w:ascii="Times New Roman;Times;serif" w:hAnsi="Times New Roman;Times;serif"/>
          <w:sz w:val="22"/>
        </w:rPr>
        <w:t>any obligation of the Lenders to make Eurodollar Fixed Rate Loans in each such Currency, and any right of the Borrowers to convert any Loan in each such Currency (if applicable) or continue any Loan as a Eurodollar Fixed Rate Loan is each such Currency (in each case, to the extent of the affected Eurodollar Fixed Rate Loans or Interest Periods), shall be suspended and (I)</w:t>
      </w:r>
      <w:r>
        <w:rPr>
          <w:rFonts w:ascii="Aptos" w:hAnsi="Aptos"/>
          <w:sz w:val="24"/>
        </w:rPr>
        <w:t> </w:t>
      </w:r>
      <w:r>
        <w:rPr>
          <w:rFonts w:ascii="Times New Roman;Times;serif" w:hAnsi="Times New Roman;Times;serif"/>
          <w:sz w:val="22"/>
        </w:rPr>
        <w:t>any outstanding affected Eurodollar Fixed Rate Loans denominated in Dollars will be deemed to have been converted into Base Rate Loans at the end of the applicable Interest Period and (II)</w:t>
      </w:r>
      <w:r>
        <w:rPr>
          <w:rFonts w:ascii="Aptos" w:hAnsi="Aptos"/>
          <w:sz w:val="24"/>
        </w:rPr>
        <w:t> </w:t>
      </w:r>
      <w:r>
        <w:rPr>
          <w:rFonts w:ascii="Times New Roman;Times;serif" w:hAnsi="Times New Roman;Times;serif"/>
          <w:sz w:val="22"/>
        </w:rPr>
        <w:t xml:space="preserve">any outstanding affected Eurodollar Fixed Rate Loans denominated in an Alternate Currency, at the Borrowers’ election, shall either (1) be converted into Base Rate Loans denominated in Dollars (in an amount equal to the Dollar Equivalent of such Alternate Currency) at the end of the applicable Interest Period or (2) be prepaid in full, together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73</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0"/>
        <w:ind w:left="720" w:right="0" w:hanging="0"/>
        <w:jc w:val="both"/>
        <w:rPr>
          <w:rFonts w:ascii="Aptos" w:hAnsi="Aptos"/>
          <w:sz w:val="24"/>
        </w:rPr>
      </w:pPr>
      <w:r>
        <w:rPr>
          <w:rFonts w:ascii="Times New Roman;Times;serif" w:hAnsi="Times New Roman;Times;serif"/>
          <w:sz w:val="22"/>
        </w:rPr>
        <w:t xml:space="preserve">with accrued interest thereon (subject to </w:t>
      </w:r>
      <w:r>
        <w:rPr>
          <w:rFonts w:ascii="Times New Roman;Times;serif" w:hAnsi="Times New Roman;Times;serif"/>
          <w:sz w:val="22"/>
          <w:u w:val="single"/>
        </w:rPr>
        <w:t>Section 2.3(d)</w:t>
      </w:r>
      <w:r>
        <w:rPr>
          <w:rFonts w:ascii="Times New Roman;Times;serif" w:hAnsi="Times New Roman;Times;serif"/>
          <w:sz w:val="22"/>
        </w:rPr>
        <w:t xml:space="preserve">), at the end of the applicable Interest Period;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that if no election is made by the Administrative Borrower by the date that is three (3) Business Days after receipt by the Administrative Borrower of such notice or, in the case of Eurodollar Fixed Rate Loans, the last day of the current Interest Period for the applicable Eurodollar Fixed Rate Loan, if earlier,</w:t>
      </w:r>
      <w:r>
        <w:rPr>
          <w:rFonts w:ascii="Aptos" w:hAnsi="Aptos"/>
          <w:sz w:val="24"/>
        </w:rPr>
        <w:t xml:space="preserve"> </w:t>
      </w:r>
      <w:r>
        <w:rPr>
          <w:rFonts w:ascii="Times New Roman;Times;serif" w:hAnsi="Times New Roman;Times;serif"/>
          <w:sz w:val="22"/>
        </w:rPr>
        <w:t xml:space="preserve">the Borrowers shall be deemed to have elected clause (1) above, and (y) if such determination pursuant to </w:t>
      </w:r>
      <w:r>
        <w:rPr>
          <w:rFonts w:ascii="Times New Roman;Times;serif" w:hAnsi="Times New Roman;Times;serif"/>
          <w:sz w:val="22"/>
          <w:u w:val="single"/>
        </w:rPr>
        <w:t>Section 3.5(a)(ii)</w:t>
      </w:r>
      <w:r>
        <w:rPr>
          <w:rFonts w:ascii="Aptos" w:hAnsi="Aptos"/>
          <w:sz w:val="24"/>
        </w:rPr>
        <w:t xml:space="preserve"> </w:t>
      </w:r>
      <w:r>
        <w:rPr>
          <w:rFonts w:ascii="Times New Roman;Times;serif" w:hAnsi="Times New Roman;Times;serif"/>
          <w:sz w:val="22"/>
        </w:rPr>
        <w:t xml:space="preserve">affects the calculation of Base Rate, the Agent shall during the period of such suspension compute Base Rate without reference to clause (c) of the definition of “Base Rate”.  Upon any such prepayment or conversion, the Borrowers shall also pay any additional amounts required pursuant to </w:t>
      </w:r>
      <w:r>
        <w:rPr>
          <w:rFonts w:ascii="Times New Roman;Times;serif" w:hAnsi="Times New Roman;Times;serif"/>
          <w:sz w:val="22"/>
          <w:u w:val="single"/>
        </w:rPr>
        <w:t>Section 11.6</w:t>
      </w:r>
      <w:r>
        <w:rPr>
          <w:rFonts w:ascii="Times New Roman;Times;serif" w:hAnsi="Times New Roman;Times;serif"/>
          <w:sz w:val="22"/>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(b)</w:t>
      </w:r>
      <w:r>
        <w:rPr>
          <w:rFonts w:ascii="Times New Roman;Times;serif" w:hAnsi="Times New Roman;Times;serif"/>
          <w:sz w:val="22"/>
          <w:u w:val="single"/>
        </w:rPr>
        <w:t>Laws Affecting Adjusted Eurodollar Rate, Daily Simple RFR and Term RFR Availability</w:t>
      </w:r>
      <w:r>
        <w:rPr>
          <w:rFonts w:ascii="Times New Roman;Times;serif" w:hAnsi="Times New Roman;Times;serif"/>
          <w:sz w:val="22"/>
        </w:rPr>
        <w:t>.  If, after the date hereof, the introduction of, or any change in, any applicable law or any change in the interpretation or administration thereof by any Governmental Authority, central bank or comparable agency charged with the interpretation or administration thereof, or compliance by any of the Lenders (or any of their respective Lending Offices) with any request or directive (whether or not having the force of law) of any such Governmental Authority, central bank or comparable agency, shall make it unlawful or impossible for any of the Lenders (or any of their respective Lending Offices) to honor its obligations hereunder to make or maintain any applicable RFR Loan, any Daily Simple RFR Loan, Term RFR Loan or Eurodollar Fixed Rate Loan, or to determine or charge interest based upon any applicable RFR, Daily Simple RFR, Term RFR, Eurodollar Rate or Adjusted Eurodollar Rate, such Lender (the “</w:t>
      </w:r>
      <w:r>
        <w:rPr>
          <w:rFonts w:ascii="Times New Roman;Times;serif" w:hAnsi="Times New Roman;Times;serif"/>
          <w:sz w:val="22"/>
          <w:u w:val="single"/>
        </w:rPr>
        <w:t>Affected Lender</w:t>
      </w:r>
      <w:r>
        <w:rPr>
          <w:rFonts w:ascii="Aptos" w:hAnsi="Aptos"/>
          <w:sz w:val="24"/>
        </w:rPr>
        <w:t>”</w:t>
      </w:r>
      <w:r>
        <w:rPr>
          <w:rFonts w:ascii="Times New Roman;Times;serif" w:hAnsi="Times New Roman;Times;serif"/>
          <w:sz w:val="22"/>
        </w:rPr>
        <w:t xml:space="preserve">) shall promptly give notice thereof to the Agent and the Agent shall promptly give notice to the Administrative Borrower and the other Lenders.  Thereafter, until the Agent notifies the Administrative Borrower that such circumstances no longer exist, (i) any obligation of the Affected Lender to make RFR Loans or Eurodollar Fixed Rate Loans, as applicable, in the affected Currency or Currencies, and any right of the Borrowers to convert any Loan of such Affected Lender denominated in Dollars to an RFR Loan or a Eurodollar Fixed Rate Loan or continue any Loan as an RFR Loan or a Eurodollar Fixed Rate Loan, as applicable, in the affected Currency or Currencies shall be suspended and (ii) if necessary to avoid such illegality, the Agent shall compute the Base Rate without reference to clause (c) of the definition of “Base Rate”, in each case until each such Affected Lender notifies the Agent and the Administrative Borrower that the circumstances giving rise to such determination no longer exist.  Upon receipt of such notice, (A) the Borrowers shall, if necessary to avoid such illegality, upon demand from any Affected Lender (with a copy to the Agent), prepay or, if applicable, (I) convert all RFR Loans or Eurodollar Fixed Rate Loans of such Affected Lender denominated in Dollars to Base Rate Loans or (II) convert all RFR Loans or Eurodollar Fixed Rate Loans of such Affected Lender denominated in an affected Alternate Currency to Base Rate Loans denominated in Dollars (in an amount equal to the Dollar Equivalent of such Alternate Currency) (in each case, if necessary to avoid such illegality, the Agent shall compute the Base Rate without reference to clause (c) of the definition of “Base Rate”), (1) with respect to Daily Simple RFR Loans, on the Interest Payment Date therefor, if all Affected Lenders may lawfully continue to maintain such Daily Simple RFR Loans to such day, or immediately, if any Affected Lender may not lawfully continue to maintain such Daily Simple RFR Loans to such day or (2) with respect to Eurodollar Fixed Rate Loans or Term RFR Loans, on the last day of the Interest Period therefor, if all Affected Lenders may lawfully continue to maintain such Eurodollar Fixed Rate Loans or Term RFR Loans, as applicable, to such day, or immediately, if any Affected Lender may not lawfully continue to maintain such Eurodollar Fixed Rate Loans or Term RFR Loans, as applicable, to such day and (B) if necessary to avoid such illegality, the Agent shall during the period of such suspension compute the Base Rate without reference to clause (c) of the definition of “Base Rate”, in each case until the Agent is advised in writing by each affected Lender that it is no longer illegal for such Lender to determine or charge interest rates based upon Daily Simple RFR, Term RFR, the Eurodollar Rate or Adjusted Eurodollar Rate, as applicable.  Upon any such prepayment or conversion, the Borrowers shall also pay any additional amounts required pursuant to </w:t>
      </w:r>
      <w:r>
        <w:rPr>
          <w:rFonts w:ascii="Times New Roman;Times;serif" w:hAnsi="Times New Roman;Times;serif"/>
          <w:sz w:val="22"/>
          <w:u w:val="single"/>
        </w:rPr>
        <w:t>Section 11.6</w:t>
      </w:r>
      <w:r>
        <w:rPr>
          <w:rFonts w:ascii="Times New Roman;Times;serif" w:hAnsi="Times New Roman;Times;serif"/>
          <w:sz w:val="22"/>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74</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(c)</w:t>
      </w:r>
      <w:r>
        <w:rPr>
          <w:rFonts w:ascii="Times New Roman;Times;serif" w:hAnsi="Times New Roman;Times;serif"/>
          <w:sz w:val="22"/>
          <w:u w:val="single"/>
        </w:rPr>
        <w:t>Benchmark Replacement Setting</w:t>
      </w:r>
      <w:r>
        <w:rPr>
          <w:rFonts w:ascii="Times New Roman;Times;serif" w:hAnsi="Times New Roman;Times;serif"/>
          <w:sz w:val="22"/>
        </w:rPr>
        <w:t>.</w:t>
      </w:r>
    </w:p>
    <w:p>
      <w:pPr>
        <w:pStyle w:val="TextBody"/>
        <w:bidi w:val="0"/>
        <w:spacing w:lineRule="auto" w:line="285" w:before="0" w:after="240"/>
        <w:ind w:left="720" w:right="0" w:hanging="0"/>
        <w:jc w:val="both"/>
        <w:rPr>
          <w:rFonts w:ascii="Times New Roman;Times;serif" w:hAnsi="Times New Roman;Times;serif"/>
          <w:sz w:val="22"/>
        </w:rPr>
      </w:pPr>
      <w:r>
        <w:rPr>
          <w:rFonts w:ascii="Times New Roman;Times;serif" w:hAnsi="Times New Roman;Times;serif"/>
          <w:sz w:val="22"/>
        </w:rPr>
        <w:t>(i)Benchmark Replacement.</w:t>
      </w:r>
    </w:p>
    <w:p>
      <w:pPr>
        <w:pStyle w:val="TextBody"/>
        <w:bidi w:val="0"/>
        <w:spacing w:lineRule="auto" w:line="285" w:before="0" w:after="240"/>
        <w:ind w:left="1440" w:right="0" w:hanging="0"/>
        <w:jc w:val="both"/>
        <w:rPr>
          <w:rFonts w:ascii="Aptos" w:hAnsi="Aptos"/>
          <w:sz w:val="24"/>
        </w:rPr>
      </w:pPr>
      <w:r>
        <w:rPr>
          <w:rFonts w:ascii="Times New Roman;Times;serif" w:hAnsi="Times New Roman;Times;serif"/>
          <w:sz w:val="24"/>
        </w:rPr>
        <w:t>(A)</w:t>
      </w:r>
      <w:r>
        <w:rPr>
          <w:rFonts w:ascii="Times New Roman;Times;serif" w:hAnsi="Times New Roman;Times;serif"/>
          <w:sz w:val="22"/>
        </w:rPr>
        <w:t>Notwithstanding anything to the contrary herein or in any other Loan Document, if the USD LIBOR Transition Date has occurred prior to the Reference Time in respect of any setting of the Adjusted Eurodollar Rate for Dollars, then (x) if a Benchmark Replacement is determined in accordance with clause (b)(1) or (b)(2) of the definition of “Benchmark Replacement” for the USD LIBOR Transition Date, such Benchmark Replacement will replace the then-current Benchmark with respect to Obligations, interest, fees, commissions or other amounts denominated in, or calculated with respect to, Dollars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(b)(3) of the definition of “Benchmark Replacement” for the USD LIBOR Transition Date, such Benchmark Replacement will replace such Benchmark for all purposes hereunder and under any Loan Document in respect of any Benchmark setting at or after 5:00 p.m. on the fifth (5</w:t>
      </w:r>
      <w:r>
        <w:rPr>
          <w:rFonts w:ascii="Times New Roman;Times;serif" w:hAnsi="Times New Roman;Times;serif"/>
          <w:sz w:val="17"/>
        </w:rPr>
        <w:t>th</w:t>
      </w:r>
      <w:r>
        <w:rPr>
          <w:rFonts w:ascii="Times New Roman;Times;serif" w:hAnsi="Times New Roman;Times;serif"/>
          <w:sz w:val="22"/>
        </w:rPr>
        <w:t>) Business Day after the date notice of such Benchmark Replacement is provided to the Lenders without any amendment to, or further action or consent of any other party to, this Agreement or any other Loan Document so long as the Agent has not received, by such time, written notice of objection to such Benchmark Replacement from Lenders comprising the Required Lenders.</w:t>
      </w:r>
    </w:p>
    <w:p>
      <w:pPr>
        <w:pStyle w:val="TextBody"/>
        <w:bidi w:val="0"/>
        <w:spacing w:lineRule="auto" w:line="285" w:before="0" w:after="240"/>
        <w:ind w:left="1440" w:right="0" w:hanging="0"/>
        <w:jc w:val="both"/>
        <w:rPr>
          <w:rFonts w:ascii="Aptos" w:hAnsi="Aptos"/>
          <w:sz w:val="24"/>
        </w:rPr>
      </w:pPr>
      <w:r>
        <w:rPr>
          <w:rFonts w:ascii="Times New Roman;Times;serif" w:hAnsi="Times New Roman;Times;serif"/>
          <w:sz w:val="24"/>
        </w:rPr>
        <w:t>(B)</w:t>
      </w:r>
      <w:r>
        <w:rPr>
          <w:rFonts w:ascii="Times New Roman;Times;serif" w:hAnsi="Times New Roman;Times;serif"/>
          <w:sz w:val="22"/>
        </w:rPr>
        <w:t>Notwithstanding anything to the contrary herein or in any other Loan Document, upon the occurrence of a Benchmark Transition Event with respect to any Benchmark, the Agent and the Administrative Borrower may amend this Agreement to replace such Benchmark with a Benchmark Replacement.  Any such amendment with respect to a Benchmark Transition Event will become effective</w:t>
      </w:r>
      <w:r>
        <w:rPr>
          <w:rFonts w:ascii="Aptos" w:hAnsi="Aptos"/>
          <w:sz w:val="24"/>
        </w:rPr>
        <w:t xml:space="preserve"> </w:t>
      </w:r>
      <w:r>
        <w:rPr>
          <w:rFonts w:ascii="Times New Roman;Times;serif" w:hAnsi="Times New Roman;Times;serif"/>
          <w:sz w:val="22"/>
        </w:rPr>
        <w:t>at 5:00 p.m. on the fifth (5</w:t>
      </w:r>
      <w:r>
        <w:rPr>
          <w:rFonts w:ascii="Times New Roman;Times;serif" w:hAnsi="Times New Roman;Times;serif"/>
          <w:sz w:val="17"/>
        </w:rPr>
        <w:t>th</w:t>
      </w:r>
      <w:r>
        <w:rPr>
          <w:rFonts w:ascii="Times New Roman;Times;serif" w:hAnsi="Times New Roman;Times;serif"/>
          <w:sz w:val="22"/>
        </w:rPr>
        <w:t xml:space="preserve">) Business Day after the Agent has posted such proposed amendment to all affected Lenders and the Administrative Borrower so long as the Agent has not received, by such time, written notice of objection to such amendment from Lenders comprising the Required Lenders.  No replacement of a Benchmark with a Benchmark Replacement pursuant to this </w:t>
      </w:r>
      <w:r>
        <w:rPr>
          <w:rFonts w:ascii="Times New Roman;Times;serif" w:hAnsi="Times New Roman;Times;serif"/>
          <w:sz w:val="22"/>
          <w:u w:val="single"/>
        </w:rPr>
        <w:t>Section 3.5(c)(i)(B)</w:t>
      </w:r>
      <w:r>
        <w:rPr>
          <w:rFonts w:ascii="Aptos" w:hAnsi="Aptos"/>
          <w:sz w:val="24"/>
        </w:rPr>
        <w:t xml:space="preserve"> </w:t>
      </w:r>
      <w:r>
        <w:rPr>
          <w:rFonts w:ascii="Times New Roman;Times;serif" w:hAnsi="Times New Roman;Times;serif"/>
          <w:sz w:val="22"/>
        </w:rPr>
        <w:t>will occur prior to the applicable Benchmark Transition Start Date.</w:t>
      </w:r>
    </w:p>
    <w:p>
      <w:pPr>
        <w:pStyle w:val="TextBody"/>
        <w:bidi w:val="0"/>
        <w:spacing w:lineRule="auto" w:line="285"/>
        <w:ind w:left="1440" w:right="0" w:hanging="0"/>
        <w:jc w:val="both"/>
        <w:rPr>
          <w:rFonts w:ascii="Aptos" w:hAnsi="Aptos"/>
          <w:sz w:val="24"/>
        </w:rPr>
      </w:pPr>
      <w:r>
        <w:rPr>
          <w:rFonts w:ascii="Times New Roman;Times;serif" w:hAnsi="Times New Roman;Times;serif"/>
          <w:sz w:val="24"/>
        </w:rPr>
        <w:t>(C)</w:t>
      </w:r>
      <w:r>
        <w:rPr>
          <w:rFonts w:ascii="Times New Roman;Times;serif" w:hAnsi="Times New Roman;Times;serif"/>
          <w:sz w:val="22"/>
        </w:rPr>
        <w:t xml:space="preserve">Notwithstanding anything to the contrary herein or in any other Loan Document and subject to the proviso below in this paragraph, if a Term RFR Transition Date has occurred prior to the Reference Time in respect of any setting of the then-current Benchmark consisting of a Daily Simple RFR (including a Daily Simple RFR implemented as a Benchmark Replacement pursuant to </w:t>
      </w:r>
      <w:r>
        <w:rPr>
          <w:rFonts w:ascii="Times New Roman;Times;serif" w:hAnsi="Times New Roman;Times;serif"/>
          <w:sz w:val="22"/>
          <w:u w:val="single"/>
        </w:rPr>
        <w:t>Section 3.5(c)(i)(A)</w:t>
      </w:r>
      <w:r>
        <w:rPr>
          <w:rFonts w:ascii="Aptos" w:hAnsi="Aptos"/>
          <w:sz w:val="24"/>
        </w:rPr>
        <w:t xml:space="preserve"> </w:t>
      </w:r>
      <w:r>
        <w:rPr>
          <w:rFonts w:ascii="Times New Roman;Times;serif" w:hAnsi="Times New Roman;Times;serif"/>
          <w:sz w:val="22"/>
        </w:rPr>
        <w:t xml:space="preserve">or </w:t>
      </w:r>
      <w:r>
        <w:rPr>
          <w:rFonts w:ascii="Times New Roman;Times;serif" w:hAnsi="Times New Roman;Times;serif"/>
          <w:sz w:val="22"/>
          <w:u w:val="single"/>
        </w:rPr>
        <w:t>Section 3.5(c)(i)(B)</w:t>
      </w:r>
      <w:r>
        <w:rPr>
          <w:rFonts w:ascii="Times New Roman;Times;serif" w:hAnsi="Times New Roman;Times;serif"/>
          <w:sz w:val="22"/>
        </w:rPr>
        <w:t xml:space="preserve">) for the applicable Currency, then the applicable Benchmark Replacement will replace such Benchmark for all purposes hereunder or under any Loan Document in respect of such Benchmark for the applicable Currency setting and subsequent Benchmark settings, without any amendment to, or further action or consent of any other party to, this Agreement or any other Loan Document;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that this clause (C) shall not be effective unless the Agent has delivered to the Lenders and the Administrative Borrower a Term RFR Notice with respect to the applicable Term RFR Transition Event.  For the avoidance of doubt, the Agent shall not be required to deliver a Term RFR Notice after a Term RFR Transition Event and may elect or not elect to do so in its sole discretion.</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75</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720" w:right="0" w:hanging="0"/>
        <w:jc w:val="both"/>
        <w:rPr>
          <w:rFonts w:ascii="Aptos" w:hAnsi="Aptos"/>
          <w:sz w:val="24"/>
        </w:rPr>
      </w:pPr>
      <w:r>
        <w:rPr>
          <w:rFonts w:ascii="Times New Roman;Times;serif" w:hAnsi="Times New Roman;Times;serif"/>
          <w:sz w:val="22"/>
        </w:rPr>
        <w:t>(ii)</w:t>
      </w:r>
      <w:r>
        <w:rPr>
          <w:rFonts w:ascii="Times New Roman;Times;serif" w:hAnsi="Times New Roman;Times;serif"/>
          <w:sz w:val="22"/>
          <w:u w:val="single"/>
        </w:rPr>
        <w:t>Benchmark Replacement Conforming Changes</w:t>
      </w:r>
      <w:r>
        <w:rPr>
          <w:rFonts w:ascii="Times New Roman;Times;serif" w:hAnsi="Times New Roman;Times;serif"/>
          <w:sz w:val="22"/>
        </w:rPr>
        <w:t>.  In connection with the implementation of a Benchmark Replacement, the Agent will have the right (in consultation with the Borrower)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pStyle w:val="TextBody"/>
        <w:bidi w:val="0"/>
        <w:spacing w:lineRule="auto" w:line="285" w:before="0" w:after="240"/>
        <w:ind w:left="720" w:right="0" w:hanging="0"/>
        <w:jc w:val="both"/>
        <w:rPr>
          <w:rFonts w:ascii="Aptos" w:hAnsi="Aptos"/>
          <w:sz w:val="24"/>
        </w:rPr>
      </w:pPr>
      <w:r>
        <w:rPr>
          <w:rFonts w:ascii="Times New Roman;Times;serif" w:hAnsi="Times New Roman;Times;serif"/>
          <w:sz w:val="22"/>
        </w:rPr>
        <w:t>(iii)</w:t>
      </w:r>
      <w:r>
        <w:rPr>
          <w:rFonts w:ascii="Times New Roman;Times;serif" w:hAnsi="Times New Roman;Times;serif"/>
          <w:sz w:val="22"/>
          <w:u w:val="single"/>
        </w:rPr>
        <w:t>Notices; Standards for Decisions and Determinations</w:t>
      </w:r>
      <w:r>
        <w:rPr>
          <w:rFonts w:ascii="Times New Roman;Times;serif" w:hAnsi="Times New Roman;Times;serif"/>
          <w:sz w:val="22"/>
        </w:rPr>
        <w:t>.  The Agent will promptly notify</w:t>
      </w:r>
      <w:r>
        <w:rPr>
          <w:rFonts w:ascii="Aptos" w:hAnsi="Aptos"/>
          <w:sz w:val="24"/>
        </w:rPr>
        <w:t xml:space="preserve"> </w:t>
      </w:r>
      <w:r>
        <w:rPr>
          <w:rFonts w:ascii="Times New Roman;Times;serif" w:hAnsi="Times New Roman;Times;serif"/>
          <w:sz w:val="22"/>
        </w:rPr>
        <w:t>the Administrative Borrower and the Lenders of (A) the implementation of any Benchmark Replacement and (B) the effectiveness of any Benchmark Replacement Conforming Changes.  The Agent will promptly notify</w:t>
      </w:r>
      <w:r>
        <w:rPr>
          <w:rFonts w:ascii="Aptos" w:hAnsi="Aptos"/>
          <w:sz w:val="24"/>
        </w:rPr>
        <w:t xml:space="preserve"> </w:t>
      </w:r>
      <w:r>
        <w:rPr>
          <w:rFonts w:ascii="Times New Roman;Times;serif" w:hAnsi="Times New Roman;Times;serif"/>
          <w:sz w:val="22"/>
        </w:rPr>
        <w:t xml:space="preserve">the Administrative Borrower of the removal or reinstatement of any tenor of a Benchmark pursuant to </w:t>
      </w:r>
      <w:r>
        <w:rPr>
          <w:rFonts w:ascii="Times New Roman;Times;serif" w:hAnsi="Times New Roman;Times;serif"/>
          <w:sz w:val="22"/>
          <w:u w:val="single"/>
        </w:rPr>
        <w:t>Section 3.5(c)(iv)</w:t>
      </w:r>
      <w:r>
        <w:rPr>
          <w:rFonts w:ascii="Times New Roman;Times;serif" w:hAnsi="Times New Roman;Times;serif"/>
          <w:sz w:val="22"/>
        </w:rPr>
        <w:t xml:space="preserve">.  Any determination, decision or election that may be made by the Agent or, if applicable, any Lender (or group of Lenders) pursuant to this </w:t>
      </w:r>
      <w:r>
        <w:rPr>
          <w:rFonts w:ascii="Times New Roman;Times;serif" w:hAnsi="Times New Roman;Times;serif"/>
          <w:sz w:val="22"/>
          <w:u w:val="single"/>
        </w:rPr>
        <w:t>Section 3.5(c)</w:t>
      </w:r>
      <w:r>
        <w:rPr>
          <w:rFonts w:ascii="Times New Roman;Times;serif" w:hAnsi="Times New Roman;Times;serif"/>
          <w:sz w:val="22"/>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Times;serif" w:hAnsi="Times New Roman;Times;serif"/>
          <w:sz w:val="22"/>
          <w:u w:val="single"/>
        </w:rPr>
        <w:t>Section</w:t>
      </w:r>
      <w:r>
        <w:rPr>
          <w:rFonts w:ascii="Aptos" w:hAnsi="Aptos"/>
          <w:sz w:val="24"/>
          <w:u w:val="single"/>
        </w:rPr>
        <w:t xml:space="preserve"> </w:t>
      </w:r>
      <w:r>
        <w:rPr>
          <w:rFonts w:ascii="Times New Roman;Times;serif" w:hAnsi="Times New Roman;Times;serif"/>
          <w:sz w:val="22"/>
          <w:u w:val="single"/>
        </w:rPr>
        <w:t>3.5(c)</w:t>
      </w:r>
      <w:r>
        <w:rPr>
          <w:rFonts w:ascii="Times New Roman;Times;serif" w:hAnsi="Times New Roman;Times;serif"/>
          <w:sz w:val="22"/>
        </w:rPr>
        <w:t>.</w:t>
      </w:r>
    </w:p>
    <w:p>
      <w:pPr>
        <w:pStyle w:val="TextBody"/>
        <w:bidi w:val="0"/>
        <w:spacing w:lineRule="auto" w:line="285" w:before="0" w:after="240"/>
        <w:ind w:left="720" w:right="0" w:hanging="0"/>
        <w:jc w:val="both"/>
        <w:rPr>
          <w:rFonts w:ascii="Aptos" w:hAnsi="Aptos"/>
          <w:sz w:val="24"/>
        </w:rPr>
      </w:pPr>
      <w:r>
        <w:rPr>
          <w:rFonts w:ascii="Times New Roman;Times;serif" w:hAnsi="Times New Roman;Times;serif"/>
          <w:sz w:val="22"/>
        </w:rPr>
        <w:t>(iv)</w:t>
      </w:r>
      <w:r>
        <w:rPr>
          <w:rFonts w:ascii="Times New Roman;Times;serif" w:hAnsi="Times New Roman;Times;serif"/>
          <w:sz w:val="22"/>
          <w:u w:val="single"/>
        </w:rPr>
        <w:t>Unavailability of Tenor of Benchmark</w:t>
      </w:r>
      <w:r>
        <w:rPr>
          <w:rFonts w:ascii="Times New Roman;Times;serif" w:hAnsi="Times New Roman;Times;serif"/>
          <w:sz w:val="22"/>
        </w:rPr>
        <w:t>.  Notwithstanding anything to the contrary herein or in any other Loan Document, at any time (including in connection with the implementation of a Benchmark Replacement), (A) if any then-current Benchmark is a term rate (including any Term RFR or Adjusted Eurodollar Rate) and either (I) any tenor for such Benchmark is not displayed on a screen or other information service that publishes such rate from time to time as selected by the Agent in its reasonable discretion or (II) the regulatory supervisor for the administrator of such Benchmark has provided a public statement or publication of information announcing that any tenor for such Benchmark is or will be no longer representative, then the Agent may modify the definition of “Interest Period” (or any similar or analogous definition) for any Benchmark settings at or after such time to remove such unavailable or non-representative tenor and (B) if a tenor that was removed pursuant to clause (A) above either (I) is subsequently displayed on a screen or information service for a Benchmark (including a Benchmark Replacement) or (II) is not, or is no longer, subject to an announcement that it is or will no longer be representative for a Benchmark (including a Benchmark Replacement), then the Agent may modify the definition of “Interest Period” (or any similar or analogous definition) for all Benchmark settings at or after such time to reinstate such previously removed tenor.</w:t>
      </w:r>
    </w:p>
    <w:p>
      <w:pPr>
        <w:pStyle w:val="TextBody"/>
        <w:bidi w:val="0"/>
        <w:spacing w:lineRule="auto" w:line="285"/>
        <w:ind w:left="720" w:right="0" w:hanging="0"/>
        <w:jc w:val="both"/>
        <w:rPr>
          <w:rFonts w:ascii="Aptos" w:hAnsi="Aptos"/>
          <w:sz w:val="24"/>
        </w:rPr>
      </w:pPr>
      <w:r>
        <w:rPr>
          <w:rFonts w:ascii="Times New Roman;Times;serif" w:hAnsi="Times New Roman;Times;serif"/>
          <w:sz w:val="22"/>
        </w:rPr>
        <w:t>(v)</w:t>
      </w:r>
      <w:r>
        <w:rPr>
          <w:rFonts w:ascii="Times New Roman;Times;serif" w:hAnsi="Times New Roman;Times;serif"/>
          <w:sz w:val="22"/>
          <w:u w:val="single"/>
        </w:rPr>
        <w:t>Benchmark Unavailability Period</w:t>
      </w:r>
      <w:r>
        <w:rPr>
          <w:rFonts w:ascii="Times New Roman;Times;serif" w:hAnsi="Times New Roman;Times;serif"/>
          <w:sz w:val="22"/>
        </w:rPr>
        <w:t>.  Upon the Administrative Borrower’s receipt of notice of the commencement of a Benchmark Unavailability Period with respect to a given Benchmark, the Administrative Borrower may revoke any pending request for a borrowing of, conversion to or continuation of RFR Loans or Eurodollar Fixed Rate Loans, in each case, to be made, converted or continued during any Benchmark Unavailability Period denominated in the applicable Currency and, failing that, (A)(I) in the case of any request for any affected RFR Loans or a Eurodollar Fixed Rate Loans, in each case, denominated in Dollars, if applicable, the Administrative Borrower will be deemed to have converted any such request into a request for a borrowing of or conversion to Base Rate Loans in the amount specified therein and (II) in the case of any request for any affected RFR Loan or Eurodollar Fixed Rate Loan, in each case, in an Alternate Currency, if applicable,</w:t>
      </w:r>
      <w:r>
        <w:rPr>
          <w:rFonts w:ascii="Aptos" w:hAnsi="Aptos"/>
          <w:sz w:val="24"/>
        </w:rPr>
        <w:t xml:space="preserve"> </w:t>
      </w:r>
      <w:r>
        <w:rPr>
          <w:rFonts w:ascii="Times New Roman;Times;serif" w:hAnsi="Times New Roman;Times;serif"/>
          <w:sz w:val="22"/>
        </w:rPr>
        <w:t>then such request shall be ineffective and (B)(I) any outstanding affected RFR Loans or Eurodollar Fixed Rate Loans, in each case, denominated in Dollars, if applicable, will be deemed to have been converted into Base Rate Loans</w:t>
      </w:r>
      <w:r>
        <w:rPr>
          <w:rFonts w:ascii="Aptos" w:hAnsi="Aptos"/>
          <w:sz w:val="24"/>
        </w:rPr>
        <w:t xml:space="preserve"> </w:t>
      </w:r>
      <w:r>
        <w:rPr>
          <w:rFonts w:ascii="Times New Roman;Times;serif" w:hAnsi="Times New Roman;Times;serif"/>
          <w:sz w:val="22"/>
        </w:rPr>
        <w:t>immediately or, in the case of Term RFR Loans or Eurodollar Fixed Rate Loans,</w:t>
      </w:r>
      <w:r>
        <w:rPr>
          <w:rFonts w:ascii="Aptos" w:hAnsi="Aptos"/>
          <w:sz w:val="24"/>
        </w:rPr>
        <w:t xml:space="preserve"> </w:t>
      </w:r>
      <w:r>
        <w:rPr>
          <w:rFonts w:ascii="Times New Roman;Times;serif" w:hAnsi="Times New Roman;Times;serif"/>
          <w:sz w:val="22"/>
        </w:rPr>
        <w:t xml:space="preserve">at the end of the applicable Interest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76</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0"/>
        <w:ind w:left="720" w:right="0" w:hanging="0"/>
        <w:jc w:val="both"/>
        <w:rPr>
          <w:rFonts w:ascii="Aptos" w:hAnsi="Aptos"/>
          <w:sz w:val="24"/>
        </w:rPr>
      </w:pPr>
      <w:r>
        <w:rPr>
          <w:rFonts w:ascii="Times New Roman;Times;serif" w:hAnsi="Times New Roman;Times;serif"/>
          <w:sz w:val="22"/>
        </w:rPr>
        <w:t>Period</w:t>
      </w:r>
      <w:r>
        <w:rPr>
          <w:rFonts w:ascii="Aptos" w:hAnsi="Aptos"/>
          <w:sz w:val="24"/>
        </w:rPr>
        <w:t xml:space="preserve"> </w:t>
      </w:r>
      <w:r>
        <w:rPr>
          <w:rFonts w:ascii="Times New Roman;Times;serif" w:hAnsi="Times New Roman;Times;serif"/>
          <w:sz w:val="22"/>
        </w:rPr>
        <w:t>and (II) any outstanding affected RFR Loans or Eurodollar Fixed Rate Loans, in each case, denominated in an Alternate Currency, at the Borrower’s election, shall either (1) be converted into Base Rate Loans denominated in Dollars (in an amount equal to the Dollar Equivalent of such Alternate Currency)</w:t>
      </w:r>
      <w:r>
        <w:rPr>
          <w:rFonts w:ascii="Aptos" w:hAnsi="Aptos"/>
          <w:sz w:val="24"/>
        </w:rPr>
        <w:t xml:space="preserve"> </w:t>
      </w:r>
      <w:r>
        <w:rPr>
          <w:rFonts w:ascii="Times New Roman;Times;serif" w:hAnsi="Times New Roman;Times;serif"/>
          <w:sz w:val="22"/>
        </w:rPr>
        <w:t>immediately or, in the case of Term RFR Loans or Eurodollar Fixed Rate Loans, at the end of the applicable Interest Period</w:t>
      </w:r>
      <w:r>
        <w:rPr>
          <w:rFonts w:ascii="Aptos" w:hAnsi="Aptos"/>
          <w:sz w:val="24"/>
        </w:rPr>
        <w:t xml:space="preserve"> </w:t>
      </w:r>
      <w:r>
        <w:rPr>
          <w:rFonts w:ascii="Times New Roman;Times;serif" w:hAnsi="Times New Roman;Times;serif"/>
          <w:sz w:val="22"/>
        </w:rPr>
        <w:t xml:space="preserve">or (2) be prepaid in full immediately or, in the case of Term RFR Loans or Eurodollar Fixed Rate Loans, at the end of the applicable Interest Period;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 xml:space="preserve">that, with respect to any Daily Simple RFR Loan, if no election is made by the Borrowers by the date that is three (3) Business Days after receipt by the Administrative Borrower of such notice, the Borrowers shall be deemed to have elected clause (1) above;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u w:val="single"/>
        </w:rPr>
        <w:t>further</w:t>
      </w:r>
      <w:r>
        <w:rPr>
          <w:rFonts w:ascii="Aptos" w:hAnsi="Aptos"/>
          <w:sz w:val="24"/>
        </w:rPr>
        <w:t xml:space="preserve"> </w:t>
      </w:r>
      <w:r>
        <w:rPr>
          <w:rFonts w:ascii="Times New Roman;Times;serif" w:hAnsi="Times New Roman;Times;serif"/>
          <w:sz w:val="22"/>
        </w:rPr>
        <w:t xml:space="preserve">that, with respect to any Eurodollar Fixed Rate Loan or Term RFR Loan, if no election is made by the Administrative Borrower by the earlier of (x) the date that is three (3) Business Days after receipt by the Administrative Borrower of such notice and (y) the last day of the current Interest Period for the applicable Eurodollar Fixed Rate Loan or Term RFR Loan, the Borrowers shall be deemed to have elected clause (1) above.  Upon any such prepayment or conversion, the Borrowers shall also pay accrued interest on the amount so prepaid or converted, together with any additional amounts required pursuant to </w:t>
      </w:r>
      <w:r>
        <w:rPr>
          <w:rFonts w:ascii="Times New Roman;Times;serif" w:hAnsi="Times New Roman;Times;serif"/>
          <w:sz w:val="22"/>
          <w:u w:val="single"/>
        </w:rPr>
        <w:t>Section 11.6</w:t>
      </w:r>
      <w:r>
        <w:rPr>
          <w:rFonts w:ascii="Times New Roman;Times;serif" w:hAnsi="Times New Roman;Times;serif"/>
          <w:sz w:val="22"/>
        </w:rPr>
        <w:t>.  During a Benchmark Unavailability Period with respect to any Benchmark or at any time that a tenor for any then-current Benchmark is not an Available Tenor, the component of Base Rate based upon the then-current Benchmark that is the subject of such Benchmark Unavailability Period or such tenor for such Benchmark, as applicable,</w:t>
      </w:r>
      <w:r>
        <w:rPr>
          <w:rFonts w:ascii="Aptos" w:hAnsi="Aptos"/>
          <w:sz w:val="24"/>
        </w:rPr>
        <w:t xml:space="preserve"> </w:t>
      </w:r>
      <w:r>
        <w:rPr>
          <w:rFonts w:ascii="Times New Roman;Times;serif" w:hAnsi="Times New Roman;Times;serif"/>
          <w:sz w:val="22"/>
        </w:rPr>
        <w:t>will not be used in any determination of Base Rate.</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(d)</w:t>
      </w:r>
      <w:r>
        <w:rPr>
          <w:rFonts w:ascii="Times New Roman;Times;serif" w:hAnsi="Times New Roman;Times;serif"/>
          <w:sz w:val="22"/>
          <w:u w:val="single"/>
        </w:rPr>
        <w:t>Illegality</w:t>
      </w:r>
      <w:r>
        <w:rPr>
          <w:rFonts w:ascii="Times New Roman;Times;serif" w:hAnsi="Times New Roman;Times;serif"/>
          <w:sz w:val="22"/>
        </w:rPr>
        <w:t>.  If, in any applicable jurisdiction, the Agent, any Fronting Lender or any Lender determines that any applicable law has made it unlawful, or that any Governmental Authority has asserted that it is unlawful, for the Agent, any Fronting Lender or any Lender to issue, make, maintain, fund or charge interest or fees with respect to any Credit Event to any Foreign Borrower, such Person shall promptly notify the Agent, then, upon the Agent notifying the Administrative Borrower, and until such notice by such Person is revoked, any obligation of such Person to issue, make, maintain, fund or charge interest or fees with respect to any such Credit Event to such Foreign Borrower shall be suspended, and to the extent required by applicable law, cancelled.  Upon receipt of such notice, the Credit Parties shall, (A) repay that Person’s participation in the Loans or other applicable Obligations on the applicable Interest Payment Date for any Daily Simple RFR Loan or on last day of the Interest Period for any Eurodollar Fixed Rate Loan or Term RFR Loan, or on another applicable date with respect to another Obligation, occurring after the Agent has notified the Administrative Borrower or, in each case, if earlier, the date specified by such Person in the notice delivered to the Agent (being no earlier than the last day of any applicable grace period permitted by applicable law) and (B) take all reasonable actions requested by such Person to mitigate or avoid such illegality.</w:t>
      </w:r>
    </w:p>
    <w:p>
      <w:pPr>
        <w:pStyle w:val="TextBody"/>
        <w:bidi w:val="0"/>
        <w:spacing w:lineRule="auto" w:line="285"/>
        <w:ind w:left="0" w:right="0" w:hanging="0"/>
        <w:jc w:val="both"/>
        <w:rPr>
          <w:rFonts w:ascii="Aptos" w:hAnsi="Aptos"/>
          <w:sz w:val="24"/>
        </w:rPr>
      </w:pPr>
      <w:r>
        <w:rPr>
          <w:rFonts w:ascii="Times New Roman;Times;serif" w:hAnsi="Times New Roman;Times;serif"/>
          <w:sz w:val="22"/>
        </w:rPr>
        <w:t>(e)</w:t>
      </w:r>
      <w:r>
        <w:rPr>
          <w:rFonts w:ascii="Times New Roman;Times;serif" w:hAnsi="Times New Roman;Times;serif"/>
          <w:sz w:val="22"/>
          <w:u w:val="single"/>
        </w:rPr>
        <w:t>Alternate Currencies</w:t>
      </w:r>
      <w:r>
        <w:rPr>
          <w:rFonts w:ascii="Times New Roman;Times;serif" w:hAnsi="Times New Roman;Times;serif"/>
          <w:sz w:val="22"/>
        </w:rPr>
        <w:t>.  If any change in currency controls or exchange regulations or any change in national or international financial, political or economic conditions are imposed in the country in which such currency is issued, and such change results in, in the reasonable opinion of the Agent (i) such currency no longer being readily available, freely transferable and convertible into Dollars, (ii) a Dollar Equivalent no longer being readily calculable with respect to such currency, (iii) such currency being impracticable for the Lenders to loan or (iv) such currency no longer being a currency in which the Required Lenders are willing to make Credit Events (each of clauses (i), (ii), (iii) and (iv), a “</w:t>
      </w:r>
      <w:r>
        <w:rPr>
          <w:rFonts w:ascii="Times New Roman;Times;serif" w:hAnsi="Times New Roman;Times;serif"/>
          <w:sz w:val="22"/>
          <w:u w:val="single"/>
        </w:rPr>
        <w:t>Disqualifying Event</w:t>
      </w:r>
      <w:r>
        <w:rPr>
          <w:rFonts w:ascii="Aptos" w:hAnsi="Aptos"/>
          <w:sz w:val="24"/>
        </w:rPr>
        <w:t>”</w:t>
      </w:r>
      <w:r>
        <w:rPr>
          <w:rFonts w:ascii="Times New Roman;Times;serif" w:hAnsi="Times New Roman;Times;serif"/>
          <w:sz w:val="22"/>
        </w:rPr>
        <w:t>), then the Agent shall promptly notify the Lenders and the Administrative Borrower, and such currency shall no longer be an Alternate Currency until such time as the Disqualifying Event(s) no longer exist.  Within five (5) Business Days after receipt of such notice from the Agent, the Borrowers shall repay all Loans denominated in such currency to which the Disqualifying Event(s) apply or convert such Loans into the Dollar Equivalent in Dollars, bearing interest at the Base Rate, subject to the other terms contained herein.</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77</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3.6</w:t>
      </w:r>
      <w:bookmarkStart w:id="1849" w:name="_Toc236844317"/>
      <w:bookmarkStart w:id="1850" w:name="_Toc172896663"/>
      <w:bookmarkEnd w:id="1849"/>
      <w:bookmarkEnd w:id="1850"/>
      <w:r>
        <w:rPr>
          <w:rFonts w:ascii="Times New Roman;Times;serif" w:hAnsi="Times New Roman;Times;serif"/>
          <w:sz w:val="22"/>
          <w:u w:val="single"/>
        </w:rPr>
        <w:t>Discretion of Lenders as to Manner of Funding</w:t>
      </w:r>
      <w:r>
        <w:rPr>
          <w:rFonts w:ascii="Times New Roman;Times;serif" w:hAnsi="Times New Roman;Times;serif"/>
          <w:sz w:val="22"/>
        </w:rPr>
        <w:t xml:space="preserve">.  Notwithstanding any provision of this Agreement to the contrary, each Lender shall be entitled to fund and maintain its funding of all or any part of such Lender’s Loans in any manner such Lender deems to be appropriate; it being understood, however, that for the purposes of this Agreement all determinations hereunder shall be made as if such Lender had actually funded and maintained each Transitioned RFR Loan or Alternate Currency Loan during the applicable Interest Period for such Loan through the purchase of deposits having a maturity corresponding to such Interest Period and bearing an interest rate equal to the Transitioned RFR Rate for such Interest Period.  In addition, each Lender may, at its option, fund its portion of a Loan requested by a Foreign Borrower to Agent by causing any foreign or domestic branch or affiliate of such Lender to provide such funding;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that any exercise of such option shall not affect the obligation of such Foreign Borrower to repay such Loan in accordance with the terms of this Agreement, and such Lender and its affiliate or branch shall cooperate and communicate with Agent in order to coordinate such arrangement.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3.7</w:t>
      </w:r>
      <w:bookmarkStart w:id="1851" w:name="_Toc236844318"/>
      <w:bookmarkStart w:id="1852" w:name="_Toc172896664"/>
      <w:bookmarkEnd w:id="1851"/>
      <w:bookmarkEnd w:id="1852"/>
      <w:r>
        <w:rPr>
          <w:rFonts w:ascii="Times New Roman;Times;serif" w:hAnsi="Times New Roman;Times;serif"/>
          <w:sz w:val="22"/>
          <w:u w:val="single"/>
        </w:rPr>
        <w:t>Cash Collateral</w:t>
      </w:r>
      <w:r>
        <w:rPr>
          <w:rFonts w:ascii="Times New Roman;Times;serif" w:hAnsi="Times New Roman;Times;serif"/>
          <w:sz w:val="22"/>
        </w:rPr>
        <w:t xml:space="preserve">.  At any time that there shall exist a Defaulting Lender, within two Business Days following the written request of Agent, any Fronting Lender (with a copy to Agent) or the Swing Line Lender (with a copy to Agent), the Borrowers shall Cash Collateralize the Fronting Exposure of such Fronting Lender and/or the Swing Line Lender, as applicable, with respect to such Defaulting Lender (determined after giving effect to </w:t>
      </w:r>
      <w:r>
        <w:rPr>
          <w:rFonts w:ascii="Times New Roman;Times;serif" w:hAnsi="Times New Roman;Times;serif"/>
          <w:sz w:val="22"/>
          <w:u w:val="single"/>
        </w:rPr>
        <w:t>Section 3.8(a)(iv)</w:t>
      </w:r>
      <w:r>
        <w:rPr>
          <w:rFonts w:ascii="Aptos" w:hAnsi="Aptos"/>
          <w:sz w:val="24"/>
        </w:rPr>
        <w:t xml:space="preserve"> </w:t>
      </w:r>
      <w:r>
        <w:rPr>
          <w:rFonts w:ascii="Times New Roman;Times;serif" w:hAnsi="Times New Roman;Times;serif"/>
          <w:sz w:val="22"/>
        </w:rPr>
        <w:t>hereof and any Cash Collateral provided by such Defaulting Lender) in an amount not less than the Minimum Collateral Amount.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(a)</w:t>
      </w:r>
      <w:r>
        <w:rPr>
          <w:rFonts w:ascii="Times New Roman;Times;serif" w:hAnsi="Times New Roman;Times;serif"/>
          <w:sz w:val="22"/>
          <w:u w:val="single"/>
        </w:rPr>
        <w:t>Grant of Security Interest</w:t>
      </w:r>
      <w:r>
        <w:rPr>
          <w:rFonts w:ascii="Times New Roman;Times;serif" w:hAnsi="Times New Roman;Times;serif"/>
          <w:sz w:val="22"/>
        </w:rPr>
        <w:t>.  The Borrowers, and to the extent provided by any Defaulting Lender, such Defaulting Lender, hereby grant to Agent, for the benefit of each Fronting Lender and the Swing Line Lender, and agrees to maintain, a first priority security interest (other than any Liens permitted hereunder arising by operation of law) in all such Cash Collateral as security for the Defaulting Lender’s obligation to fund participations in respect of Letter of Credit Exposure and Swing Loans, to be applied pursuant to subsection (b) below.  If at any time Agent determines that Cash Collateral is subject to any right or claim of any Person other than Agent, each Fronting Lender and the Swing Line Lender as herein provided (other than any Liens permitted hereunder arising by operation of law), or that the total amount of such Cash Collateral is less than the Minimum Collateral Amount, the Borrowers will, promptly upon demand by Agent, pay or provide to Agent additional Cash Collateral in an amount sufficient to eliminate such deficiency (after giving effect to any Cash Collateral provided by the Defaulting Lender).</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(b)</w:t>
      </w:r>
      <w:r>
        <w:rPr>
          <w:rFonts w:ascii="Times New Roman;Times;serif" w:hAnsi="Times New Roman;Times;serif"/>
          <w:sz w:val="22"/>
          <w:u w:val="single"/>
        </w:rPr>
        <w:t>Application</w:t>
      </w:r>
      <w:r>
        <w:rPr>
          <w:rFonts w:ascii="Times New Roman;Times;serif" w:hAnsi="Times New Roman;Times;serif"/>
          <w:sz w:val="22"/>
        </w:rPr>
        <w:t xml:space="preserve">.  Notwithstanding anything to the contrary contained in this Agreement, Cash Collateral provided under this </w:t>
      </w:r>
      <w:r>
        <w:rPr>
          <w:rFonts w:ascii="Times New Roman;Times;serif" w:hAnsi="Times New Roman;Times;serif"/>
          <w:sz w:val="22"/>
          <w:u w:val="single"/>
        </w:rPr>
        <w:t>Section 3.7</w:t>
      </w:r>
      <w:r>
        <w:rPr>
          <w:rFonts w:ascii="Aptos" w:hAnsi="Aptos"/>
          <w:sz w:val="24"/>
        </w:rPr>
        <w:t xml:space="preserve"> </w:t>
      </w:r>
      <w:r>
        <w:rPr>
          <w:rFonts w:ascii="Times New Roman;Times;serif" w:hAnsi="Times New Roman;Times;serif"/>
          <w:sz w:val="22"/>
        </w:rPr>
        <w:t xml:space="preserve">or </w:t>
      </w:r>
      <w:r>
        <w:rPr>
          <w:rFonts w:ascii="Times New Roman;Times;serif" w:hAnsi="Times New Roman;Times;serif"/>
          <w:sz w:val="22"/>
          <w:u w:val="single"/>
        </w:rPr>
        <w:t>Section 3.8</w:t>
      </w:r>
      <w:r>
        <w:rPr>
          <w:rFonts w:ascii="Aptos" w:hAnsi="Aptos"/>
          <w:sz w:val="24"/>
        </w:rPr>
        <w:t xml:space="preserve"> </w:t>
      </w:r>
      <w:r>
        <w:rPr>
          <w:rFonts w:ascii="Times New Roman;Times;serif" w:hAnsi="Times New Roman;Times;serif"/>
          <w:sz w:val="22"/>
        </w:rPr>
        <w:t>hereof in respect of Letter of Credit Exposure and Swing Loans shall be applied to the satisfaction of the Defaulting Lender’s obligation to fund participations in respect of Letters of Credit and Swing Loans (including, as to Cash Collateral provided by a Defaulting Lender, any interest accrued on such obligation) for which the Cash Collateral was so provided, prior to any other application of such property as may otherwise be provided for herein.</w:t>
      </w:r>
    </w:p>
    <w:p>
      <w:pPr>
        <w:pStyle w:val="TextBody"/>
        <w:bidi w:val="0"/>
        <w:spacing w:lineRule="auto" w:line="285"/>
        <w:ind w:left="0" w:right="0" w:hanging="0"/>
        <w:jc w:val="both"/>
        <w:rPr>
          <w:rFonts w:ascii="Aptos" w:hAnsi="Aptos"/>
          <w:sz w:val="24"/>
        </w:rPr>
      </w:pPr>
      <w:r>
        <w:rPr>
          <w:rFonts w:ascii="Times New Roman;Times;serif" w:hAnsi="Times New Roman;Times;serif"/>
          <w:sz w:val="22"/>
        </w:rPr>
        <w:t>(c)</w:t>
      </w:r>
      <w:r>
        <w:rPr>
          <w:rFonts w:ascii="Times New Roman;Times;serif" w:hAnsi="Times New Roman;Times;serif"/>
          <w:sz w:val="22"/>
          <w:u w:val="single"/>
        </w:rPr>
        <w:t>Termination of Requirement</w:t>
      </w:r>
      <w:r>
        <w:rPr>
          <w:rFonts w:ascii="Times New Roman;Times;serif" w:hAnsi="Times New Roman;Times;serif"/>
          <w:sz w:val="22"/>
        </w:rPr>
        <w:t xml:space="preserve">.  Cash Collateral (or the appropriate portion thereof) provided to reduce the Fronting Exposure of any Fronting Lender and/or Swing Line Lender, as applicable, shall no longer be required to be held as Cash Collateral pursuant to this </w:t>
      </w:r>
      <w:r>
        <w:rPr>
          <w:rFonts w:ascii="Times New Roman;Times;serif" w:hAnsi="Times New Roman;Times;serif"/>
          <w:sz w:val="22"/>
          <w:u w:val="single"/>
        </w:rPr>
        <w:t>Section 3.7</w:t>
      </w:r>
      <w:r>
        <w:rPr>
          <w:rFonts w:ascii="Aptos" w:hAnsi="Aptos"/>
          <w:sz w:val="24"/>
        </w:rPr>
        <w:t xml:space="preserve"> </w:t>
      </w:r>
      <w:r>
        <w:rPr>
          <w:rFonts w:ascii="Times New Roman;Times;serif" w:hAnsi="Times New Roman;Times;serif"/>
          <w:sz w:val="22"/>
        </w:rPr>
        <w:t xml:space="preserve">following (i) the elimination of the applicable Fronting Exposure (including by the termination of Defaulting Lender status of the applicable Lender), or (ii) the good faith determination by Agent, the Fronting Lenders and the Swing Line Lender that there exists excess Cash Collateral;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 xml:space="preserve">that, subject to </w:t>
      </w:r>
      <w:r>
        <w:rPr>
          <w:rFonts w:ascii="Times New Roman;Times;serif" w:hAnsi="Times New Roman;Times;serif"/>
          <w:sz w:val="22"/>
          <w:u w:val="single"/>
        </w:rPr>
        <w:t>Section 3.8</w:t>
      </w:r>
      <w:r>
        <w:rPr>
          <w:rFonts w:ascii="Aptos" w:hAnsi="Aptos"/>
          <w:sz w:val="24"/>
        </w:rPr>
        <w:t xml:space="preserve"> </w:t>
      </w:r>
      <w:r>
        <w:rPr>
          <w:rFonts w:ascii="Times New Roman;Times;serif" w:hAnsi="Times New Roman;Times;serif"/>
          <w:sz w:val="22"/>
        </w:rPr>
        <w:t xml:space="preserve">hereof, the Person providing Cash Collateral, the Fronting Lenders and the Swing Line Lender may agree that Cash Collateral shall be held to support future anticipated Fronting Exposure or other obligations; and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u w:val="single"/>
        </w:rPr>
        <w:t>further</w:t>
      </w:r>
      <w:r>
        <w:rPr>
          <w:rFonts w:ascii="Aptos" w:hAnsi="Aptos"/>
          <w:sz w:val="24"/>
        </w:rPr>
        <w:t xml:space="preserve"> </w:t>
      </w:r>
      <w:r>
        <w:rPr>
          <w:rFonts w:ascii="Times New Roman;Times;serif" w:hAnsi="Times New Roman;Times;serif"/>
          <w:sz w:val="22"/>
        </w:rPr>
        <w:t>that to the extent that such Cash Collateral was provided by the Borrowers, such Cash Collateral shall remain subject to the security interest granted pursuant to the Loan Documents to the extent required by the Loan Documents.</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78</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3.8</w:t>
      </w:r>
      <w:bookmarkStart w:id="1853" w:name="_Toc236844319"/>
      <w:bookmarkStart w:id="1854" w:name="_Toc172896665"/>
      <w:bookmarkEnd w:id="1853"/>
      <w:bookmarkEnd w:id="1854"/>
      <w:r>
        <w:rPr>
          <w:rFonts w:ascii="Times New Roman;Times;serif" w:hAnsi="Times New Roman;Times;serif"/>
          <w:sz w:val="22"/>
          <w:u w:val="single"/>
        </w:rPr>
        <w:t>Defaulting Lenders</w:t>
      </w:r>
      <w:r>
        <w:rPr>
          <w:rFonts w:ascii="Times New Roman;Times;serif" w:hAnsi="Times New Roman;Times;serif"/>
          <w:sz w:val="22"/>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(a)</w:t>
      </w:r>
      <w:r>
        <w:rPr>
          <w:rFonts w:ascii="Times New Roman;Times;serif" w:hAnsi="Times New Roman;Times;serif"/>
          <w:sz w:val="22"/>
          <w:u w:val="single"/>
        </w:rPr>
        <w:t>Defaulting Lender Adjustments</w:t>
      </w:r>
      <w:r>
        <w:rPr>
          <w:rFonts w:ascii="Times New Roman;Times;serif" w:hAnsi="Times New Roman;Times;serif"/>
          <w:sz w:val="22"/>
        </w:rPr>
        <w:t>.  Notwithstanding anything to the contrary contained in this Agreement, if any Lender becomes a Defaulting Lender, then, until such time as such Lender is no longer a Defaulting Lender, to the extent permitted by applicable law:</w:t>
      </w:r>
    </w:p>
    <w:p>
      <w:pPr>
        <w:pStyle w:val="TextBody"/>
        <w:bidi w:val="0"/>
        <w:spacing w:lineRule="auto" w:line="285" w:before="0" w:after="240"/>
        <w:ind w:left="720" w:right="0" w:hanging="0"/>
        <w:jc w:val="both"/>
        <w:rPr>
          <w:rFonts w:ascii="Aptos" w:hAnsi="Aptos"/>
          <w:sz w:val="24"/>
        </w:rPr>
      </w:pPr>
      <w:r>
        <w:rPr>
          <w:rFonts w:ascii="Times New Roman;Times;serif" w:hAnsi="Times New Roman;Times;serif"/>
          <w:sz w:val="22"/>
        </w:rPr>
        <w:t>(i)</w:t>
      </w:r>
      <w:r>
        <w:rPr>
          <w:rFonts w:ascii="Times New Roman;Times;serif" w:hAnsi="Times New Roman;Times;serif"/>
          <w:sz w:val="22"/>
          <w:u w:val="single"/>
        </w:rPr>
        <w:t>Waivers and Amendments</w:t>
      </w:r>
      <w:r>
        <w:rPr>
          <w:rFonts w:ascii="Times New Roman;Times;serif" w:hAnsi="Times New Roman;Times;serif"/>
          <w:sz w:val="22"/>
        </w:rPr>
        <w:t>.  Such Defaulting Lender’s right to approve or disapprove any amendment, waiver or consent with respect to this Agreement shall be restricted as set forth in the definition of Required Lenders.</w:t>
      </w:r>
    </w:p>
    <w:p>
      <w:pPr>
        <w:pStyle w:val="TextBody"/>
        <w:bidi w:val="0"/>
        <w:spacing w:lineRule="auto" w:line="285" w:before="0" w:after="240"/>
        <w:ind w:left="720" w:right="0" w:hanging="0"/>
        <w:jc w:val="both"/>
        <w:rPr>
          <w:rFonts w:ascii="Aptos" w:hAnsi="Aptos"/>
          <w:sz w:val="24"/>
        </w:rPr>
      </w:pPr>
      <w:r>
        <w:rPr>
          <w:rFonts w:ascii="Times New Roman;Times;serif" w:hAnsi="Times New Roman;Times;serif"/>
          <w:sz w:val="22"/>
        </w:rPr>
        <w:t>(ii)</w:t>
      </w:r>
      <w:r>
        <w:rPr>
          <w:rFonts w:ascii="Times New Roman;Times;serif" w:hAnsi="Times New Roman;Times;serif"/>
          <w:sz w:val="22"/>
          <w:u w:val="single"/>
        </w:rPr>
        <w:t>Defaulting Lender Waterfall</w:t>
      </w:r>
      <w:r>
        <w:rPr>
          <w:rFonts w:ascii="Times New Roman;Times;serif" w:hAnsi="Times New Roman;Times;serif"/>
          <w:sz w:val="22"/>
        </w:rPr>
        <w:t xml:space="preserve">.  Any payment of principal, interest, fees or other amounts received by Agent for the account of such Defaulting Lender (whether voluntary or mandatory, at maturity, pursuant to </w:t>
      </w:r>
      <w:r>
        <w:rPr>
          <w:rFonts w:ascii="Times New Roman;Times;serif" w:hAnsi="Times New Roman;Times;serif"/>
          <w:sz w:val="22"/>
          <w:u w:val="single"/>
        </w:rPr>
        <w:t>Article VIII</w:t>
      </w:r>
      <w:r>
        <w:rPr>
          <w:rFonts w:ascii="Aptos" w:hAnsi="Aptos"/>
          <w:sz w:val="24"/>
        </w:rPr>
        <w:t xml:space="preserve"> </w:t>
      </w:r>
      <w:r>
        <w:rPr>
          <w:rFonts w:ascii="Times New Roman;Times;serif" w:hAnsi="Times New Roman;Times;serif"/>
          <w:sz w:val="22"/>
        </w:rPr>
        <w:t xml:space="preserve">or otherwise) or received by Agent from a Defaulting Lender pursuant to </w:t>
      </w:r>
      <w:r>
        <w:rPr>
          <w:rFonts w:ascii="Times New Roman;Times;serif" w:hAnsi="Times New Roman;Times;serif"/>
          <w:sz w:val="22"/>
          <w:u w:val="single"/>
        </w:rPr>
        <w:t>Section 8.4</w:t>
      </w:r>
      <w:r>
        <w:rPr>
          <w:rFonts w:ascii="Aptos" w:hAnsi="Aptos"/>
          <w:sz w:val="24"/>
        </w:rPr>
        <w:t xml:space="preserve"> </w:t>
      </w:r>
      <w:r>
        <w:rPr>
          <w:rFonts w:ascii="Times New Roman;Times;serif" w:hAnsi="Times New Roman;Times;serif"/>
          <w:sz w:val="22"/>
        </w:rPr>
        <w:t xml:space="preserve">hereof shall be applied at such time or times as may be determined by Agent and, where relevant, the Administrative Borrower, as follows: </w:t>
      </w:r>
      <w:r>
        <w:rPr>
          <w:rFonts w:ascii="Times New Roman;Times;serif" w:hAnsi="Times New Roman;Times;serif"/>
          <w:i/>
          <w:sz w:val="22"/>
        </w:rPr>
        <w:t>first</w:t>
      </w:r>
      <w:r>
        <w:rPr>
          <w:rFonts w:ascii="Times New Roman;Times;serif" w:hAnsi="Times New Roman;Times;serif"/>
          <w:sz w:val="22"/>
        </w:rPr>
        <w:t xml:space="preserve">, to the payment of any amounts owing by such Defaulting Lender to Agent hereunder; </w:t>
      </w:r>
      <w:r>
        <w:rPr>
          <w:rFonts w:ascii="Times New Roman;Times;serif" w:hAnsi="Times New Roman;Times;serif"/>
          <w:i/>
          <w:sz w:val="22"/>
        </w:rPr>
        <w:t>second</w:t>
      </w:r>
      <w:r>
        <w:rPr>
          <w:rFonts w:ascii="Times New Roman;Times;serif" w:hAnsi="Times New Roman;Times;serif"/>
          <w:sz w:val="22"/>
        </w:rPr>
        <w:t xml:space="preserve">, to the payment on a </w:t>
      </w:r>
      <w:r>
        <w:rPr>
          <w:rFonts w:ascii="Times New Roman;Times;serif" w:hAnsi="Times New Roman;Times;serif"/>
          <w:sz w:val="22"/>
          <w:u w:val="single"/>
        </w:rPr>
        <w:t>pro rata</w:t>
      </w:r>
      <w:r>
        <w:rPr>
          <w:rFonts w:ascii="Aptos" w:hAnsi="Aptos"/>
          <w:sz w:val="24"/>
        </w:rPr>
        <w:t xml:space="preserve"> </w:t>
      </w:r>
      <w:r>
        <w:rPr>
          <w:rFonts w:ascii="Times New Roman;Times;serif" w:hAnsi="Times New Roman;Times;serif"/>
          <w:sz w:val="22"/>
        </w:rPr>
        <w:t xml:space="preserve">basis of any amounts owing by such Defaulting Lender to the Fronting Lenders or the Swing Line Lender hereunder; </w:t>
      </w:r>
      <w:r>
        <w:rPr>
          <w:rFonts w:ascii="Times New Roman;Times;serif" w:hAnsi="Times New Roman;Times;serif"/>
          <w:i/>
          <w:sz w:val="22"/>
        </w:rPr>
        <w:t>third</w:t>
      </w:r>
      <w:r>
        <w:rPr>
          <w:rFonts w:ascii="Times New Roman;Times;serif" w:hAnsi="Times New Roman;Times;serif"/>
          <w:sz w:val="22"/>
        </w:rPr>
        <w:t xml:space="preserve">, if so determined by Agent, the Swing Line Lender and/or the Fronting Lender, to Cash Collateralize the Fronting Exposure of the Fronting Lenders and/or the Swing Line Lender with respect to such Defaulting Lender in accordance with </w:t>
      </w:r>
      <w:r>
        <w:rPr>
          <w:rFonts w:ascii="Times New Roman;Times;serif" w:hAnsi="Times New Roman;Times;serif"/>
          <w:sz w:val="22"/>
          <w:u w:val="single"/>
        </w:rPr>
        <w:t>Section 3.7</w:t>
      </w:r>
      <w:r>
        <w:rPr>
          <w:rFonts w:ascii="Aptos" w:hAnsi="Aptos"/>
          <w:sz w:val="24"/>
        </w:rPr>
        <w:t xml:space="preserve"> </w:t>
      </w:r>
      <w:r>
        <w:rPr>
          <w:rFonts w:ascii="Times New Roman;Times;serif" w:hAnsi="Times New Roman;Times;serif"/>
          <w:sz w:val="22"/>
        </w:rPr>
        <w:t xml:space="preserve">hereof; </w:t>
      </w:r>
      <w:r>
        <w:rPr>
          <w:rFonts w:ascii="Times New Roman;Times;serif" w:hAnsi="Times New Roman;Times;serif"/>
          <w:i/>
          <w:sz w:val="22"/>
        </w:rPr>
        <w:t>fourth</w:t>
      </w:r>
      <w:r>
        <w:rPr>
          <w:rFonts w:ascii="Times New Roman;Times;serif" w:hAnsi="Times New Roman;Times;serif"/>
          <w:sz w:val="22"/>
        </w:rPr>
        <w:t xml:space="preserve">, as the Administrative Borrower may request (so long as no Default or Event of Default exists), to the funding of any Loan or funded participation in respect of which such Defaulting Lender has failed to fund its portion thereof as required by this Agreement, as determined by Agent; </w:t>
      </w:r>
      <w:r>
        <w:rPr>
          <w:rFonts w:ascii="Times New Roman;Times;serif" w:hAnsi="Times New Roman;Times;serif"/>
          <w:i/>
          <w:sz w:val="22"/>
        </w:rPr>
        <w:t>fifth</w:t>
      </w:r>
      <w:r>
        <w:rPr>
          <w:rFonts w:ascii="Times New Roman;Times;serif" w:hAnsi="Times New Roman;Times;serif"/>
          <w:sz w:val="22"/>
        </w:rPr>
        <w:t xml:space="preserve">, if so determined by Agent and the Administrative Borrower, to be held in a deposit account and released </w:t>
      </w:r>
      <w:r>
        <w:rPr>
          <w:rFonts w:ascii="Times New Roman;Times;serif" w:hAnsi="Times New Roman;Times;serif"/>
          <w:sz w:val="22"/>
          <w:u w:val="single"/>
        </w:rPr>
        <w:t>pro</w:t>
      </w:r>
      <w:r>
        <w:rPr>
          <w:rFonts w:ascii="Aptos" w:hAnsi="Aptos"/>
          <w:sz w:val="24"/>
        </w:rPr>
        <w:t xml:space="preserve"> </w:t>
      </w:r>
      <w:r>
        <w:rPr>
          <w:rFonts w:ascii="Times New Roman;Times;serif" w:hAnsi="Times New Roman;Times;serif"/>
          <w:sz w:val="22"/>
          <w:u w:val="single"/>
        </w:rPr>
        <w:t>rata</w:t>
      </w:r>
      <w:r>
        <w:rPr>
          <w:rFonts w:ascii="Aptos" w:hAnsi="Aptos"/>
          <w:sz w:val="24"/>
        </w:rPr>
        <w:t xml:space="preserve"> </w:t>
      </w:r>
      <w:r>
        <w:rPr>
          <w:rFonts w:ascii="Times New Roman;Times;serif" w:hAnsi="Times New Roman;Times;serif"/>
          <w:sz w:val="22"/>
        </w:rPr>
        <w:t xml:space="preserve">in order to (A) satisfy such Defaulting Lender’s potential future funding obligations with respect to Loans and funded participations under this Agreement and (B) Cash Collateralize the Fronting Lenders’ future Fronting Exposure with respect to such Defaulting Lender with respect to future Letters of Credit and Swing Loans issued under this Agreement, in accordance with </w:t>
      </w:r>
      <w:r>
        <w:rPr>
          <w:rFonts w:ascii="Times New Roman;Times;serif" w:hAnsi="Times New Roman;Times;serif"/>
          <w:sz w:val="22"/>
          <w:u w:val="single"/>
        </w:rPr>
        <w:t>Section 3.7</w:t>
      </w:r>
      <w:r>
        <w:rPr>
          <w:rFonts w:ascii="Aptos" w:hAnsi="Aptos"/>
          <w:sz w:val="24"/>
        </w:rPr>
        <w:t xml:space="preserve"> </w:t>
      </w:r>
      <w:r>
        <w:rPr>
          <w:rFonts w:ascii="Times New Roman;Times;serif" w:hAnsi="Times New Roman;Times;serif"/>
          <w:sz w:val="22"/>
        </w:rPr>
        <w:t xml:space="preserve">hereof; </w:t>
      </w:r>
      <w:r>
        <w:rPr>
          <w:rFonts w:ascii="Times New Roman;Times;serif" w:hAnsi="Times New Roman;Times;serif"/>
          <w:i/>
          <w:sz w:val="22"/>
        </w:rPr>
        <w:t>sixth</w:t>
      </w:r>
      <w:r>
        <w:rPr>
          <w:rFonts w:ascii="Times New Roman;Times;serif" w:hAnsi="Times New Roman;Times;serif"/>
          <w:sz w:val="22"/>
        </w:rPr>
        <w:t xml:space="preserve">, to the payment of any amounts owing to the Lenders, the Fronting Lenders or the Swing Line Lender as a result of any judgment of a court of competent jurisdiction obtained by any Lender, any Fronting Lender or the Swing Line Lender against such Defaulting Lender as a result of such Defaulting Lender’s breach of its obligations under this Agreement; </w:t>
      </w:r>
      <w:r>
        <w:rPr>
          <w:rFonts w:ascii="Times New Roman;Times;serif" w:hAnsi="Times New Roman;Times;serif"/>
          <w:i/>
          <w:sz w:val="22"/>
        </w:rPr>
        <w:t>seventh</w:t>
      </w:r>
      <w:r>
        <w:rPr>
          <w:rFonts w:ascii="Times New Roman;Times;serif" w:hAnsi="Times New Roman;Times;serif"/>
          <w:sz w:val="22"/>
        </w:rPr>
        <w:t xml:space="preserve">, so long as no Default or Event of Default exists, to the payment of any amounts owing to any Borrower as a result of any judgment of a court of competent jurisdiction obtained by a Borrower against such Defaulting Lender as a result of such Defaulting Lender’s breach of its obligations under this Agreement; and </w:t>
      </w:r>
      <w:r>
        <w:rPr>
          <w:rFonts w:ascii="Times New Roman;Times;serif" w:hAnsi="Times New Roman;Times;serif"/>
          <w:i/>
          <w:sz w:val="22"/>
        </w:rPr>
        <w:t>eighth</w:t>
      </w:r>
      <w:r>
        <w:rPr>
          <w:rFonts w:ascii="Times New Roman;Times;serif" w:hAnsi="Times New Roman;Times;serif"/>
          <w:sz w:val="22"/>
        </w:rPr>
        <w:t xml:space="preserve">, to such Defaulting Lender or as otherwise directed by a court of competent jurisdiction;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 xml:space="preserve">that if (1) such payment is a payment of the principal amount of any Loans or funded participations in Letters of Credit or Swing Loans in respect of which such Defaulting Lender has not fully funded its appropriate share, and (2) such Loans were made or the related Letters of Credit or Swing Loans were issued at a time when the conditions set forth in </w:t>
      </w:r>
      <w:r>
        <w:rPr>
          <w:rFonts w:ascii="Times New Roman;Times;serif" w:hAnsi="Times New Roman;Times;serif"/>
          <w:sz w:val="22"/>
          <w:u w:val="single"/>
        </w:rPr>
        <w:t>Section 4.1</w:t>
      </w:r>
      <w:r>
        <w:rPr>
          <w:rFonts w:ascii="Aptos" w:hAnsi="Aptos"/>
          <w:sz w:val="24"/>
        </w:rPr>
        <w:t xml:space="preserve"> </w:t>
      </w:r>
      <w:r>
        <w:rPr>
          <w:rFonts w:ascii="Times New Roman;Times;serif" w:hAnsi="Times New Roman;Times;serif"/>
          <w:sz w:val="22"/>
        </w:rPr>
        <w:t xml:space="preserve">hereof were satisfied or waived, such payment shall be applied solely to pay the Loans of, and funded participations in Letters of Credit or Swing Loans owed to, all Non-Defaulting Lenders on a </w:t>
      </w:r>
      <w:r>
        <w:rPr>
          <w:rFonts w:ascii="Times New Roman;Times;serif" w:hAnsi="Times New Roman;Times;serif"/>
          <w:sz w:val="22"/>
          <w:u w:val="single"/>
        </w:rPr>
        <w:t>pro rata</w:t>
      </w:r>
      <w:r>
        <w:rPr>
          <w:rFonts w:ascii="Aptos" w:hAnsi="Aptos"/>
          <w:sz w:val="24"/>
        </w:rPr>
        <w:t xml:space="preserve"> </w:t>
      </w:r>
      <w:r>
        <w:rPr>
          <w:rFonts w:ascii="Times New Roman;Times;serif" w:hAnsi="Times New Roman;Times;serif"/>
          <w:sz w:val="22"/>
        </w:rPr>
        <w:t xml:space="preserve">basis prior to being applied to the payment of any Loans of, or funded participations in Letters of Credit or Swing Loans owed to, such Defaulting Lender until such time as all Loans and funded and unfunded participations in Letter of Credit Exposure and Swing Loans are held by the Lenders </w:t>
      </w:r>
      <w:r>
        <w:rPr>
          <w:rFonts w:ascii="Times New Roman;Times;serif" w:hAnsi="Times New Roman;Times;serif"/>
          <w:sz w:val="22"/>
          <w:u w:val="single"/>
        </w:rPr>
        <w:t>pro rata</w:t>
      </w:r>
      <w:r>
        <w:rPr>
          <w:rFonts w:ascii="Aptos" w:hAnsi="Aptos"/>
          <w:sz w:val="24"/>
        </w:rPr>
        <w:t xml:space="preserve"> </w:t>
      </w:r>
      <w:r>
        <w:rPr>
          <w:rFonts w:ascii="Times New Roman;Times;serif" w:hAnsi="Times New Roman;Times;serif"/>
          <w:sz w:val="22"/>
        </w:rPr>
        <w:t xml:space="preserve">in accordance with the Revolving Credit Commitments without giving effect to </w:t>
      </w:r>
      <w:r>
        <w:rPr>
          <w:rFonts w:ascii="Times New Roman;Times;serif" w:hAnsi="Times New Roman;Times;serif"/>
          <w:sz w:val="22"/>
          <w:u w:val="single"/>
        </w:rPr>
        <w:t>Section 3.8(a)(iv)</w:t>
      </w:r>
      <w:r>
        <w:rPr>
          <w:rFonts w:ascii="Aptos" w:hAnsi="Aptos"/>
          <w:sz w:val="24"/>
        </w:rPr>
        <w:t xml:space="preserve"> </w:t>
      </w:r>
      <w:r>
        <w:rPr>
          <w:rFonts w:ascii="Times New Roman;Times;serif" w:hAnsi="Times New Roman;Times;serif"/>
          <w:sz w:val="22"/>
        </w:rPr>
        <w:t xml:space="preserve">hereof. Any payments, prepayments or other amounts paid or payable to a Defaulting Lender that are applied (or held) to pay amounts owed by a Defaulting Lender or to post Cash Collateral pursuant to this </w:t>
      </w:r>
      <w:r>
        <w:rPr>
          <w:rFonts w:ascii="Times New Roman;Times;serif" w:hAnsi="Times New Roman;Times;serif"/>
          <w:sz w:val="22"/>
          <w:u w:val="single"/>
        </w:rPr>
        <w:t>Section 3.8(a)(ii)</w:t>
      </w:r>
      <w:r>
        <w:rPr>
          <w:rFonts w:ascii="Aptos" w:hAnsi="Aptos"/>
          <w:sz w:val="24"/>
        </w:rPr>
        <w:t xml:space="preserve"> </w:t>
      </w:r>
      <w:r>
        <w:rPr>
          <w:rFonts w:ascii="Times New Roman;Times;serif" w:hAnsi="Times New Roman;Times;serif"/>
          <w:sz w:val="22"/>
        </w:rPr>
        <w:t>shall be deemed paid to and redirected by such Defaulting Lender, and each Lender irrevocably consents hereto.</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79</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720" w:right="0" w:hanging="0"/>
        <w:jc w:val="both"/>
        <w:rPr>
          <w:rFonts w:ascii="Aptos" w:hAnsi="Aptos"/>
          <w:sz w:val="24"/>
        </w:rPr>
      </w:pPr>
      <w:r>
        <w:rPr>
          <w:rFonts w:ascii="Times New Roman;Times;serif" w:hAnsi="Times New Roman;Times;serif"/>
          <w:sz w:val="22"/>
        </w:rPr>
        <w:t>(iii)</w:t>
      </w:r>
      <w:r>
        <w:rPr>
          <w:rFonts w:ascii="Times New Roman;Times;serif" w:hAnsi="Times New Roman;Times;serif"/>
          <w:sz w:val="22"/>
          <w:u w:val="single"/>
        </w:rPr>
        <w:t>Certain Fees</w:t>
      </w:r>
      <w:r>
        <w:rPr>
          <w:rFonts w:ascii="Times New Roman;Times;serif" w:hAnsi="Times New Roman;Times;serif"/>
          <w:sz w:val="22"/>
        </w:rPr>
        <w:t>.</w:t>
      </w:r>
    </w:p>
    <w:p>
      <w:pPr>
        <w:pStyle w:val="TextBody"/>
        <w:bidi w:val="0"/>
        <w:spacing w:lineRule="auto" w:line="285" w:before="0" w:after="240"/>
        <w:ind w:left="1440" w:right="0" w:hanging="0"/>
        <w:jc w:val="both"/>
        <w:rPr>
          <w:rFonts w:ascii="Aptos" w:hAnsi="Aptos"/>
          <w:sz w:val="24"/>
        </w:rPr>
      </w:pPr>
      <w:r>
        <w:rPr>
          <w:rFonts w:ascii="Times New Roman;Times;serif" w:hAnsi="Times New Roman;Times;serif"/>
          <w:sz w:val="24"/>
        </w:rPr>
        <w:t>(A)</w:t>
      </w:r>
      <w:r>
        <w:rPr>
          <w:rFonts w:ascii="Times New Roman;Times;serif" w:hAnsi="Times New Roman;Times;serif"/>
          <w:sz w:val="22"/>
        </w:rPr>
        <w:t xml:space="preserve">No Defaulting Lender shall be entitled to receive any commitment fees pursuant to </w:t>
      </w:r>
      <w:r>
        <w:rPr>
          <w:rFonts w:ascii="Times New Roman;Times;serif" w:hAnsi="Times New Roman;Times;serif"/>
          <w:sz w:val="22"/>
          <w:u w:val="single"/>
        </w:rPr>
        <w:t>Section 2.8(a)</w:t>
      </w:r>
      <w:r>
        <w:rPr>
          <w:rFonts w:ascii="Aptos" w:hAnsi="Aptos"/>
          <w:sz w:val="24"/>
        </w:rPr>
        <w:t xml:space="preserve"> </w:t>
      </w:r>
      <w:r>
        <w:rPr>
          <w:rFonts w:ascii="Times New Roman;Times;serif" w:hAnsi="Times New Roman;Times;serif"/>
          <w:sz w:val="22"/>
        </w:rPr>
        <w:t>for any period during which that Lender is a Defaulting Lender (and the Borrowers shall not be required to pay any such fee that otherwise would have been required to have been paid to that Defaulting Lender).</w:t>
      </w:r>
    </w:p>
    <w:p>
      <w:pPr>
        <w:pStyle w:val="TextBody"/>
        <w:bidi w:val="0"/>
        <w:spacing w:lineRule="auto" w:line="285" w:before="0" w:after="240"/>
        <w:ind w:left="1440" w:right="0" w:hanging="0"/>
        <w:jc w:val="both"/>
        <w:rPr>
          <w:rFonts w:ascii="Aptos" w:hAnsi="Aptos"/>
          <w:sz w:val="24"/>
        </w:rPr>
      </w:pPr>
      <w:r>
        <w:rPr>
          <w:rFonts w:ascii="Times New Roman;Times;serif" w:hAnsi="Times New Roman;Times;serif"/>
          <w:sz w:val="24"/>
        </w:rPr>
        <w:t>(B)</w:t>
      </w:r>
      <w:r>
        <w:rPr>
          <w:rFonts w:ascii="Times New Roman;Times;serif" w:hAnsi="Times New Roman;Times;serif"/>
          <w:sz w:val="22"/>
        </w:rPr>
        <w:t xml:space="preserve">Each Defaulting Lender shall be entitled to receive letter of credit commissions pursuant to </w:t>
      </w:r>
      <w:r>
        <w:rPr>
          <w:rFonts w:ascii="Times New Roman;Times;serif" w:hAnsi="Times New Roman;Times;serif"/>
          <w:sz w:val="22"/>
          <w:u w:val="single"/>
        </w:rPr>
        <w:t>Section 2.2(b)(iii)</w:t>
      </w:r>
      <w:r>
        <w:rPr>
          <w:rFonts w:ascii="Aptos" w:hAnsi="Aptos"/>
          <w:sz w:val="24"/>
        </w:rPr>
        <w:t xml:space="preserve"> </w:t>
      </w:r>
      <w:r>
        <w:rPr>
          <w:rFonts w:ascii="Times New Roman;Times;serif" w:hAnsi="Times New Roman;Times;serif"/>
          <w:sz w:val="22"/>
        </w:rPr>
        <w:t>for any period during which that Lender is a Defaulting Lender only to the extent allocable to its Revolving Credit Commitment Percentage of the stated amount of Letters of Credit for which it has provided Cash Collateral pursuant to Section 3.7.</w:t>
      </w:r>
    </w:p>
    <w:p>
      <w:pPr>
        <w:pStyle w:val="TextBody"/>
        <w:bidi w:val="0"/>
        <w:spacing w:lineRule="auto" w:line="285" w:before="0" w:after="0"/>
        <w:ind w:left="1440" w:right="0" w:hanging="0"/>
        <w:jc w:val="both"/>
        <w:rPr>
          <w:rFonts w:ascii="Aptos" w:hAnsi="Aptos"/>
          <w:sz w:val="24"/>
        </w:rPr>
      </w:pPr>
      <w:r>
        <w:rPr>
          <w:rFonts w:ascii="Times New Roman;Times;serif" w:hAnsi="Times New Roman;Times;serif"/>
          <w:sz w:val="24"/>
        </w:rPr>
        <w:t>(C)</w:t>
      </w:r>
      <w:r>
        <w:rPr>
          <w:rFonts w:ascii="Times New Roman;Times;serif" w:hAnsi="Times New Roman;Times;serif"/>
          <w:sz w:val="22"/>
        </w:rPr>
        <w:t>With respect to any commitment fee or letter of credit commission not required to be paid to any Defaulting Lender pursuant to clause (A) or (B) above, the Borrowers shall (1) pay to each Non-Defaulting Lender that portion of any such fee otherwise payable to such Defaulting Lender with respect to such Defaulting Lender’s participation in Letter of Credit Exposure or Swing Loans that has been reallocated to such Non-Defaulting Lender pursuant to clause (iv) below, (2) pay to each applicable Fronting Lender and Swing Line Lender, as applicable, the amount of any such fee otherwise payable to such Defaulting Lender to the extent allocable to such Fronting Lender’s or Swing Line Lender’s Fronting Exposure to such Defaulting Lender, and (3) not be required to pay the remaining amount of any such fee.</w:t>
      </w:r>
    </w:p>
    <w:p>
      <w:pPr>
        <w:pStyle w:val="TextBody"/>
        <w:bidi w:val="0"/>
        <w:spacing w:lineRule="auto" w:line="285" w:before="0" w:after="240"/>
        <w:ind w:left="720" w:right="0" w:hanging="0"/>
        <w:jc w:val="both"/>
        <w:rPr>
          <w:rFonts w:ascii="Aptos" w:hAnsi="Aptos"/>
          <w:sz w:val="24"/>
        </w:rPr>
      </w:pPr>
      <w:r>
        <w:rPr>
          <w:rFonts w:ascii="Times New Roman;Times;serif" w:hAnsi="Times New Roman;Times;serif"/>
          <w:sz w:val="22"/>
        </w:rPr>
        <w:t>(iv)</w:t>
      </w:r>
      <w:r>
        <w:rPr>
          <w:rFonts w:ascii="Times New Roman;Times;serif" w:hAnsi="Times New Roman;Times;serif"/>
          <w:sz w:val="22"/>
          <w:u w:val="single"/>
        </w:rPr>
        <w:t>Reallocation of Participations to Reduce Fronting Exposure</w:t>
      </w:r>
      <w:r>
        <w:rPr>
          <w:rFonts w:ascii="Times New Roman;Times;serif" w:hAnsi="Times New Roman;Times;serif"/>
          <w:sz w:val="22"/>
        </w:rPr>
        <w:t xml:space="preserve">.  All or any part of such Defaulting Lender’s participation in Letter of Credit Exposure and Swing Loans shall be reallocated among the Non-Defaulting Lenders in accordance with their respective Revolving Credit Commitment Percentages (calculated without regard to such Defaulting Lender’s Revolving Credit Commitment) but only to the extent that such reallocation does not cause the aggregate Revolving Credit Exposure of any Non-Defaulting Lender to exceed such Non-Defaulting Lender’s Revolving Credit Commitment.  Subject to </w:t>
      </w:r>
      <w:r>
        <w:rPr>
          <w:rFonts w:ascii="Times New Roman;Times;serif" w:hAnsi="Times New Roman;Times;serif"/>
          <w:sz w:val="22"/>
          <w:u w:val="single"/>
        </w:rPr>
        <w:t>Section 11.23</w:t>
      </w:r>
      <w:r>
        <w:rPr>
          <w:rFonts w:ascii="Aptos" w:hAnsi="Aptos"/>
          <w:sz w:val="24"/>
        </w:rPr>
        <w:t xml:space="preserve"> </w:t>
      </w:r>
      <w:r>
        <w:rPr>
          <w:rFonts w:ascii="Times New Roman;Times;serif" w:hAnsi="Times New Roman;Times;serif"/>
          <w:sz w:val="22"/>
        </w:rPr>
        <w:t>hereof,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pStyle w:val="TextBody"/>
        <w:bidi w:val="0"/>
        <w:spacing w:lineRule="auto" w:line="285" w:before="0" w:after="0"/>
        <w:ind w:left="720" w:right="0" w:hanging="0"/>
        <w:jc w:val="both"/>
        <w:rPr>
          <w:rFonts w:ascii="Aptos" w:hAnsi="Aptos"/>
          <w:sz w:val="24"/>
        </w:rPr>
      </w:pPr>
      <w:r>
        <w:rPr>
          <w:rFonts w:ascii="Times New Roman;Times;serif" w:hAnsi="Times New Roman;Times;serif"/>
          <w:sz w:val="22"/>
        </w:rPr>
        <w:t>(v)</w:t>
      </w:r>
      <w:r>
        <w:rPr>
          <w:rFonts w:ascii="Times New Roman;Times;serif" w:hAnsi="Times New Roman;Times;serif"/>
          <w:sz w:val="22"/>
          <w:u w:val="single"/>
        </w:rPr>
        <w:t>Cash Collateral, Repayment of Swing Loans</w:t>
      </w:r>
      <w:r>
        <w:rPr>
          <w:rFonts w:ascii="Times New Roman;Times;serif" w:hAnsi="Times New Roman;Times;serif"/>
          <w:sz w:val="22"/>
        </w:rPr>
        <w:t xml:space="preserve">.  If the reallocation described in clause (iv) above cannot, or can only partially, be effected, the Borrowers shall, without prejudice to any right or remedy available to it hereunder or under law, within two Business Days following notice from Agent (x) </w:t>
      </w:r>
      <w:r>
        <w:rPr>
          <w:rFonts w:ascii="Times New Roman;Times;serif" w:hAnsi="Times New Roman;Times;serif"/>
          <w:i/>
          <w:sz w:val="22"/>
        </w:rPr>
        <w:t>first</w:t>
      </w:r>
      <w:r>
        <w:rPr>
          <w:rFonts w:ascii="Times New Roman;Times;serif" w:hAnsi="Times New Roman;Times;serif"/>
          <w:sz w:val="22"/>
        </w:rPr>
        <w:t xml:space="preserve">, repay Swing Loans in an amount equal to the Swing Line Lenders’ Fronting Exposure and (y) </w:t>
      </w:r>
      <w:r>
        <w:rPr>
          <w:rFonts w:ascii="Times New Roman;Times;serif" w:hAnsi="Times New Roman;Times;serif"/>
          <w:i/>
          <w:sz w:val="22"/>
        </w:rPr>
        <w:t>second</w:t>
      </w:r>
      <w:r>
        <w:rPr>
          <w:rFonts w:ascii="Times New Roman;Times;serif" w:hAnsi="Times New Roman;Times;serif"/>
          <w:sz w:val="22"/>
        </w:rPr>
        <w:t xml:space="preserve">, Cash Collateralize the Fronting Lenders’ Fronting Exposure in accordance with the procedures set forth in </w:t>
      </w:r>
      <w:r>
        <w:rPr>
          <w:rFonts w:ascii="Times New Roman;Times;serif" w:hAnsi="Times New Roman;Times;serif"/>
          <w:sz w:val="22"/>
          <w:u w:val="single"/>
        </w:rPr>
        <w:t>Section 3.7</w:t>
      </w:r>
      <w:r>
        <w:rPr>
          <w:rFonts w:ascii="Times New Roman;Times;serif" w:hAnsi="Times New Roman;Times;serif"/>
          <w:sz w:val="22"/>
        </w:rPr>
        <w:t>.</w:t>
      </w:r>
    </w:p>
    <w:p>
      <w:pPr>
        <w:pStyle w:val="TextBody"/>
        <w:bidi w:val="0"/>
        <w:spacing w:lineRule="auto" w:line="285"/>
        <w:ind w:left="0" w:right="0" w:hanging="0"/>
        <w:jc w:val="both"/>
        <w:rPr>
          <w:rFonts w:ascii="Aptos" w:hAnsi="Aptos"/>
          <w:sz w:val="24"/>
        </w:rPr>
      </w:pPr>
      <w:r>
        <w:rPr>
          <w:rFonts w:ascii="Times New Roman;Times;serif" w:hAnsi="Times New Roman;Times;serif"/>
          <w:sz w:val="22"/>
        </w:rPr>
        <w:t>(b)</w:t>
      </w:r>
      <w:r>
        <w:rPr>
          <w:rFonts w:ascii="Times New Roman;Times;serif" w:hAnsi="Times New Roman;Times;serif"/>
          <w:sz w:val="22"/>
          <w:u w:val="single"/>
        </w:rPr>
        <w:t>Defaulting Lender Cure</w:t>
      </w:r>
      <w:r>
        <w:rPr>
          <w:rFonts w:ascii="Times New Roman;Times;serif" w:hAnsi="Times New Roman;Times;serif"/>
          <w:sz w:val="22"/>
        </w:rPr>
        <w:t xml:space="preserve">.  If the Administrative Borrower, Agent, the Fronting Lenders and the Swing Line Lender agree in writing that a Lender is no longer a Defaulting Lender, Agent will so notify the parties hereto, whereupon as of the effective date specified in such notice and subject to any conditions set forth therein (which may include arrangements with respect to any Cash Collateral), such Lender will, to the extent applicable, purchase at par that portion of outstanding Loans of the other Lenders or take such other actions as Agent may determine to be necessary to cause the Loans and funded and unfunded participations in Letters of Credit and Swing Loans to be held </w:t>
      </w:r>
      <w:r>
        <w:rPr>
          <w:rFonts w:ascii="Times New Roman;Times;serif" w:hAnsi="Times New Roman;Times;serif"/>
          <w:sz w:val="22"/>
          <w:u w:val="single"/>
        </w:rPr>
        <w:t>pro rata</w:t>
      </w:r>
      <w:r>
        <w:rPr>
          <w:rFonts w:ascii="Aptos" w:hAnsi="Aptos"/>
          <w:sz w:val="24"/>
        </w:rPr>
        <w:t xml:space="preserve"> </w:t>
      </w:r>
      <w:r>
        <w:rPr>
          <w:rFonts w:ascii="Times New Roman;Times;serif" w:hAnsi="Times New Roman;Times;serif"/>
          <w:sz w:val="22"/>
        </w:rPr>
        <w:t xml:space="preserve">by the Lenders in accordance with the Commitments under the applicable credit facility hereunder (without giving effect to </w:t>
      </w:r>
      <w:r>
        <w:rPr>
          <w:rFonts w:ascii="Times New Roman;Times;serif" w:hAnsi="Times New Roman;Times;serif"/>
          <w:sz w:val="22"/>
          <w:u w:val="single"/>
        </w:rPr>
        <w:t>Section 3.8(a)(iv)</w:t>
      </w:r>
      <w:r>
        <w:rPr>
          <w:rFonts w:ascii="Times New Roman;Times;serif" w:hAnsi="Times New Roman;Times;serif"/>
          <w:sz w:val="22"/>
        </w:rPr>
        <w:t xml:space="preserve">),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80</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ptos" w:hAnsi="Aptos"/>
          <w:sz w:val="24"/>
        </w:rPr>
      </w:pPr>
      <w:r>
        <w:rPr>
          <w:rFonts w:ascii="Times New Roman;Times;serif" w:hAnsi="Times New Roman;Times;serif"/>
          <w:sz w:val="22"/>
        </w:rPr>
        <w:t xml:space="preserve">whereupon such Lender will cease to be a Defaulting Lender;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 xml:space="preserve">that no adjustments will be made retroactively with respect to fees accrued or payments made by or on behalf of the Borrowers while that Lender was a Defaulting Lender; and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further</w:t>
      </w:r>
      <w:r>
        <w:rPr>
          <w:rFonts w:ascii="Times New Roman;Times;serif" w:hAnsi="Times New Roman;Times;serif"/>
          <w:sz w:val="22"/>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spacing w:lineRule="auto" w:line="285" w:before="0" w:after="240"/>
        <w:ind w:left="0" w:right="0" w:hanging="0"/>
        <w:jc w:val="center"/>
        <w:rPr>
          <w:rFonts w:ascii="Aptos" w:hAnsi="Aptos"/>
          <w:sz w:val="24"/>
        </w:rPr>
      </w:pPr>
      <w:r>
        <w:rPr>
          <w:rFonts w:ascii="Times New Roman;Times;serif" w:hAnsi="Times New Roman;Times;serif"/>
          <w:caps/>
          <w:sz w:val="22"/>
        </w:rPr>
        <w:t>ARTICLE IV.</w:t>
      </w:r>
      <w:r>
        <w:rPr>
          <w:rFonts w:ascii="Aptos" w:hAnsi="Aptos"/>
          <w:caps/>
          <w:sz w:val="24"/>
        </w:rPr>
        <w:t xml:space="preserve"> </w:t>
      </w:r>
      <w:bookmarkStart w:id="1855" w:name="_Toc236844320"/>
      <w:bookmarkStart w:id="1856" w:name="_Toc172896666"/>
      <w:bookmarkEnd w:id="1855"/>
      <w:bookmarkEnd w:id="1856"/>
      <w:r>
        <w:rPr>
          <w:rFonts w:ascii="Times New Roman;Times;serif" w:hAnsi="Times New Roman;Times;serif"/>
          <w:caps/>
          <w:sz w:val="22"/>
        </w:rPr>
        <w:t>CONDITIONS PRECEDENT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4.1</w:t>
      </w:r>
      <w:bookmarkStart w:id="1857" w:name="_Toc236844321"/>
      <w:bookmarkStart w:id="1858" w:name="_Toc172896667"/>
      <w:bookmarkEnd w:id="1857"/>
      <w:bookmarkEnd w:id="1858"/>
      <w:r>
        <w:rPr>
          <w:rFonts w:ascii="Times New Roman;Times;serif" w:hAnsi="Times New Roman;Times;serif"/>
          <w:sz w:val="22"/>
          <w:u w:val="single"/>
        </w:rPr>
        <w:t>Conditions to Each Credit Event</w:t>
      </w:r>
      <w:r>
        <w:rPr>
          <w:rFonts w:ascii="Times New Roman;Times;serif" w:hAnsi="Times New Roman;Times;serif"/>
          <w:sz w:val="22"/>
        </w:rPr>
        <w:t xml:space="preserve">.  Subject to </w:t>
      </w:r>
      <w:r>
        <w:rPr>
          <w:rFonts w:ascii="Times New Roman;Times;serif" w:hAnsi="Times New Roman;Times;serif"/>
          <w:sz w:val="22"/>
          <w:u w:val="single"/>
        </w:rPr>
        <w:t>Section 2.9(d)</w:t>
      </w:r>
      <w:r>
        <w:rPr>
          <w:rFonts w:ascii="Aptos" w:hAnsi="Aptos"/>
          <w:sz w:val="24"/>
        </w:rPr>
        <w:t xml:space="preserve"> </w:t>
      </w:r>
      <w:r>
        <w:rPr>
          <w:rFonts w:ascii="Times New Roman;Times;serif" w:hAnsi="Times New Roman;Times;serif"/>
          <w:sz w:val="22"/>
        </w:rPr>
        <w:t>hereof with respect to Limited Conditionality Acquisitions, the obligation of the Lenders, the Fronting Lender and the Swing Line Lender to participate in any Credit Event (other than the conversion of any Loan to a Transitioned RFR Loan or the continuation of any Transitioned RFR Loan) shall be conditioned, in the case of each such Credit Event, upon the following:</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 xml:space="preserve">(a)all conditions precedent listed in </w:t>
      </w:r>
      <w:r>
        <w:rPr>
          <w:rFonts w:ascii="Times New Roman;Times;serif" w:hAnsi="Times New Roman;Times;serif"/>
          <w:sz w:val="22"/>
          <w:u w:val="single"/>
        </w:rPr>
        <w:t>Section 4.2</w:t>
      </w:r>
      <w:r>
        <w:rPr>
          <w:rFonts w:ascii="Aptos" w:hAnsi="Aptos"/>
          <w:sz w:val="24"/>
        </w:rPr>
        <w:t xml:space="preserve"> </w:t>
      </w:r>
      <w:r>
        <w:rPr>
          <w:rFonts w:ascii="Times New Roman;Times;serif" w:hAnsi="Times New Roman;Times;serif"/>
          <w:sz w:val="22"/>
        </w:rPr>
        <w:t>hereof required to be satisfied prior to the first Credit Event shall have been satisfied prior to or as of the first Credit Event;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 xml:space="preserve">(b)Administrative Borrower shall have submitted a Notice of Loan (or with respect to a Letter of Credit, complied with the provisions of </w:t>
      </w:r>
      <w:r>
        <w:rPr>
          <w:rFonts w:ascii="Times New Roman;Times;serif" w:hAnsi="Times New Roman;Times;serif"/>
          <w:sz w:val="22"/>
          <w:u w:val="single"/>
        </w:rPr>
        <w:t>Section 2.2(b)(ii)</w:t>
      </w:r>
      <w:r>
        <w:rPr>
          <w:rFonts w:ascii="Aptos" w:hAnsi="Aptos"/>
          <w:sz w:val="24"/>
        </w:rPr>
        <w:t xml:space="preserve"> </w:t>
      </w:r>
      <w:r>
        <w:rPr>
          <w:rFonts w:ascii="Times New Roman;Times;serif" w:hAnsi="Times New Roman;Times;serif"/>
          <w:sz w:val="22"/>
        </w:rPr>
        <w:t xml:space="preserve">hereof) and otherwise complied with </w:t>
      </w:r>
      <w:r>
        <w:rPr>
          <w:rFonts w:ascii="Times New Roman;Times;serif" w:hAnsi="Times New Roman;Times;serif"/>
          <w:sz w:val="22"/>
          <w:u w:val="single"/>
        </w:rPr>
        <w:t>Section 2.5</w:t>
      </w:r>
      <w:r>
        <w:rPr>
          <w:rFonts w:ascii="Aptos" w:hAnsi="Aptos"/>
          <w:sz w:val="24"/>
        </w:rPr>
        <w:t xml:space="preserve"> </w:t>
      </w:r>
      <w:r>
        <w:rPr>
          <w:rFonts w:ascii="Times New Roman;Times;serif" w:hAnsi="Times New Roman;Times;serif"/>
          <w:sz w:val="22"/>
        </w:rPr>
        <w:t>hereof;</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(c)no Default or Event of Default shall then exist or immediately after such Credit Event would exist;</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(d)no condition or event shall have occurred that Agent or the Required Lenders determine has or is reasonably likely to have a Material Adverse Effect;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 xml:space="preserve">(e)each of the representations and warranties contained in </w:t>
      </w:r>
      <w:r>
        <w:rPr>
          <w:rFonts w:ascii="Times New Roman;Times;serif" w:hAnsi="Times New Roman;Times;serif"/>
          <w:sz w:val="22"/>
          <w:u w:val="single"/>
        </w:rPr>
        <w:t>Article VI</w:t>
      </w:r>
      <w:r>
        <w:rPr>
          <w:rFonts w:ascii="Aptos" w:hAnsi="Aptos"/>
          <w:sz w:val="24"/>
        </w:rPr>
        <w:t xml:space="preserve"> </w:t>
      </w:r>
      <w:r>
        <w:rPr>
          <w:rFonts w:ascii="Times New Roman;Times;serif" w:hAnsi="Times New Roman;Times;serif"/>
          <w:sz w:val="22"/>
        </w:rPr>
        <w:t>hereof shall be true in all material respects as if made on and as of the date of such Credit Event, except to the extent that any thereof expressly relate to an earlier date; and</w:t>
      </w:r>
    </w:p>
    <w:p>
      <w:pPr>
        <w:pStyle w:val="TextBody"/>
        <w:bidi w:val="0"/>
        <w:spacing w:lineRule="auto" w:line="285"/>
        <w:ind w:left="0" w:right="0" w:hanging="0"/>
        <w:jc w:val="both"/>
        <w:rPr>
          <w:rFonts w:ascii="Times New Roman;Times;serif" w:hAnsi="Times New Roman;Times;serif"/>
          <w:sz w:val="22"/>
        </w:rPr>
      </w:pPr>
      <w:r>
        <w:rPr>
          <w:rFonts w:ascii="Times New Roman;Times;serif" w:hAnsi="Times New Roman;Times;serif"/>
          <w:sz w:val="22"/>
        </w:rPr>
        <w:t>(f)with respect to each request by Borrowers for an Alternate Currency Loan or for a Letter of Credit to be issued in an Alternate Currency, there shall not have occurred any change in any national or international financial, political or economic conditions or currency exchange rates or exchange controls that, in the reasonable opinion of Agent and the Required Lenders (and the Fronting Lender, with respect to any Letter of Credit to be issued in an Alternate Currency) would make it impracticable for such Loan or Letter of Credit to be denominated in the relevant Alternate Currency.</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Each request by Administrative Borrower or any other Borrower for a Credit Event (other than the conversion of any Loan to a Transitioned RFR Loan or the continuation of any Transitioned RFR Loan) shall be deemed to be a representation and warranty by Borrowers as of the date of such request as to the satisfaction of the conditions precedent specified in subsections (c), (d), (e) and (f) above.</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4.2</w:t>
      </w:r>
      <w:bookmarkStart w:id="1859" w:name="_Toc236844322"/>
      <w:bookmarkStart w:id="1860" w:name="_Toc172896668"/>
      <w:bookmarkEnd w:id="1859"/>
      <w:bookmarkEnd w:id="1860"/>
      <w:r>
        <w:rPr>
          <w:rFonts w:ascii="Times New Roman;Times;serif" w:hAnsi="Times New Roman;Times;serif"/>
          <w:sz w:val="22"/>
          <w:u w:val="single"/>
        </w:rPr>
        <w:t>Conditions to the First Credit Event</w:t>
      </w:r>
      <w:r>
        <w:rPr>
          <w:rFonts w:ascii="Times New Roman;Times;serif" w:hAnsi="Times New Roman;Times;serif"/>
          <w:sz w:val="22"/>
        </w:rPr>
        <w:t>.  US Borrower shall cause the following conditions to be satisfied on or prior to the Closing Date.  The obligation of the Lenders, the Fronting Lender and the Swing Line Lender to participate in the first Credit Event is subject to US Borrower satisfying each of the following conditions prior to or concurrently with such Credit Event: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(a)</w:t>
      </w:r>
      <w:r>
        <w:rPr>
          <w:rFonts w:ascii="Times New Roman;Times;serif" w:hAnsi="Times New Roman;Times;serif"/>
          <w:sz w:val="22"/>
          <w:u w:val="single"/>
        </w:rPr>
        <w:t>Notes as Requested</w:t>
      </w:r>
      <w:r>
        <w:rPr>
          <w:rFonts w:ascii="Times New Roman;Times;serif" w:hAnsi="Times New Roman;Times;serif"/>
          <w:sz w:val="22"/>
        </w:rPr>
        <w:t>.  US Borrower shall have executed and delivered to (i) each Lender requesting a US Borrower Revolving Credit Note such Lender’s US Borrower Revolving Credit Note, and (ii) the Swing Line Lender the Swing Line Note, if requested by the Swing Line Lender.</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81</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(b)</w:t>
      </w:r>
      <w:r>
        <w:rPr>
          <w:rFonts w:ascii="Times New Roman;Times;serif" w:hAnsi="Times New Roman;Times;serif"/>
          <w:sz w:val="22"/>
          <w:u w:val="single"/>
        </w:rPr>
        <w:t>Guaranties of Payment</w:t>
      </w:r>
      <w:r>
        <w:rPr>
          <w:rFonts w:ascii="Times New Roman;Times;serif" w:hAnsi="Times New Roman;Times;serif"/>
          <w:sz w:val="22"/>
        </w:rPr>
        <w:t>.  Each Domestic Guarantor of Payment shall have executed and delivered to Agent, for the benefit of the Secured Parties, a Guaranty of Payment, in form and substance satisfactory to Agent and the Lenders.</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(c)</w:t>
      </w:r>
      <w:r>
        <w:rPr>
          <w:rFonts w:ascii="Times New Roman;Times;serif" w:hAnsi="Times New Roman;Times;serif"/>
          <w:sz w:val="22"/>
          <w:u w:val="single"/>
        </w:rPr>
        <w:t>Security Agreements</w:t>
      </w:r>
      <w:r>
        <w:rPr>
          <w:rFonts w:ascii="Times New Roman;Times;serif" w:hAnsi="Times New Roman;Times;serif"/>
          <w:sz w:val="22"/>
        </w:rPr>
        <w:t>.  US Borrower and each Domestic Guarantor of Payment shall have executed and delivered to Agent, for the benefit of the Secured Parties, a Security Agreement and such other documents or instruments, as may be reasonably required by Agent to create or perfect the Liens of Agent, for the benefit of the Secured Parties, in the assets of such Credit Party, all to be in form and substance reasonably satisfactory to Agent and the Lenders.</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(d)</w:t>
      </w:r>
      <w:r>
        <w:rPr>
          <w:rFonts w:ascii="Times New Roman;Times;serif" w:hAnsi="Times New Roman;Times;serif"/>
          <w:sz w:val="22"/>
          <w:u w:val="single"/>
        </w:rPr>
        <w:t>Pledge Agreements</w:t>
      </w:r>
      <w:r>
        <w:rPr>
          <w:rFonts w:ascii="Times New Roman;Times;serif" w:hAnsi="Times New Roman;Times;serif"/>
          <w:sz w:val="22"/>
        </w:rPr>
        <w:t>.  US Borrower and each Domestic Subsidiary that has a Foreign Subsidiary shall have (i) executed and delivered to Agent, for the benefit of the Secured Parties, a Security Agreement, in form and substance satisfactory to Agent, with respect to (A) sixty-five percent (65%) of the voting shares of capital stock or other voting equity interests of each First-Tier Material Foreign Subsidiary, and (B) one hundred percent (100%) of all non-voting shares of capital stock or other non-voting equity interests of each First-Tier Material Foreign Subsidiary, (ii) executed and delivered to Agent, for the benefit of the Secured Parties, appropriate transfer powers for each of the pledged securities with respect thereto, and (iii) delivered to Agent, for the benefit of the Secured Parties, such pledged securities (to the extent such pledged securities are certificated).</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(e)</w:t>
      </w:r>
      <w:r>
        <w:rPr>
          <w:rFonts w:ascii="Times New Roman;Times;serif" w:hAnsi="Times New Roman;Times;serif"/>
          <w:sz w:val="22"/>
          <w:u w:val="single"/>
        </w:rPr>
        <w:t>Lien Searches</w:t>
      </w:r>
      <w:r>
        <w:rPr>
          <w:rFonts w:ascii="Times New Roman;Times;serif" w:hAnsi="Times New Roman;Times;serif"/>
          <w:sz w:val="22"/>
        </w:rPr>
        <w:t xml:space="preserve">.  With respect to the property owned or leased by each Credit Party, and any other property securing the Obligations, US Borrower shall have caused to be delivered to Agent (i) the results of Uniform Commercial Code lien searches, satisfactory to Agent and the Lenders, (ii) the results of federal and state tax lien and judicial lien searches, satisfactory to Agent and the Lenders, and (iii) Uniform Commercial Code termination statements reflecting termination of all U.C.C. Financing Statements previously filed by any Person and not expressly permitted pursuant to </w:t>
      </w:r>
      <w:r>
        <w:rPr>
          <w:rFonts w:ascii="Times New Roman;Times;serif" w:hAnsi="Times New Roman;Times;serif"/>
          <w:sz w:val="22"/>
          <w:u w:val="single"/>
        </w:rPr>
        <w:t>Section 5.9</w:t>
      </w:r>
      <w:r>
        <w:rPr>
          <w:rFonts w:ascii="Aptos" w:hAnsi="Aptos"/>
          <w:sz w:val="24"/>
        </w:rPr>
        <w:t xml:space="preserve"> </w:t>
      </w:r>
      <w:r>
        <w:rPr>
          <w:rFonts w:ascii="Times New Roman;Times;serif" w:hAnsi="Times New Roman;Times;serif"/>
          <w:sz w:val="22"/>
        </w:rPr>
        <w:t>hereof.</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(f)</w:t>
      </w:r>
      <w:r>
        <w:rPr>
          <w:rFonts w:ascii="Times New Roman;Times;serif" w:hAnsi="Times New Roman;Times;serif"/>
          <w:sz w:val="22"/>
          <w:u w:val="single"/>
        </w:rPr>
        <w:t>Officer’s Certificate, Resolutions, Organizational Documents</w:t>
      </w:r>
      <w:r>
        <w:rPr>
          <w:rFonts w:ascii="Times New Roman;Times;serif" w:hAnsi="Times New Roman;Times;serif"/>
          <w:sz w:val="22"/>
        </w:rPr>
        <w:t>.  US Borrower shall have delivered to Agent an officer’s certificate (or comparable domestic or foreign documents) certifying the names of the officers of each Credit Party authorized to sign the Loan Documents, together with the true signatures of such officers and certified copies of (i) the resolutions of the board of directors (or comparable domestic or foreign documents) of such Credit Party evidencing approval of the execution and delivery of the Loan Documents and the execution of other Related Writings to which such Credit Party is a party, and (ii) the Organizational Documents of such Credit Party.</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(g)</w:t>
      </w:r>
      <w:r>
        <w:rPr>
          <w:rFonts w:ascii="Times New Roman;Times;serif" w:hAnsi="Times New Roman;Times;serif"/>
          <w:sz w:val="22"/>
          <w:u w:val="single"/>
        </w:rPr>
        <w:t>Good Standing and Full Force and Effect Certificates</w:t>
      </w:r>
      <w:r>
        <w:rPr>
          <w:rFonts w:ascii="Times New Roman;Times;serif" w:hAnsi="Times New Roman;Times;serif"/>
          <w:sz w:val="22"/>
        </w:rPr>
        <w:t>.  US Borrower shall have delivered to Agent a good standing certificate or full force and effect certificate (or comparable document, if neither certificate is available in the applicable jurisdiction), as the case may be, for each Credit Party, issued on or about the Closing Date by the Secretary of State or comparable entity in the state or states where such Credit Party is incorporated or formed.</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(h)</w:t>
      </w:r>
      <w:r>
        <w:rPr>
          <w:rFonts w:ascii="Times New Roman;Times;serif" w:hAnsi="Times New Roman;Times;serif"/>
          <w:sz w:val="22"/>
          <w:u w:val="single"/>
        </w:rPr>
        <w:t>Legal Opinion</w:t>
      </w:r>
      <w:r>
        <w:rPr>
          <w:rFonts w:ascii="Times New Roman;Times;serif" w:hAnsi="Times New Roman;Times;serif"/>
          <w:sz w:val="22"/>
        </w:rPr>
        <w:t>.  US Borrower shall have delivered to Agent an opinion of counsel for US Borrower and each Domestic Guarantor of Payment, in form and substance reasonably satisfactory to Agent and the Lenders.</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(i)</w:t>
      </w:r>
      <w:r>
        <w:rPr>
          <w:rFonts w:ascii="Times New Roman;Times;serif" w:hAnsi="Times New Roman;Times;serif"/>
          <w:sz w:val="22"/>
          <w:u w:val="single"/>
        </w:rPr>
        <w:t>Borrower Investment Policy</w:t>
      </w:r>
      <w:r>
        <w:rPr>
          <w:rFonts w:ascii="Times New Roman;Times;serif" w:hAnsi="Times New Roman;Times;serif"/>
          <w:sz w:val="22"/>
        </w:rPr>
        <w:t>.  US Borrower shall have delivered to Agent a copy of the Borrower Investment Policy.</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(j)</w:t>
      </w:r>
      <w:r>
        <w:rPr>
          <w:rFonts w:ascii="Times New Roman;Times;serif" w:hAnsi="Times New Roman;Times;serif"/>
          <w:sz w:val="22"/>
          <w:u w:val="single"/>
        </w:rPr>
        <w:t>Fee Letter and Other Fees</w:t>
      </w:r>
      <w:r>
        <w:rPr>
          <w:rFonts w:ascii="Times New Roman;Times;serif" w:hAnsi="Times New Roman;Times;serif"/>
          <w:sz w:val="22"/>
        </w:rPr>
        <w:t xml:space="preserve">.  US Borrower shall have (i) executed and delivered to Agent, the Fee Letter and paid to Wells Fargo Securities, LLC or its Affiliates, for their respective account, the fees stated therein and (ii) paid all reasonable legal fees and expenses of Agent in connection with the preparation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82</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and negotiation of the Loan Documents (which legal fees and expenses of Agent shall be consistent with those set forth in the Fee Letter and include all fees, charges and disbursements of counsel to Agent to the extent invoiced in reasonable detail at least one (1) Business Day prior to the Closing Date).</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(k)</w:t>
      </w:r>
      <w:r>
        <w:rPr>
          <w:rFonts w:ascii="Times New Roman;Times;serif" w:hAnsi="Times New Roman;Times;serif"/>
          <w:sz w:val="22"/>
          <w:u w:val="single"/>
        </w:rPr>
        <w:t>Closing Certificate</w:t>
      </w:r>
      <w:r>
        <w:rPr>
          <w:rFonts w:ascii="Times New Roman;Times;serif" w:hAnsi="Times New Roman;Times;serif"/>
          <w:sz w:val="22"/>
        </w:rPr>
        <w:t xml:space="preserve">.  US Borrower shall have delivered to Agent and the Lenders an officer’s certificate certifying that, as of the Closing Date, (i) all conditions precedent set forth in this </w:t>
      </w:r>
      <w:r>
        <w:rPr>
          <w:rFonts w:ascii="Times New Roman;Times;serif" w:hAnsi="Times New Roman;Times;serif"/>
          <w:sz w:val="22"/>
          <w:u w:val="single"/>
        </w:rPr>
        <w:t>Article IV</w:t>
      </w:r>
      <w:r>
        <w:rPr>
          <w:rFonts w:ascii="Aptos" w:hAnsi="Aptos"/>
          <w:sz w:val="24"/>
        </w:rPr>
        <w:t xml:space="preserve"> </w:t>
      </w:r>
      <w:r>
        <w:rPr>
          <w:rFonts w:ascii="Times New Roman;Times;serif" w:hAnsi="Times New Roman;Times;serif"/>
          <w:sz w:val="22"/>
        </w:rPr>
        <w:t xml:space="preserve">have been satisfied, (ii) no Default or Event of Default exists nor immediately after the first Credit Event will exist, and (iii) each of the representations and warranties contained in </w:t>
      </w:r>
      <w:r>
        <w:rPr>
          <w:rFonts w:ascii="Times New Roman;Times;serif" w:hAnsi="Times New Roman;Times;serif"/>
          <w:sz w:val="22"/>
          <w:u w:val="single"/>
        </w:rPr>
        <w:t>Article VI</w:t>
      </w:r>
      <w:r>
        <w:rPr>
          <w:rFonts w:ascii="Aptos" w:hAnsi="Aptos"/>
          <w:sz w:val="24"/>
        </w:rPr>
        <w:t xml:space="preserve"> </w:t>
      </w:r>
      <w:r>
        <w:rPr>
          <w:rFonts w:ascii="Times New Roman;Times;serif" w:hAnsi="Times New Roman;Times;serif"/>
          <w:sz w:val="22"/>
        </w:rPr>
        <w:t>hereof are true and correct as of the Closing Date.</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(l)</w:t>
      </w:r>
      <w:r>
        <w:rPr>
          <w:rFonts w:ascii="Times New Roman;Times;serif" w:hAnsi="Times New Roman;Times;serif"/>
          <w:sz w:val="22"/>
          <w:u w:val="single"/>
        </w:rPr>
        <w:t>Letter of Direction</w:t>
      </w:r>
      <w:r>
        <w:rPr>
          <w:rFonts w:ascii="Times New Roman;Times;serif" w:hAnsi="Times New Roman;Times;serif"/>
          <w:sz w:val="22"/>
        </w:rPr>
        <w:t>.  US Borrower shall have delivered to Agent a letter of direction authorizing Agent, on behalf of the Lenders, to disburse the proceeds of the Loans, which letter of direction includes the authorization to transfer funds under this Agreement and the wire instructions that set forth the locations to which such funds shall be sent.</w:t>
      </w:r>
    </w:p>
    <w:p>
      <w:pPr>
        <w:pStyle w:val="TextBody"/>
        <w:bidi w:val="0"/>
        <w:spacing w:lineRule="auto" w:line="285" w:before="0" w:after="0"/>
        <w:ind w:left="0" w:right="0" w:hanging="0"/>
        <w:jc w:val="both"/>
        <w:rPr>
          <w:rFonts w:ascii="Aptos" w:hAnsi="Aptos"/>
          <w:sz w:val="24"/>
        </w:rPr>
      </w:pPr>
      <w:r>
        <w:rPr>
          <w:rFonts w:ascii="Times New Roman;Times;serif" w:hAnsi="Times New Roman;Times;serif"/>
          <w:sz w:val="22"/>
        </w:rPr>
        <w:t>(m)</w:t>
      </w:r>
      <w:r>
        <w:rPr>
          <w:rFonts w:ascii="Times New Roman;Times;serif" w:hAnsi="Times New Roman;Times;serif"/>
          <w:sz w:val="22"/>
          <w:u w:val="single"/>
        </w:rPr>
        <w:t>Miscellaneous</w:t>
      </w:r>
      <w:r>
        <w:rPr>
          <w:rFonts w:ascii="Times New Roman;Times;serif" w:hAnsi="Times New Roman;Times;serif"/>
          <w:sz w:val="22"/>
        </w:rPr>
        <w:t>.  US Borrower shall have provided to Agent and the Lenders such other items and shall have satisfied such other conditions as may be reasonably required by Agent or the Lenders.</w:t>
      </w:r>
    </w:p>
    <w:p>
      <w:pPr>
        <w:pStyle w:val="TextBody"/>
        <w:bidi w:val="0"/>
        <w:spacing w:lineRule="auto" w:line="285" w:before="0" w:after="240"/>
        <w:ind w:left="0" w:right="0" w:hanging="0"/>
        <w:jc w:val="center"/>
        <w:rPr>
          <w:rFonts w:ascii="Aptos" w:hAnsi="Aptos"/>
          <w:sz w:val="24"/>
        </w:rPr>
      </w:pPr>
      <w:r>
        <w:rPr>
          <w:rFonts w:ascii="Times New Roman;Times;serif" w:hAnsi="Times New Roman;Times;serif"/>
          <w:caps/>
          <w:sz w:val="22"/>
        </w:rPr>
        <w:t>ARTICLE V.</w:t>
      </w:r>
      <w:bookmarkStart w:id="1861" w:name="_Toc236844323"/>
      <w:bookmarkStart w:id="1862" w:name="_Toc172896669"/>
      <w:bookmarkEnd w:id="1861"/>
      <w:bookmarkEnd w:id="1862"/>
      <w:r>
        <w:rPr>
          <w:rFonts w:ascii="Times New Roman;Times;serif" w:hAnsi="Times New Roman;Times;serif"/>
          <w:caps/>
          <w:sz w:val="22"/>
        </w:rPr>
        <w:t>COVENANTS</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5.1</w:t>
      </w:r>
      <w:bookmarkStart w:id="1863" w:name="_Toc236844324"/>
      <w:bookmarkStart w:id="1864" w:name="_Toc172896670"/>
      <w:bookmarkEnd w:id="1863"/>
      <w:bookmarkEnd w:id="1864"/>
      <w:r>
        <w:rPr>
          <w:rFonts w:ascii="Times New Roman;Times;serif" w:hAnsi="Times New Roman;Times;serif"/>
          <w:sz w:val="22"/>
          <w:u w:val="single"/>
        </w:rPr>
        <w:t>Insurance</w:t>
      </w:r>
      <w:r>
        <w:rPr>
          <w:rFonts w:ascii="Times New Roman;Times;serif" w:hAnsi="Times New Roman;Times;serif"/>
          <w:sz w:val="22"/>
        </w:rPr>
        <w:t xml:space="preserve">.  Each Company shall (a) maintain insurance to such extent and against such hazards and liabilities in accordance with sound business practices (including any insurance required pursuant to any Security Document); and (b) promptly upon Agent’s written request, furnish to Agent such information about such Company’s insurance as Agent may from time to time reasonably request, which information shall be prepared in form and detail reasonably satisfactory to Agent and certified by a Financial Officer. </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5.2</w:t>
      </w:r>
      <w:bookmarkStart w:id="1865" w:name="_Toc236844325"/>
      <w:bookmarkStart w:id="1866" w:name="_Toc172896671"/>
      <w:bookmarkEnd w:id="1865"/>
      <w:bookmarkEnd w:id="1866"/>
      <w:r>
        <w:rPr>
          <w:rFonts w:ascii="Times New Roman;Times;serif" w:hAnsi="Times New Roman;Times;serif"/>
          <w:sz w:val="22"/>
          <w:u w:val="single"/>
        </w:rPr>
        <w:t>Money Obligations</w:t>
      </w:r>
      <w:r>
        <w:rPr>
          <w:rFonts w:ascii="Times New Roman;Times;serif" w:hAnsi="Times New Roman;Times;serif"/>
          <w:sz w:val="22"/>
        </w:rPr>
        <w:t>.  Each Company shall (a) pay in full prior in each case to the date when material penalties would attach, all material taxes, assessments and governmental charges and levies (except only those so long as and to the extent that the same shall be contested in good faith by appropriate and timely proceedings and for which adequate provisions have been established in accordance with GAAP) for which it may be or become liable or to which any or all of its properties may be or become subject and (b) comply with all of its other material obligations calling for the payment of money (provided that such Company may contest such items to the extent that the same shall be contested in good faith and for which adequate provisions have been established in accordance with GAAP), except where the failure to pay or perform could not be reasonably expected to have a Material Adverse Effect.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5.3</w:t>
      </w:r>
      <w:bookmarkStart w:id="1867" w:name="_Toc236844326"/>
      <w:bookmarkStart w:id="1868" w:name="_Toc172896672"/>
      <w:bookmarkEnd w:id="1867"/>
      <w:bookmarkEnd w:id="1868"/>
      <w:r>
        <w:rPr>
          <w:rFonts w:ascii="Times New Roman;Times;serif" w:hAnsi="Times New Roman;Times;serif"/>
          <w:sz w:val="22"/>
          <w:u w:val="single"/>
        </w:rPr>
        <w:t>Financial Statements and Information</w:t>
      </w:r>
      <w:r>
        <w:rPr>
          <w:rFonts w:ascii="Times New Roman;Times;serif" w:hAnsi="Times New Roman;Times;serif"/>
          <w:sz w:val="22"/>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(a)</w:t>
      </w:r>
      <w:r>
        <w:rPr>
          <w:rFonts w:ascii="Times New Roman;Times;serif" w:hAnsi="Times New Roman;Times;serif"/>
          <w:sz w:val="22"/>
          <w:u w:val="single"/>
        </w:rPr>
        <w:t>Quarterly Financials</w:t>
      </w:r>
      <w:r>
        <w:rPr>
          <w:rFonts w:ascii="Times New Roman;Times;serif" w:hAnsi="Times New Roman;Times;serif"/>
          <w:sz w:val="22"/>
        </w:rPr>
        <w:t>.  Administrative Borrower shall deliver to Agent, within forty-five (45) days after the end of each of the first three quarterly periods of each fiscal year of US Borrower, balance sheets of the Companies as of the end of such period and statements of income (loss), stockholders’ equity and cash flow for the quarter and fiscal year to date periods, all prepared on a Consolidated basis, in form and detail reasonably satisfactory to Agent and certified by a Financial Officer of US Borrower.</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(b)</w:t>
      </w:r>
      <w:r>
        <w:rPr>
          <w:rFonts w:ascii="Times New Roman;Times;serif" w:hAnsi="Times New Roman;Times;serif"/>
          <w:sz w:val="22"/>
          <w:u w:val="single"/>
        </w:rPr>
        <w:t>Annual Audit Report</w:t>
      </w:r>
      <w:r>
        <w:rPr>
          <w:rFonts w:ascii="Times New Roman;Times;serif" w:hAnsi="Times New Roman;Times;serif"/>
          <w:sz w:val="22"/>
        </w:rPr>
        <w:t xml:space="preserve">.  Administrative Borrower shall deliver to Agent, within ninety (90) days after the end of each fiscal year of US Borrower, an annual audit report of the Companies for that year prepared on a Consolidated basis and certified by an unqualified opinion of an independent public accountant reasonably satisfactory to Agent to the effect that the Companies’ consolidated financial statements present fairly, in all material respects, the financial position, results of operations and cash flows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83</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of the Companies on a Consolidated basis in conformity with GAAP, which report shall include balance sheets and statements of income (loss), stockholders’ equity and cash-flow for that period.</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(c)</w:t>
      </w:r>
      <w:r>
        <w:rPr>
          <w:rFonts w:ascii="Times New Roman;Times;serif" w:hAnsi="Times New Roman;Times;serif"/>
          <w:sz w:val="22"/>
          <w:u w:val="single"/>
        </w:rPr>
        <w:t>Compliance Certificate</w:t>
      </w:r>
      <w:r>
        <w:rPr>
          <w:rFonts w:ascii="Times New Roman;Times;serif" w:hAnsi="Times New Roman;Times;serif"/>
          <w:sz w:val="22"/>
        </w:rPr>
        <w:t xml:space="preserve">.  Administrative Borrower shall deliver to Agent concurrently with the delivery of the financial statements set forth in </w:t>
      </w:r>
      <w:r>
        <w:rPr>
          <w:rFonts w:ascii="Times New Roman;Times;serif" w:hAnsi="Times New Roman;Times;serif"/>
          <w:sz w:val="22"/>
          <w:u w:val="single"/>
        </w:rPr>
        <w:t>Sections 5.3(a)</w:t>
      </w:r>
      <w:r>
        <w:rPr>
          <w:rFonts w:ascii="Aptos" w:hAnsi="Aptos"/>
          <w:sz w:val="24"/>
        </w:rPr>
        <w:t xml:space="preserve"> </w:t>
      </w:r>
      <w:r>
        <w:rPr>
          <w:rFonts w:ascii="Times New Roman;Times;serif" w:hAnsi="Times New Roman;Times;serif"/>
          <w:sz w:val="22"/>
        </w:rPr>
        <w:t xml:space="preserve">and </w:t>
      </w:r>
      <w:r>
        <w:rPr>
          <w:rFonts w:ascii="Times New Roman;Times;serif" w:hAnsi="Times New Roman;Times;serif"/>
          <w:sz w:val="22"/>
          <w:u w:val="single"/>
        </w:rPr>
        <w:t>(b)</w:t>
      </w:r>
      <w:r>
        <w:rPr>
          <w:rFonts w:ascii="Aptos" w:hAnsi="Aptos"/>
          <w:sz w:val="24"/>
        </w:rPr>
        <w:t xml:space="preserve"> </w:t>
      </w:r>
      <w:r>
        <w:rPr>
          <w:rFonts w:ascii="Times New Roman;Times;serif" w:hAnsi="Times New Roman;Times;serif"/>
          <w:sz w:val="22"/>
        </w:rPr>
        <w:t>hereof, a Compliance Certificate.</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(d)</w:t>
      </w:r>
      <w:r>
        <w:rPr>
          <w:rFonts w:ascii="Times New Roman;Times;serif" w:hAnsi="Times New Roman;Times;serif"/>
          <w:sz w:val="22"/>
          <w:u w:val="single"/>
        </w:rPr>
        <w:t>Expected Earn-Out Amount</w:t>
      </w:r>
      <w:r>
        <w:rPr>
          <w:rFonts w:ascii="Times New Roman;Times;serif" w:hAnsi="Times New Roman;Times;serif"/>
          <w:sz w:val="22"/>
        </w:rPr>
        <w:t>.  Administrative Borrower shall deliver to Agent, concurrently with the delivery of each Compliance Certificate, a calculation of the Expected Earn-Out Amount for the next twelve (12) month period.</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(e)</w:t>
      </w:r>
      <w:r>
        <w:rPr>
          <w:rFonts w:ascii="Times New Roman;Times;serif" w:hAnsi="Times New Roman;Times;serif"/>
          <w:sz w:val="22"/>
          <w:u w:val="single"/>
        </w:rPr>
        <w:t>Pro-Forma Projections</w:t>
      </w:r>
      <w:r>
        <w:rPr>
          <w:rFonts w:ascii="Times New Roman;Times;serif" w:hAnsi="Times New Roman;Times;serif"/>
          <w:sz w:val="22"/>
        </w:rPr>
        <w:t>.  Administrative Borrower shall deliver to Agent, within ninety (90) days after the end of each fiscal year of US Borrower, annual pro-forma projections of the Companies for the then current fiscal year, to be in form and detail reasonably acceptable to Agent.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(f)</w:t>
      </w:r>
      <w:r>
        <w:rPr>
          <w:rFonts w:ascii="Times New Roman;Times;serif" w:hAnsi="Times New Roman;Times;serif"/>
          <w:sz w:val="22"/>
          <w:u w:val="single"/>
        </w:rPr>
        <w:t>Shareholder and SEC Documents</w:t>
      </w:r>
      <w:r>
        <w:rPr>
          <w:rFonts w:ascii="Times New Roman;Times;serif" w:hAnsi="Times New Roman;Times;serif"/>
          <w:sz w:val="22"/>
        </w:rPr>
        <w:t>.  Administrative Borrower shall deliver to Agent, as soon as available, copies of all material notices, reports, definitive proxy or other statements and other documents sent by US Borrower to (i) its shareholders, (ii) the holders of any of its debentures or bonds or the trustee of any indenture securing the same or pursuant to which they are issued, or sent by US Borrower (in final form) to any securities exchange or over the counter authority or system, or (iii) the SEC (or any similar federal agency having regulatory jurisdiction over the issuance of US Borrower’s securities) concerning any investigation or possible investigation or other inquiry by such agency regarding financial or other operational results of any Credit Party or any Subsidiary thereof.</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(g)</w:t>
      </w:r>
      <w:r>
        <w:rPr>
          <w:rFonts w:ascii="Times New Roman;Times;serif" w:hAnsi="Times New Roman;Times;serif"/>
          <w:sz w:val="22"/>
          <w:u w:val="single"/>
        </w:rPr>
        <w:t>Financial Information of the Companies</w:t>
      </w:r>
      <w:r>
        <w:rPr>
          <w:rFonts w:ascii="Times New Roman;Times;serif" w:hAnsi="Times New Roman;Times;serif"/>
          <w:sz w:val="22"/>
        </w:rPr>
        <w:t>.  Administrative Borrower shall deliver to Agent, promptly after written request of Agent, such other information, to the extent reasonably available, about the financial condition, properties and operations of any Company as Agent may from time to time reasonably request, which information shall be submitted in form and detail reasonably satisfactory to Agent.  Without limiting the foregoing, the Borrower hereby acknowledges and agrees that (i) the Borrower shall cooperate with FTI Consulting or any other financial advisor engaged by the Agent (or counsel to the Agent) (the “Financial Advisor”), such cooperation to include, without limitation, providing  the Financial Advisor with reasonable access to the Borrower’s facilities, financial information and members of the Borrower’s management, as is necessary to enable FTI Consulting to perform the scope of its engagement, including without limitation conducting an updated enterprise valuation of the US Borrower and its Subsidiaries and (ii) the US Borrower shall reimburse the Agent promptly upon demand for the reasonable and documented fees and expenses incurred by the Agent in connection with the engagement of the Financial Advisor, including without limitation the reasonable and documented fees and expenses incurred in connection with such updated enterprise valuation. In furtherance of the foregoing, the US Borrower shall pay such fees and expenses of the Financial Advisor within thirty (30) days of receipt of a reasonably detailed invoice therefor.</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(h)</w:t>
      </w:r>
      <w:r>
        <w:rPr>
          <w:rFonts w:ascii="Times New Roman;Times;serif" w:hAnsi="Times New Roman;Times;serif"/>
          <w:sz w:val="22"/>
          <w:u w:val="single"/>
        </w:rPr>
        <w:t>Monthly Reports</w:t>
      </w:r>
      <w:r>
        <w:rPr>
          <w:rFonts w:ascii="Times New Roman;Times;serif" w:hAnsi="Times New Roman;Times;serif"/>
          <w:sz w:val="22"/>
        </w:rPr>
        <w:t>.  Commencing with the first fiscal month of the US Borrower ending after the Tenth Amendment Effective Date, Administrative Borrower shall deliver to Agent, within thirty (30) days after the end of each such fiscal month of US Borrower that does not coincide with the end of a fiscal quarter of the US Borrower, (i) management-prepared balance sheets of the Companies as of the end of such period and statements of income (loss) as of the end of such period and for the fiscal year to date periods, all prepared on a Consolidated basis, in form and detail reasonably satisfactory to Agent and certified by a Financial Officer of US Borrower, which may exclude adjustments that are customarily not recorded until the third month of each fiscal quarter to conform with GAAP presentation, and (ii) a report, in form and detail reasonably satisfactory to Agent, on key customers, including new business, losses and shrinkage of existing business and top ten (10) customers during such fiscal month and as of the end of a fiscal month, as applicable.</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84</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(i)</w:t>
      </w:r>
      <w:r>
        <w:rPr>
          <w:rFonts w:ascii="Times New Roman;Times;serif" w:hAnsi="Times New Roman;Times;serif"/>
          <w:sz w:val="22"/>
          <w:u w:val="single"/>
        </w:rPr>
        <w:t>13-Week Cash Flow Forecast and Reconciliation Reports</w:t>
      </w:r>
      <w:r>
        <w:rPr>
          <w:rFonts w:ascii="Times New Roman;Times;serif" w:hAnsi="Times New Roman;Times;serif"/>
          <w:sz w:val="22"/>
        </w:rPr>
        <w:t>.  Commencing with the first fiscal month of the US Borrower ending after the Tenth Amendment Effective Date, Administrative Borrower shall deliver to Agent, within thirty (30) days after the end of each such fiscal month of US Borrower (each such monthly period, a “</w:t>
      </w:r>
      <w:r>
        <w:rPr>
          <w:rFonts w:ascii="Times New Roman;Times;serif" w:hAnsi="Times New Roman;Times;serif"/>
          <w:sz w:val="22"/>
          <w:u w:val="single"/>
        </w:rPr>
        <w:t>Forecasting Period</w:t>
      </w:r>
      <w:r>
        <w:rPr>
          <w:rFonts w:ascii="Aptos" w:hAnsi="Aptos"/>
          <w:sz w:val="24"/>
        </w:rPr>
        <w:t>”</w:t>
      </w:r>
      <w:r>
        <w:rPr>
          <w:rFonts w:ascii="Times New Roman;Times;serif" w:hAnsi="Times New Roman;Times;serif"/>
          <w:sz w:val="22"/>
        </w:rPr>
        <w:t>), (i) a cash flow forecast covering the 13-week period following the end of each Forecasting Period (the “</w:t>
      </w:r>
      <w:r>
        <w:rPr>
          <w:rFonts w:ascii="Times New Roman;Times;serif" w:hAnsi="Times New Roman;Times;serif"/>
          <w:sz w:val="22"/>
          <w:u w:val="single"/>
        </w:rPr>
        <w:t>13-Week Forecast</w:t>
      </w:r>
      <w:r>
        <w:rPr>
          <w:rFonts w:ascii="Aptos" w:hAnsi="Aptos"/>
          <w:sz w:val="24"/>
        </w:rPr>
        <w:t>”</w:t>
      </w:r>
      <w:r>
        <w:rPr>
          <w:rFonts w:ascii="Times New Roman;Times;serif" w:hAnsi="Times New Roman;Times;serif"/>
          <w:sz w:val="22"/>
        </w:rPr>
        <w:t>), which 13-Week Forecast and any amendments thereto shall (1) be substantially in the form delivered to and approved by Agent, in its discretion, prior to the Tenth Amendment Effective Date, along with any additional detail or supporting information reasonably requested by Agent and (2) reflect, for the periods covered thereby, projected weekly disbursements, cash receipts, and ending cash for each week covered by the 13-Week Forecast, along with a certificate of an Authorized Officer of US Borrower to the effect that such 13-Week Forecast reflects the Credit Parties’ good faith projection of all weekly cash receipts and disbursements and ending balance of available cash (as of the last Business Day of each week) and (ii) a variance report for the Forecasting Period with a narrative description of any material variances and setting forth the aggregate amount of payments made during such period.</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(j)</w:t>
      </w:r>
      <w:r>
        <w:rPr>
          <w:rFonts w:ascii="Times New Roman;Times;serif" w:hAnsi="Times New Roman;Times;serif"/>
          <w:sz w:val="22"/>
          <w:u w:val="single"/>
        </w:rPr>
        <w:t>Monthly Lender Calls</w:t>
      </w:r>
      <w:r>
        <w:rPr>
          <w:rFonts w:ascii="Times New Roman;Times;serif" w:hAnsi="Times New Roman;Times;serif"/>
          <w:sz w:val="22"/>
        </w:rPr>
        <w:t xml:space="preserve">. Promptly following the end of each calendar month, the US Borrower shall cause its senior management and its financial advisor to hold monthly meetings with Agent and the Lenders via a telephonic call.  Such meetings shall be held at a time reasonably convenient to Agent, the Lenders and the US Borrower;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that any such monthly meeting may be canceled by Agent if Agent determines, in consultation with Lenders, that such a meeting is not necessary for such month.</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(k)</w:t>
      </w:r>
      <w:r>
        <w:rPr>
          <w:rFonts w:ascii="Times New Roman;Times;serif" w:hAnsi="Times New Roman;Times;serif"/>
          <w:sz w:val="22"/>
          <w:u w:val="single"/>
        </w:rPr>
        <w:t>Weekly Variance Reports</w:t>
      </w:r>
      <w:r>
        <w:rPr>
          <w:rFonts w:ascii="Times New Roman;Times;serif" w:hAnsi="Times New Roman;Times;serif"/>
          <w:sz w:val="22"/>
        </w:rPr>
        <w:t>.  Commencing with the first full week following the Eleventh Amendment Effective Date, Administrative Borrower shall deliver to Agent, within two (2) Business Days after the last day of each week, a weekly report showing actual cash flow results as compared to the most recent 13-Week Forecast, together with a narrative description of any material variances, in form and detail reasonably satisfactory to Agent .</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(l)</w:t>
      </w:r>
      <w:r>
        <w:rPr>
          <w:rFonts w:ascii="Times New Roman;Times;serif" w:hAnsi="Times New Roman;Times;serif"/>
          <w:sz w:val="22"/>
          <w:u w:val="single"/>
        </w:rPr>
        <w:t>Global Cash Balance Reporting</w:t>
      </w:r>
      <w:r>
        <w:rPr>
          <w:rFonts w:ascii="Times New Roman;Times;serif" w:hAnsi="Times New Roman;Times;serif"/>
          <w:sz w:val="22"/>
        </w:rPr>
        <w:t xml:space="preserve">.  Commencing with the first fiscal month of the US Borrower in which the Eleventh Amendment Effective Date occurs, Administrative Borrower shall deliver to Agent, within fifteen (15) Business Days after the end of each fiscal month of US Borrower, a report setting forth, by Foreign Subsidiary, legal entity and country, the aggregate ending cash balances (as of the last Business Day of such fiscal month) in each deposit account, expressed in the applicable currency and, with respect to any foreign currency balance, the Dollar Equivalent of such balance, and the amount of each such balance that is readily accessible for working capital purposes and the amount of each such balance that is not readily accessible for working capital purposes, in form and detail reasonably satisfactory to Agent. </w:t>
      </w:r>
    </w:p>
    <w:p>
      <w:pPr>
        <w:pStyle w:val="TextBody"/>
        <w:bidi w:val="0"/>
        <w:spacing w:lineRule="auto" w:line="285"/>
        <w:ind w:left="0" w:right="0" w:hanging="0"/>
        <w:jc w:val="both"/>
        <w:rPr>
          <w:rFonts w:ascii="Aptos" w:hAnsi="Aptos"/>
          <w:sz w:val="24"/>
        </w:rPr>
      </w:pPr>
      <w:r>
        <w:rPr>
          <w:rFonts w:ascii="Times New Roman;Times;serif" w:hAnsi="Times New Roman;Times;serif"/>
          <w:sz w:val="22"/>
        </w:rPr>
        <w:t>(m)</w:t>
      </w:r>
      <w:r>
        <w:rPr>
          <w:rFonts w:ascii="Times New Roman;Times;serif" w:hAnsi="Times New Roman;Times;serif"/>
          <w:sz w:val="22"/>
          <w:u w:val="single"/>
        </w:rPr>
        <w:t>Enhanced Customer Reporting</w:t>
      </w:r>
      <w:r>
        <w:rPr>
          <w:rFonts w:ascii="Times New Roman;Times;serif" w:hAnsi="Times New Roman;Times;serif"/>
          <w:sz w:val="22"/>
        </w:rPr>
        <w:t xml:space="preserve">.  Commencing with the first fiscal month of the US Borrower in which the Eleventh Amendment Effective Date occurs, in addition to the customer reporting required by </w:t>
      </w:r>
      <w:r>
        <w:rPr>
          <w:rFonts w:ascii="Times New Roman;Times;serif" w:hAnsi="Times New Roman;Times;serif"/>
          <w:sz w:val="22"/>
          <w:u w:val="single"/>
        </w:rPr>
        <w:t>Section 5.3(h)</w:t>
      </w:r>
      <w:r>
        <w:rPr>
          <w:rFonts w:ascii="Times New Roman;Times;serif" w:hAnsi="Times New Roman;Times;serif"/>
          <w:sz w:val="22"/>
        </w:rPr>
        <w:t xml:space="preserve">, Administrative Borrower shall deliver to Agent, within thirty (30) days after the end of each fiscal month of US Borrower, (i) with respect to the Engage segment, (A) a report on customer churn or shrinkage with associated commentary on change and revenue and profitability impact based on the trailing twelve-month period (or such other reporting in relation to the matters described in this clause (A) as may be approved by the Agent in consultation with FTI), (B) a report on customer wins (new logo or base business expansion) with projected 12-month revenue and profitability and any upfront investment, and (C) a pipeline report including opportunities (Retain and Grow, New from Base and New Logo), net new revenue, carryforward, conversion and shrink/churn, and onshore, nearshore and offshore breakdown, and (ii) with respect to the Digital segment, (A) a report on customer churn or shrinkage with associated commentary on change and revenue and profitability impact based on the trailing twelve-month period (or such other reporting in relation to the matters described in this clause (A) as may be approved by the Agent in consultation with FTI), (B) a report on customer wins with projected 12-month revenue and profitability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85</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ind w:left="0" w:right="0" w:hanging="0"/>
        <w:jc w:val="both"/>
        <w:rPr>
          <w:rFonts w:ascii="Times New Roman;Times;serif" w:hAnsi="Times New Roman;Times;serif"/>
          <w:sz w:val="22"/>
        </w:rPr>
      </w:pPr>
      <w:r>
        <w:rPr>
          <w:rFonts w:ascii="Times New Roman;Times;serif" w:hAnsi="Times New Roman;Times;serif"/>
          <w:sz w:val="22"/>
        </w:rPr>
        <w:t>and any upfront investment, (C) employee utilization of Digital Segments, and (D) a pipeline report including opportunities (Hyperscalers, legacy CCaaS and all other, and by PS/Product/Recurring), average contract value, net new revenue and shrink/churn, in form and detail reasonably satisfactory to Agent.</w:t>
      </w:r>
    </w:p>
    <w:p>
      <w:pPr>
        <w:pStyle w:val="TextBody"/>
        <w:bidi w:val="0"/>
        <w:spacing w:lineRule="auto" w:line="285" w:before="0" w:after="240"/>
        <w:ind w:left="0" w:right="0" w:hanging="0"/>
        <w:jc w:val="both"/>
        <w:rPr>
          <w:rFonts w:ascii="Aptos" w:hAnsi="Aptos"/>
          <w:sz w:val="22"/>
        </w:rPr>
      </w:pPr>
      <w:r>
        <w:rPr>
          <w:rFonts w:ascii="Times New Roman;Times;serif" w:hAnsi="Times New Roman;Times;serif"/>
          <w:sz w:val="22"/>
        </w:rPr>
        <w:t xml:space="preserve">Documents required to be delivered pursuant to </w:t>
      </w:r>
      <w:r>
        <w:rPr>
          <w:rFonts w:ascii="Times New Roman;Times;serif" w:hAnsi="Times New Roman;Times;serif"/>
          <w:sz w:val="22"/>
          <w:u w:val="single"/>
        </w:rPr>
        <w:t>Section 5.3</w:t>
      </w:r>
      <w:r>
        <w:rPr>
          <w:rFonts w:ascii="Aptos" w:hAnsi="Aptos"/>
          <w:sz w:val="22"/>
        </w:rPr>
        <w:t xml:space="preserve"> </w:t>
      </w:r>
      <w:r>
        <w:rPr>
          <w:rFonts w:ascii="Times New Roman;Times;serif" w:hAnsi="Times New Roman;Times;serif"/>
          <w:sz w:val="22"/>
        </w:rPr>
        <w:t xml:space="preserve">may be delivered electronically and if so delivered, shall be deemed to have been delivered on the date on which such documents are posted on the Administrative Borrower’s behalf on an internet or intranet website, if any, to which each Lender and Agent have access (whether a commercial, third-party website or whether sponsored by Agent); </w:t>
      </w:r>
      <w:r>
        <w:rPr>
          <w:rFonts w:ascii="Times New Roman;Times;serif" w:hAnsi="Times New Roman;Times;serif"/>
          <w:sz w:val="22"/>
          <w:u w:val="single"/>
        </w:rPr>
        <w:t>provided</w:t>
      </w:r>
      <w:r>
        <w:rPr>
          <w:rFonts w:ascii="Aptos" w:hAnsi="Aptos"/>
          <w:sz w:val="22"/>
        </w:rPr>
        <w:t xml:space="preserve"> </w:t>
      </w:r>
      <w:r>
        <w:rPr>
          <w:rFonts w:ascii="Times New Roman;Times;serif" w:hAnsi="Times New Roman;Times;serif"/>
          <w:sz w:val="22"/>
        </w:rPr>
        <w:t xml:space="preserve">that such documents or information shall be deemed to have been delivered if such documents, information, or one or more annual or quarterly reports containing such information, shall be available on the website of the SEC at </w:t>
      </w:r>
      <w:r>
        <w:rPr>
          <w:rFonts w:ascii="Times New Roman;Times;serif" w:hAnsi="Times New Roman;Times;serif"/>
          <w:color w:val="0000FF"/>
          <w:sz w:val="22"/>
          <w:u w:val="single"/>
        </w:rPr>
        <w:t>http://www.sec.gov</w:t>
      </w:r>
      <w:r>
        <w:rPr>
          <w:rFonts w:ascii="Times New Roman;Times;serif" w:hAnsi="Times New Roman;Times;serif"/>
          <w:sz w:val="22"/>
        </w:rPr>
        <w:t xml:space="preserve">.  Notwithstanding anything contained herein, in every instance the Administrative Borrower shall be required to provide Compliance Certificates required by </w:t>
      </w:r>
      <w:r>
        <w:rPr>
          <w:rFonts w:ascii="Times New Roman;Times;serif" w:hAnsi="Times New Roman;Times;serif"/>
          <w:sz w:val="22"/>
          <w:u w:val="single"/>
        </w:rPr>
        <w:t>Section 5.3(c)</w:t>
      </w:r>
      <w:r>
        <w:rPr>
          <w:rFonts w:ascii="Aptos" w:hAnsi="Aptos"/>
          <w:sz w:val="22"/>
        </w:rPr>
        <w:t xml:space="preserve"> </w:t>
      </w:r>
      <w:r>
        <w:rPr>
          <w:rFonts w:ascii="Times New Roman;Times;serif" w:hAnsi="Times New Roman;Times;serif"/>
          <w:sz w:val="22"/>
        </w:rPr>
        <w:t>to Agent (which may be provided by electronic communications pursuant to procedures approved by Agent).</w:t>
      </w:r>
    </w:p>
    <w:p>
      <w:pPr>
        <w:pStyle w:val="TextBody"/>
        <w:bidi w:val="0"/>
        <w:spacing w:lineRule="auto" w:line="285" w:before="0" w:after="240"/>
        <w:ind w:left="0" w:right="0" w:hanging="0"/>
        <w:jc w:val="both"/>
        <w:rPr>
          <w:rFonts w:ascii="Aptos" w:hAnsi="Aptos"/>
          <w:sz w:val="22"/>
        </w:rPr>
      </w:pPr>
      <w:r>
        <w:rPr>
          <w:rFonts w:ascii="Times New Roman;Times;serif" w:hAnsi="Times New Roman;Times;serif"/>
          <w:sz w:val="22"/>
        </w:rPr>
        <w:t xml:space="preserve">The Administrative Borrower hereby acknowledges that </w:t>
      </w:r>
      <w:r>
        <w:rPr>
          <w:rFonts w:ascii="Times New Roman;Times;serif" w:hAnsi="Times New Roman;Times;serif"/>
          <w:spacing w:val="-3"/>
          <w:sz w:val="22"/>
        </w:rPr>
        <w:t xml:space="preserve">(i) </w:t>
      </w:r>
      <w:r>
        <w:rPr>
          <w:rFonts w:ascii="Times New Roman;Times;serif" w:hAnsi="Times New Roman;Times;serif"/>
          <w:sz w:val="22"/>
        </w:rPr>
        <w:t>Agent will make available to Lenders, on Administrative Borrower’s behalf, (A) materials and/or information provided by or on behalf of the Administrative Borrower concerning US Borrower and its Subsidiaries (collectively, “</w:t>
      </w:r>
      <w:r>
        <w:rPr>
          <w:rFonts w:ascii="Times New Roman;Times;serif" w:hAnsi="Times New Roman;Times;serif"/>
          <w:sz w:val="22"/>
          <w:u w:val="single"/>
        </w:rPr>
        <w:t>Borrower Materials</w:t>
      </w:r>
      <w:r>
        <w:rPr>
          <w:rFonts w:ascii="Aptos" w:hAnsi="Aptos"/>
          <w:sz w:val="22"/>
        </w:rPr>
        <w:t>”</w:t>
      </w:r>
      <w:r>
        <w:rPr>
          <w:rFonts w:ascii="Times New Roman;Times;serif" w:hAnsi="Times New Roman;Times;serif"/>
          <w:sz w:val="22"/>
        </w:rPr>
        <w:t>) by posting the Informational Materials on SyndTrak Online or by other similar electronic means (the “</w:t>
      </w:r>
      <w:r>
        <w:rPr>
          <w:rFonts w:ascii="Times New Roman;Times;serif" w:hAnsi="Times New Roman;Times;serif"/>
          <w:sz w:val="22"/>
          <w:u w:val="single"/>
        </w:rPr>
        <w:t>Platform</w:t>
      </w:r>
      <w:r>
        <w:rPr>
          <w:rFonts w:ascii="Aptos" w:hAnsi="Aptos"/>
          <w:sz w:val="22"/>
        </w:rPr>
        <w:t>”</w:t>
      </w:r>
      <w:r>
        <w:rPr>
          <w:rFonts w:ascii="Times New Roman;Times;serif" w:hAnsi="Times New Roman;Times;serif"/>
          <w:sz w:val="22"/>
        </w:rPr>
        <w:t>), and (ii) certain prospective Lenders may be “public side” (i.e., lenders that have personnel that do not wish to receive material non-public information (within the meaning of the United States federal securities laws) with respect to US Borrower and its Subsidiaries and securities, and who may be engaged in investment and other market-related activities with respect to such entities’ securities (such Lenders, “</w:t>
      </w:r>
      <w:r>
        <w:rPr>
          <w:rFonts w:ascii="Times New Roman;Times;serif" w:hAnsi="Times New Roman;Times;serif"/>
          <w:sz w:val="22"/>
          <w:u w:val="single"/>
        </w:rPr>
        <w:t>Public Lenders</w:t>
      </w:r>
      <w:r>
        <w:rPr>
          <w:rFonts w:ascii="Aptos" w:hAnsi="Aptos"/>
          <w:sz w:val="22"/>
        </w:rPr>
        <w:t>”</w:t>
      </w:r>
      <w:r>
        <w:rPr>
          <w:rFonts w:ascii="Times New Roman;Times;serif" w:hAnsi="Times New Roman;Times;serif"/>
          <w:sz w:val="22"/>
        </w:rPr>
        <w:t>)).  The Administrative Borrower hereby agrees that, upon request of the Agent, it will use commercially reasonable efforts to identify that portion of the Borrower Materials that may be distributed to the Public Lenders and that (w) all such Borrower Materials shall be clearly and conspicuously marked “PUBLIC” which, at a minimum, means that the word “PUBLIC” shall appear prominently on the first page thereof; (x) by marking Borrower Materials “PUBLIC,” the Company shall be deemed to have authorized Agent and the Lenders to treat such Borrower Materials as not containing any material non-public information (although it may be sensitive and proprietary) with respect to US Borrower, its Subsidiaries or its securities for purposes of United States Federal and state securities laws; (y) all Borrower Materials marked “PUBLIC” are permitted to be made available through a portion of the Platform designated “Public Investor;” and (z) Agent shall be entitled to treat any Borrower Materials that are not marked “PUBLIC” as being suitable only for posting on a portion of the Platform not designated “Public Investor.”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Company or its securities for purposes of United States Federal or state securities laws.</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5.4</w:t>
      </w:r>
      <w:bookmarkStart w:id="1869" w:name="_Toc236844327"/>
      <w:bookmarkStart w:id="1870" w:name="_Toc172896673"/>
      <w:bookmarkEnd w:id="1869"/>
      <w:bookmarkEnd w:id="1870"/>
      <w:r>
        <w:rPr>
          <w:rFonts w:ascii="Times New Roman;Times;serif" w:hAnsi="Times New Roman;Times;serif"/>
          <w:sz w:val="22"/>
          <w:u w:val="single"/>
        </w:rPr>
        <w:t>Financial Records</w:t>
      </w:r>
      <w:r>
        <w:rPr>
          <w:rFonts w:ascii="Times New Roman;Times;serif" w:hAnsi="Times New Roman;Times;serif"/>
          <w:sz w:val="22"/>
        </w:rPr>
        <w:t xml:space="preserve">.  Each Company shall at all times maintain true and complete records and books of account, including, without limiting the generality of the foregoing, appropriate provisions for possible losses and liabilities, all in accordance with GAAP, and at all reasonable times (during normal business hours and upon reasonable notice to such Company) permit Agent, or any representative of Agent, to examine such Company’s books and records and to make excerpts therefrom and transcripts thereof;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that Agent shall not exercise such rights more often than one</w:t>
      </w:r>
      <w:r>
        <w:rPr>
          <w:rFonts w:ascii="Aptos" w:hAnsi="Aptos"/>
          <w:sz w:val="24"/>
        </w:rPr>
        <w:t xml:space="preserve"> </w:t>
      </w:r>
      <w:r>
        <w:rPr>
          <w:rFonts w:ascii="Times New Roman;Times;serif" w:hAnsi="Times New Roman;Times;serif"/>
          <w:sz w:val="22"/>
        </w:rPr>
        <w:t>(1) time during any calendar year at the Borrowers’ expense (excluding any such examinations during the continuation of an Event of Default, which shall not be subject to such limitation).</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86</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5.5</w:t>
      </w:r>
      <w:bookmarkStart w:id="1871" w:name="_Toc236844328"/>
      <w:bookmarkStart w:id="1872" w:name="_Toc172896674"/>
      <w:bookmarkEnd w:id="1871"/>
      <w:bookmarkEnd w:id="1872"/>
      <w:r>
        <w:rPr>
          <w:rFonts w:ascii="Times New Roman;Times;serif" w:hAnsi="Times New Roman;Times;serif"/>
          <w:sz w:val="22"/>
          <w:u w:val="single"/>
        </w:rPr>
        <w:t>Franchises; Change in Business</w:t>
      </w:r>
      <w:r>
        <w:rPr>
          <w:rFonts w:ascii="Times New Roman;Times;serif" w:hAnsi="Times New Roman;Times;serif"/>
          <w:sz w:val="22"/>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 xml:space="preserve">(a)Each Company (other than a Dormant Subsidiary) shall preserve and maintain at all times its existence, and its rights and franchises necessary for its business, except as otherwise permitted pursuant to </w:t>
      </w:r>
      <w:r>
        <w:rPr>
          <w:rFonts w:ascii="Times New Roman;Times;serif" w:hAnsi="Times New Roman;Times;serif"/>
          <w:sz w:val="22"/>
          <w:u w:val="single"/>
        </w:rPr>
        <w:t>Section 5.12</w:t>
      </w:r>
      <w:r>
        <w:rPr>
          <w:rFonts w:ascii="Aptos" w:hAnsi="Aptos"/>
          <w:sz w:val="24"/>
        </w:rPr>
        <w:t xml:space="preserve"> </w:t>
      </w:r>
      <w:r>
        <w:rPr>
          <w:rFonts w:ascii="Times New Roman;Times;serif" w:hAnsi="Times New Roman;Times;serif"/>
          <w:sz w:val="22"/>
        </w:rPr>
        <w:t>hereof, except where the failure to do so could not reasonably be expected to have a Material Adverse Effect.</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(b)No Company shall engage in any business if, as a result thereof, the general nature of the business of the Companies taken as a whole would be substantially changed from the general nature of the business the Companies are engaged in on the Closing Date.</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5.6</w:t>
      </w:r>
      <w:bookmarkStart w:id="1873" w:name="_Toc236844329"/>
      <w:bookmarkStart w:id="1874" w:name="_Toc172896675"/>
      <w:bookmarkEnd w:id="1873"/>
      <w:bookmarkEnd w:id="1874"/>
      <w:r>
        <w:rPr>
          <w:rFonts w:ascii="Times New Roman;Times;serif" w:hAnsi="Times New Roman;Times;serif"/>
          <w:sz w:val="22"/>
          <w:u w:val="single"/>
        </w:rPr>
        <w:t>ERISA Pension and Benefit Plan Compliance</w:t>
      </w:r>
      <w:r>
        <w:rPr>
          <w:rFonts w:ascii="Times New Roman;Times;serif" w:hAnsi="Times New Roman;Times;serif"/>
          <w:sz w:val="22"/>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(a)</w:t>
      </w:r>
      <w:r>
        <w:rPr>
          <w:rFonts w:ascii="Times New Roman;Times;serif" w:hAnsi="Times New Roman;Times;serif"/>
          <w:sz w:val="22"/>
          <w:u w:val="single"/>
        </w:rPr>
        <w:t>Generally</w:t>
      </w:r>
      <w:r>
        <w:rPr>
          <w:rFonts w:ascii="Times New Roman;Times;serif" w:hAnsi="Times New Roman;Times;serif"/>
          <w:sz w:val="22"/>
        </w:rPr>
        <w:t xml:space="preserve">.  Each member of the Controlled Group shall satisfy its material obligations under the Plan Funding Rules and shall not incur any material unpaid or unfunded liability to the PBGC, established thereunder in connection with any ERISA Plan.  US Borrower shall furnish to Agent and the Lenders (i) as soon as possible and in any event within thirty (30) days after any Company knows or has reason to know that any Reportable Event that could reasonably be expected to result in a Material Adverse Effect with respect to any ERISA Plan has occurred, a statement of a Financial Officer of such Company, setting forth details as to such Reportable Event and the action that such Company proposes to take with respect thereto, together with a copy of the notice of such Reportable Event given to the PBGC if a copy of such notice is available to such Company, and (ii) promptly after receipt thereof a copy of any notice such Company, or any member of the Controlled Group may receive from the PBGC or the Internal Revenue Service with respect to any ERISA Plan administered by such Company;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that this latter clause shall not apply to notices of general application promulgated by the PBGC or the Internal Revenue Service.  As used in this Section 5.6(a), “material” means the measure of a matter of significance that shall be determined as being an amount equal to five percent (5%) of Consolidated Net Worth.  As soon as practicable, and in any event within twenty (20) days, after any Company shall become aware that an ERISA Event that could reasonably be expected to result in a Material Adverse Effect shall have occurred, such Company shall provide Agent with notice of such ERISA Event with a certificate by a Financial Officer of such Company setting forth the details of the event and the action such Company or another Controlled Group member proposes to take with respect thereto.  US Borrower shall, at the request of Agent, deliver or cause to be delivered to Agent true and correct copies of any documents relating to the ERISA Plan of any Company.</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(b)</w:t>
      </w:r>
      <w:r>
        <w:rPr>
          <w:rFonts w:ascii="Times New Roman;Times;serif" w:hAnsi="Times New Roman;Times;serif"/>
          <w:sz w:val="22"/>
          <w:u w:val="single"/>
        </w:rPr>
        <w:t>Foreign Pension Plans and Benefit Plans</w:t>
      </w:r>
      <w:r>
        <w:rPr>
          <w:rFonts w:ascii="Times New Roman;Times;serif" w:hAnsi="Times New Roman;Times;serif"/>
          <w:sz w:val="22"/>
        </w:rPr>
        <w:t>.</w:t>
      </w:r>
    </w:p>
    <w:p>
      <w:pPr>
        <w:pStyle w:val="TextBody"/>
        <w:bidi w:val="0"/>
        <w:spacing w:lineRule="auto" w:line="285" w:before="0" w:after="240"/>
        <w:ind w:left="720" w:right="0" w:hanging="0"/>
        <w:jc w:val="both"/>
        <w:rPr>
          <w:rFonts w:ascii="Times New Roman;Times;serif" w:hAnsi="Times New Roman;Times;serif"/>
          <w:sz w:val="22"/>
        </w:rPr>
      </w:pPr>
      <w:r>
        <w:rPr>
          <w:rFonts w:ascii="Times New Roman;Times;serif" w:hAnsi="Times New Roman;Times;serif"/>
          <w:sz w:val="22"/>
        </w:rPr>
        <w:t>(i)Except as could not reasonably be expected to result in a Material Adverse Effect, for each existing, or hereafter adopted, Foreign Pension Plan and Foreign Benefit Plan, Administrative Borrower and any appropriate Foreign Subsidiary shall in a timely fashion comply with and perform in all material respects all of its obligations under and in respect of such Foreign Pension Plan or Foreign Benefit Plan, including under any funding agreements and all applicable laws (including any fiduciary, funding, investment and administration obligations).</w:t>
      </w:r>
    </w:p>
    <w:p>
      <w:pPr>
        <w:pStyle w:val="TextBody"/>
        <w:bidi w:val="0"/>
        <w:spacing w:lineRule="auto" w:line="285" w:before="0" w:after="240"/>
        <w:ind w:left="720" w:right="0" w:hanging="0"/>
        <w:jc w:val="both"/>
        <w:rPr>
          <w:rFonts w:ascii="Times New Roman;Times;serif" w:hAnsi="Times New Roman;Times;serif"/>
          <w:sz w:val="22"/>
        </w:rPr>
      </w:pPr>
      <w:r>
        <w:rPr>
          <w:rFonts w:ascii="Times New Roman;Times;serif" w:hAnsi="Times New Roman;Times;serif"/>
          <w:sz w:val="22"/>
        </w:rPr>
        <w:t>(ii)Except as could not reasonably be expected to result in a Material Adverse Effect, all employer or employee payments, contributions or premiums required to be remitted, paid to or in respect of each Foreign Pension Plan or Foreign Benefit Plan shall be paid or remitted by Administrative Borrower and any appropriate Foreign Subsidiary in a timely fashion in accordance with the terms thereof, any funding agreements and all applicable laws.</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87</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0"/>
        <w:ind w:left="720" w:right="0" w:hanging="0"/>
        <w:jc w:val="both"/>
        <w:rPr>
          <w:rFonts w:ascii="Aptos" w:hAnsi="Aptos"/>
          <w:sz w:val="24"/>
        </w:rPr>
      </w:pPr>
      <w:r>
        <w:rPr>
          <w:rFonts w:ascii="Times New Roman;Times;serif" w:hAnsi="Times New Roman;Times;serif"/>
          <w:sz w:val="22"/>
        </w:rPr>
        <w:t xml:space="preserve">(iii)Administrative Borrower and any appropriate Foreign Subsidiary shall deliver to Agent (A) if requested by Agent, copies of each annual and other return, report or valuation with respect to each Foreign Pension Plan as filed with any applicable Governmental Authority and (B) promptly after receipt thereof, a copy of any material direction, order, notice, ruling or opinion that Administrative Borrower and any appropriate Foreign Subsidiary may receive from any applicable Governmental Authority with respect to any Foreign Pension Plan;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that this clause shall not apply to notices of general application promulgated by any applicable Governmental Authority.</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5.7</w:t>
      </w:r>
      <w:bookmarkStart w:id="1875" w:name="_Toc236844330"/>
      <w:bookmarkStart w:id="1876" w:name="_Toc172896676"/>
      <w:bookmarkEnd w:id="1875"/>
      <w:bookmarkEnd w:id="1876"/>
      <w:r>
        <w:rPr>
          <w:rFonts w:ascii="Times New Roman;Times;serif" w:hAnsi="Times New Roman;Times;serif"/>
          <w:sz w:val="22"/>
          <w:u w:val="single"/>
        </w:rPr>
        <w:t>Financial Covenants</w:t>
      </w:r>
      <w:r>
        <w:rPr>
          <w:rFonts w:ascii="Times New Roman;Times;serif" w:hAnsi="Times New Roman;Times;serif"/>
          <w:sz w:val="22"/>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(a)</w:t>
      </w:r>
      <w:r>
        <w:rPr>
          <w:rFonts w:ascii="Times New Roman;Times;serif" w:hAnsi="Times New Roman;Times;serif"/>
          <w:sz w:val="22"/>
          <w:u w:val="single"/>
        </w:rPr>
        <w:t>Net Leverage Ratio</w:t>
      </w:r>
      <w:r>
        <w:rPr>
          <w:rFonts w:ascii="Times New Roman;Times;serif" w:hAnsi="Times New Roman;Times;serif"/>
          <w:sz w:val="22"/>
        </w:rPr>
        <w:t>.</w:t>
      </w:r>
    </w:p>
    <w:p>
      <w:pPr>
        <w:pStyle w:val="TextBody"/>
        <w:bidi w:val="0"/>
        <w:spacing w:lineRule="auto" w:line="285" w:before="0" w:after="240"/>
        <w:ind w:left="720" w:right="0" w:hanging="0"/>
        <w:jc w:val="both"/>
        <w:rPr>
          <w:rFonts w:ascii="Times New Roman;Times;serif" w:hAnsi="Times New Roman;Times;serif"/>
          <w:sz w:val="22"/>
        </w:rPr>
      </w:pPr>
      <w:r>
        <w:rPr>
          <w:rFonts w:ascii="Times New Roman;Times;serif" w:hAnsi="Times New Roman;Times;serif"/>
          <w:sz w:val="22"/>
        </w:rPr>
        <w:t>(i)For the fiscal quarter ending June 30, 2024, the US Borrower shall not suffer or permit the Net Leverage Ratio as of the last day of such fiscal quarter to exceed 4.25 to 1.00.</w:t>
      </w:r>
    </w:p>
    <w:p>
      <w:pPr>
        <w:pStyle w:val="TextBody"/>
        <w:bidi w:val="0"/>
        <w:spacing w:lineRule="auto" w:line="285" w:before="0" w:after="0"/>
        <w:ind w:left="720" w:right="0" w:hanging="0"/>
        <w:jc w:val="both"/>
        <w:rPr>
          <w:rFonts w:ascii="Times New Roman;Times;serif" w:hAnsi="Times New Roman;Times;serif"/>
          <w:sz w:val="22"/>
        </w:rPr>
      </w:pPr>
      <w:r>
        <w:rPr>
          <w:rFonts w:ascii="Times New Roman;Times;serif" w:hAnsi="Times New Roman;Times;serif"/>
          <w:sz w:val="22"/>
        </w:rPr>
        <w:t>(ii)During the Covenant Adjustment Period, but prior to a Qualifying Debt Issuance, US Borrower shall not suffer or permit the Net Leverage Ratio as of the last day of the most recently completed fiscal quarter during the Covenant Adjustment Period to exceed the ratio set forth below for such fiscal quarter:</w:t>
      </w:r>
    </w:p>
    <w:tbl>
      <w:tblPr>
        <w:tblW w:w="9602" w:type="dxa"/>
        <w:jc w:val="center"/>
        <w:tblInd w:w="0" w:type="dxa"/>
        <w:tblLayout w:type="fixed"/>
        <w:tblCellMar>
          <w:top w:w="28" w:type="dxa"/>
          <w:left w:w="103" w:type="dxa"/>
          <w:bottom w:w="28" w:type="dxa"/>
          <w:right w:w="103" w:type="dxa"/>
        </w:tblCellMar>
      </w:tblPr>
      <w:tblGrid>
        <w:gridCol w:w="7861"/>
        <w:gridCol w:w="1741"/>
      </w:tblGrid>
      <w:tr>
        <w:trPr/>
        <w:tc>
          <w:tcPr>
            <w:tcW w:w="7861"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lineRule="auto" w:line="304" w:before="0" w:after="0"/>
              <w:ind w:left="0" w:right="0" w:hanging="0"/>
              <w:jc w:val="center"/>
              <w:rPr>
                <w:rFonts w:ascii="Times New Roman;Times;serif" w:hAnsi="Times New Roman;Times;serif"/>
                <w:b/>
                <w:sz w:val="22"/>
              </w:rPr>
            </w:pPr>
            <w:r>
              <w:rPr>
                <w:rFonts w:ascii="Times New Roman;Times;serif" w:hAnsi="Times New Roman;Times;serif"/>
                <w:b/>
                <w:sz w:val="22"/>
              </w:rPr>
              <w:t>Period</w:t>
            </w:r>
          </w:p>
        </w:tc>
        <w:tc>
          <w:tcPr>
            <w:tcW w:w="1741"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lineRule="auto" w:line="304" w:before="0" w:after="0"/>
              <w:ind w:left="0" w:right="0" w:hanging="0"/>
              <w:jc w:val="center"/>
              <w:rPr>
                <w:rFonts w:ascii="Times New Roman;Times;serif" w:hAnsi="Times New Roman;Times;serif"/>
                <w:b/>
                <w:sz w:val="22"/>
              </w:rPr>
            </w:pPr>
            <w:r>
              <w:rPr>
                <w:rFonts w:ascii="Times New Roman;Times;serif" w:hAnsi="Times New Roman;Times;serif"/>
                <w:b/>
                <w:sz w:val="22"/>
              </w:rPr>
              <w:t>Maximum Ratio</w:t>
            </w:r>
          </w:p>
        </w:tc>
      </w:tr>
      <w:tr>
        <w:trPr/>
        <w:tc>
          <w:tcPr>
            <w:tcW w:w="7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both"/>
              <w:rPr>
                <w:rFonts w:ascii="Times New Roman;Times;serif" w:hAnsi="Times New Roman;Times;serif"/>
                <w:sz w:val="22"/>
              </w:rPr>
            </w:pPr>
            <w:r>
              <w:rPr>
                <w:rFonts w:ascii="Times New Roman;Times;serif" w:hAnsi="Times New Roman;Times;serif"/>
                <w:sz w:val="22"/>
              </w:rPr>
              <w:t>Fiscal quarter ending September 30, 2024</w:t>
            </w:r>
          </w:p>
        </w:tc>
        <w:tc>
          <w:tcPr>
            <w:tcW w:w="17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2"/>
              </w:rPr>
            </w:pPr>
            <w:r>
              <w:rPr>
                <w:rFonts w:ascii="Times New Roman;Times;serif" w:hAnsi="Times New Roman;Times;serif"/>
                <w:sz w:val="22"/>
              </w:rPr>
              <w:t>5.15 to 1.00</w:t>
            </w:r>
          </w:p>
        </w:tc>
      </w:tr>
      <w:tr>
        <w:trPr/>
        <w:tc>
          <w:tcPr>
            <w:tcW w:w="7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both"/>
              <w:rPr>
                <w:rFonts w:ascii="Times New Roman;Times;serif" w:hAnsi="Times New Roman;Times;serif"/>
                <w:sz w:val="22"/>
              </w:rPr>
            </w:pPr>
            <w:r>
              <w:rPr>
                <w:rFonts w:ascii="Times New Roman;Times;serif" w:hAnsi="Times New Roman;Times;serif"/>
                <w:sz w:val="22"/>
              </w:rPr>
              <w:t>Fiscal quarter ending December 31, 2024</w:t>
            </w:r>
          </w:p>
        </w:tc>
        <w:tc>
          <w:tcPr>
            <w:tcW w:w="17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2"/>
              </w:rPr>
            </w:pPr>
            <w:r>
              <w:rPr>
                <w:rFonts w:ascii="Times New Roman;Times;serif" w:hAnsi="Times New Roman;Times;serif"/>
                <w:sz w:val="22"/>
              </w:rPr>
              <w:t>5.00 to 1.00</w:t>
            </w:r>
          </w:p>
        </w:tc>
      </w:tr>
      <w:tr>
        <w:trPr/>
        <w:tc>
          <w:tcPr>
            <w:tcW w:w="7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both"/>
              <w:rPr>
                <w:rFonts w:ascii="Times New Roman;Times;serif" w:hAnsi="Times New Roman;Times;serif"/>
                <w:sz w:val="22"/>
              </w:rPr>
            </w:pPr>
            <w:r>
              <w:rPr>
                <w:rFonts w:ascii="Times New Roman;Times;serif" w:hAnsi="Times New Roman;Times;serif"/>
                <w:sz w:val="22"/>
              </w:rPr>
              <w:t>Fiscal quarter ending March 31, 2025</w:t>
            </w:r>
          </w:p>
        </w:tc>
        <w:tc>
          <w:tcPr>
            <w:tcW w:w="17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2"/>
              </w:rPr>
            </w:pPr>
            <w:r>
              <w:rPr>
                <w:rFonts w:ascii="Times New Roman;Times;serif" w:hAnsi="Times New Roman;Times;serif"/>
                <w:sz w:val="22"/>
              </w:rPr>
              <w:t>4.75 to 1.00</w:t>
            </w:r>
          </w:p>
        </w:tc>
      </w:tr>
      <w:tr>
        <w:trPr/>
        <w:tc>
          <w:tcPr>
            <w:tcW w:w="7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both"/>
              <w:rPr>
                <w:rFonts w:ascii="Times New Roman;Times;serif" w:hAnsi="Times New Roman;Times;serif"/>
                <w:sz w:val="22"/>
              </w:rPr>
            </w:pPr>
            <w:r>
              <w:rPr>
                <w:rFonts w:ascii="Times New Roman;Times;serif" w:hAnsi="Times New Roman;Times;serif"/>
                <w:sz w:val="22"/>
              </w:rPr>
              <w:t>Fiscal quarter ending June 30, 2025</w:t>
            </w:r>
          </w:p>
        </w:tc>
        <w:tc>
          <w:tcPr>
            <w:tcW w:w="17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2"/>
              </w:rPr>
            </w:pPr>
            <w:r>
              <w:rPr>
                <w:rFonts w:ascii="Times New Roman;Times;serif" w:hAnsi="Times New Roman;Times;serif"/>
                <w:sz w:val="22"/>
              </w:rPr>
              <w:t>4.50 to 1.00</w:t>
            </w:r>
          </w:p>
        </w:tc>
      </w:tr>
      <w:tr>
        <w:trPr/>
        <w:tc>
          <w:tcPr>
            <w:tcW w:w="7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both"/>
              <w:rPr>
                <w:rFonts w:ascii="Times New Roman;Times;serif" w:hAnsi="Times New Roman;Times;serif"/>
                <w:sz w:val="22"/>
              </w:rPr>
            </w:pPr>
            <w:r>
              <w:rPr>
                <w:rFonts w:ascii="Times New Roman;Times;serif" w:hAnsi="Times New Roman;Times;serif"/>
                <w:sz w:val="22"/>
              </w:rPr>
              <w:t>Fiscal quarter ending September 30, 2025</w:t>
            </w:r>
          </w:p>
        </w:tc>
        <w:tc>
          <w:tcPr>
            <w:tcW w:w="17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2"/>
              </w:rPr>
            </w:pPr>
            <w:r>
              <w:rPr>
                <w:rFonts w:ascii="Times New Roman;Times;serif" w:hAnsi="Times New Roman;Times;serif"/>
                <w:sz w:val="22"/>
              </w:rPr>
              <w:t>4.25 to 1.00</w:t>
            </w:r>
          </w:p>
        </w:tc>
      </w:tr>
      <w:tr>
        <w:trPr/>
        <w:tc>
          <w:tcPr>
            <w:tcW w:w="7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both"/>
              <w:rPr>
                <w:rFonts w:ascii="Times New Roman;Times;serif" w:hAnsi="Times New Roman;Times;serif"/>
                <w:sz w:val="22"/>
              </w:rPr>
            </w:pPr>
            <w:r>
              <w:rPr>
                <w:rFonts w:ascii="Times New Roman;Times;serif" w:hAnsi="Times New Roman;Times;serif"/>
                <w:sz w:val="22"/>
              </w:rPr>
              <w:t>Fiscal quarter ending December 31, 2025</w:t>
            </w:r>
          </w:p>
        </w:tc>
        <w:tc>
          <w:tcPr>
            <w:tcW w:w="17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2"/>
              </w:rPr>
            </w:pPr>
            <w:r>
              <w:rPr>
                <w:rFonts w:ascii="Times New Roman;Times;serif" w:hAnsi="Times New Roman;Times;serif"/>
                <w:sz w:val="22"/>
              </w:rPr>
              <w:t>4.00 to 1.00</w:t>
            </w:r>
          </w:p>
        </w:tc>
      </w:tr>
      <w:tr>
        <w:trPr/>
        <w:tc>
          <w:tcPr>
            <w:tcW w:w="7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both"/>
              <w:rPr>
                <w:rFonts w:ascii="Times New Roman;Times;serif" w:hAnsi="Times New Roman;Times;serif"/>
                <w:sz w:val="22"/>
              </w:rPr>
            </w:pPr>
            <w:r>
              <w:rPr>
                <w:rFonts w:ascii="Times New Roman;Times;serif" w:hAnsi="Times New Roman;Times;serif"/>
                <w:sz w:val="22"/>
              </w:rPr>
              <w:t xml:space="preserve">Fiscal quarter ending March 31, 2026 </w:t>
            </w:r>
          </w:p>
        </w:tc>
        <w:tc>
          <w:tcPr>
            <w:tcW w:w="17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2"/>
              </w:rPr>
            </w:pPr>
            <w:r>
              <w:rPr>
                <w:rFonts w:ascii="Times New Roman;Times;serif" w:hAnsi="Times New Roman;Times;serif"/>
                <w:sz w:val="22"/>
              </w:rPr>
              <w:t>4.00 to 1.00</w:t>
            </w:r>
          </w:p>
        </w:tc>
      </w:tr>
      <w:tr>
        <w:trPr/>
        <w:tc>
          <w:tcPr>
            <w:tcW w:w="7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both"/>
              <w:rPr>
                <w:rFonts w:ascii="Times New Roman;Times;serif" w:hAnsi="Times New Roman;Times;serif"/>
                <w:sz w:val="22"/>
              </w:rPr>
            </w:pPr>
            <w:r>
              <w:rPr>
                <w:rFonts w:ascii="Times New Roman;Times;serif" w:hAnsi="Times New Roman;Times;serif"/>
                <w:sz w:val="22"/>
              </w:rPr>
              <w:t xml:space="preserve">Fiscal quarter ending June 30, 2026 </w:t>
            </w:r>
          </w:p>
        </w:tc>
        <w:tc>
          <w:tcPr>
            <w:tcW w:w="17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2"/>
              </w:rPr>
            </w:pPr>
            <w:r>
              <w:rPr>
                <w:rFonts w:ascii="Times New Roman;Times;serif" w:hAnsi="Times New Roman;Times;serif"/>
                <w:sz w:val="22"/>
              </w:rPr>
              <w:t>3.75 to 1.00</w:t>
            </w:r>
          </w:p>
        </w:tc>
      </w:tr>
      <w:tr>
        <w:trPr/>
        <w:tc>
          <w:tcPr>
            <w:tcW w:w="7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both"/>
              <w:rPr>
                <w:rFonts w:ascii="Times New Roman;Times;serif" w:hAnsi="Times New Roman;Times;serif"/>
                <w:sz w:val="22"/>
              </w:rPr>
            </w:pPr>
            <w:r>
              <w:rPr>
                <w:rFonts w:ascii="Times New Roman;Times;serif" w:hAnsi="Times New Roman;Times;serif"/>
                <w:sz w:val="22"/>
              </w:rPr>
              <w:t>Fiscal quarter ending September 30, 2026</w:t>
            </w:r>
          </w:p>
        </w:tc>
        <w:tc>
          <w:tcPr>
            <w:tcW w:w="17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2"/>
              </w:rPr>
            </w:pPr>
            <w:r>
              <w:rPr>
                <w:rFonts w:ascii="Times New Roman;Times;serif" w:hAnsi="Times New Roman;Times;serif"/>
                <w:sz w:val="22"/>
              </w:rPr>
              <w:t>4.25 to 1.00</w:t>
            </w:r>
          </w:p>
        </w:tc>
      </w:tr>
      <w:tr>
        <w:trPr/>
        <w:tc>
          <w:tcPr>
            <w:tcW w:w="7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both"/>
              <w:rPr>
                <w:rFonts w:ascii="Times New Roman;Times;serif" w:hAnsi="Times New Roman;Times;serif"/>
                <w:sz w:val="22"/>
              </w:rPr>
            </w:pPr>
            <w:r>
              <w:rPr>
                <w:rFonts w:ascii="Times New Roman;Times;serif" w:hAnsi="Times New Roman;Times;serif"/>
                <w:sz w:val="22"/>
              </w:rPr>
              <w:t>Fiscal quarter ending December 31, 2026</w:t>
            </w:r>
          </w:p>
        </w:tc>
        <w:tc>
          <w:tcPr>
            <w:tcW w:w="17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2"/>
              </w:rPr>
            </w:pPr>
            <w:r>
              <w:rPr>
                <w:rFonts w:ascii="Times New Roman;Times;serif" w:hAnsi="Times New Roman;Times;serif"/>
                <w:sz w:val="22"/>
              </w:rPr>
              <w:t>4.25 to 1.00</w:t>
            </w:r>
          </w:p>
        </w:tc>
      </w:tr>
      <w:tr>
        <w:trPr/>
        <w:tc>
          <w:tcPr>
            <w:tcW w:w="7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both"/>
              <w:rPr>
                <w:rFonts w:ascii="Times New Roman;Times;serif" w:hAnsi="Times New Roman;Times;serif"/>
                <w:sz w:val="22"/>
              </w:rPr>
            </w:pPr>
            <w:r>
              <w:rPr>
                <w:rFonts w:ascii="Times New Roman;Times;serif" w:hAnsi="Times New Roman;Times;serif"/>
                <w:sz w:val="22"/>
              </w:rPr>
              <w:t>Fiscal quarter ending March 31, 2027</w:t>
            </w:r>
          </w:p>
        </w:tc>
        <w:tc>
          <w:tcPr>
            <w:tcW w:w="17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2"/>
              </w:rPr>
            </w:pPr>
            <w:r>
              <w:rPr>
                <w:rFonts w:ascii="Times New Roman;Times;serif" w:hAnsi="Times New Roman;Times;serif"/>
                <w:sz w:val="22"/>
              </w:rPr>
              <w:t>4.00 to 1.00</w:t>
            </w:r>
          </w:p>
        </w:tc>
      </w:tr>
      <w:tr>
        <w:trPr/>
        <w:tc>
          <w:tcPr>
            <w:tcW w:w="7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both"/>
              <w:rPr>
                <w:rFonts w:ascii="Times New Roman;Times;serif" w:hAnsi="Times New Roman;Times;serif"/>
                <w:sz w:val="22"/>
              </w:rPr>
            </w:pPr>
            <w:r>
              <w:rPr>
                <w:rFonts w:ascii="Times New Roman;Times;serif" w:hAnsi="Times New Roman;Times;serif"/>
                <w:sz w:val="22"/>
              </w:rPr>
              <w:t>Fiscal quarter ending June 30, 2027</w:t>
            </w:r>
          </w:p>
        </w:tc>
        <w:tc>
          <w:tcPr>
            <w:tcW w:w="17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2"/>
              </w:rPr>
            </w:pPr>
            <w:r>
              <w:rPr>
                <w:rFonts w:ascii="Times New Roman;Times;serif" w:hAnsi="Times New Roman;Times;serif"/>
                <w:sz w:val="22"/>
              </w:rPr>
              <w:t>3.75 to 1.00</w:t>
            </w:r>
          </w:p>
        </w:tc>
      </w:tr>
      <w:tr>
        <w:trPr/>
        <w:tc>
          <w:tcPr>
            <w:tcW w:w="7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both"/>
              <w:rPr>
                <w:rFonts w:ascii="Times New Roman;Times;serif" w:hAnsi="Times New Roman;Times;serif"/>
                <w:sz w:val="22"/>
              </w:rPr>
            </w:pPr>
            <w:r>
              <w:rPr>
                <w:rFonts w:ascii="Times New Roman;Times;serif" w:hAnsi="Times New Roman;Times;serif"/>
                <w:sz w:val="22"/>
              </w:rPr>
              <w:t>Fiscal quarter ending September 30, 2027 and each fiscal quarter ending thereafter</w:t>
            </w:r>
          </w:p>
        </w:tc>
        <w:tc>
          <w:tcPr>
            <w:tcW w:w="17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390" w:right="0" w:hanging="0"/>
              <w:jc w:val="both"/>
              <w:rPr>
                <w:rFonts w:ascii="Times New Roman;Times;serif" w:hAnsi="Times New Roman;Times;serif"/>
                <w:sz w:val="22"/>
              </w:rPr>
            </w:pPr>
            <w:r>
              <w:rPr>
                <w:rFonts w:ascii="Times New Roman;Times;serif" w:hAnsi="Times New Roman;Times;serif"/>
                <w:sz w:val="22"/>
              </w:rPr>
              <w:t>3.75 to 1.00</w:t>
            </w:r>
          </w:p>
        </w:tc>
      </w:tr>
    </w:tbl>
    <w:p>
      <w:pPr>
        <w:pStyle w:val="TextBody"/>
        <w:bidi w:val="0"/>
        <w:spacing w:lineRule="auto" w:line="331" w:before="0" w:after="160"/>
        <w:ind w:left="720" w:right="0" w:hanging="0"/>
        <w:jc w:val="both"/>
        <w:rPr/>
      </w:pPr>
      <w:r>
        <w:rPr/>
        <w:t>​</w:t>
      </w:r>
    </w:p>
    <w:p>
      <w:pPr>
        <w:pStyle w:val="TextBody"/>
        <w:bidi w:val="0"/>
        <w:spacing w:lineRule="auto" w:line="285"/>
        <w:ind w:left="0" w:right="0" w:hanging="0"/>
        <w:jc w:val="both"/>
        <w:rPr>
          <w:rFonts w:ascii="Aptos" w:hAnsi="Aptos"/>
          <w:sz w:val="24"/>
        </w:rPr>
      </w:pPr>
      <w:r>
        <w:rPr>
          <w:rFonts w:ascii="Times New Roman;Times;serif" w:hAnsi="Times New Roman;Times;serif"/>
          <w:sz w:val="22"/>
        </w:rPr>
        <w:t>(b)</w:t>
      </w:r>
      <w:r>
        <w:rPr>
          <w:rFonts w:ascii="Times New Roman;Times;serif" w:hAnsi="Times New Roman;Times;serif"/>
          <w:sz w:val="22"/>
          <w:u w:val="single"/>
        </w:rPr>
        <w:t>Secured Net Leverage Ratio</w:t>
      </w:r>
      <w:r>
        <w:rPr>
          <w:rFonts w:ascii="Times New Roman;Times;serif" w:hAnsi="Times New Roman;Times;serif"/>
          <w:sz w:val="22"/>
        </w:rPr>
        <w:t>. On or after the occurrence of a Qualifying Debt Issuance, during the Covenant Adjustment Period, US Borrower shall not suffer or permit the Secured Net Leverage Ratio as of the last day of the most recently completed fiscal quarter to exceed the ratio set forth below for such fiscal quarter, subject to the Optional Leverage Ratio Increase:</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88</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tbl>
      <w:tblPr>
        <w:tblW w:w="9602" w:type="dxa"/>
        <w:jc w:val="center"/>
        <w:tblInd w:w="0" w:type="dxa"/>
        <w:tblLayout w:type="fixed"/>
        <w:tblCellMar>
          <w:top w:w="28" w:type="dxa"/>
          <w:left w:w="103" w:type="dxa"/>
          <w:bottom w:w="28" w:type="dxa"/>
          <w:right w:w="103" w:type="dxa"/>
        </w:tblCellMar>
      </w:tblPr>
      <w:tblGrid>
        <w:gridCol w:w="7861"/>
        <w:gridCol w:w="1741"/>
      </w:tblGrid>
      <w:tr>
        <w:trPr/>
        <w:tc>
          <w:tcPr>
            <w:tcW w:w="7861"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lineRule="auto" w:line="304" w:before="0" w:after="0"/>
              <w:ind w:left="0" w:right="0" w:hanging="0"/>
              <w:jc w:val="center"/>
              <w:rPr>
                <w:rFonts w:ascii="Times New Roman;Times;serif" w:hAnsi="Times New Roman;Times;serif"/>
                <w:b/>
                <w:sz w:val="22"/>
              </w:rPr>
            </w:pPr>
            <w:r>
              <w:rPr>
                <w:rFonts w:ascii="Times New Roman;Times;serif" w:hAnsi="Times New Roman;Times;serif"/>
                <w:b/>
                <w:sz w:val="22"/>
              </w:rPr>
              <w:t>Period</w:t>
            </w:r>
          </w:p>
        </w:tc>
        <w:tc>
          <w:tcPr>
            <w:tcW w:w="1741"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lineRule="auto" w:line="304" w:before="0" w:after="0"/>
              <w:ind w:left="0" w:right="0" w:hanging="0"/>
              <w:jc w:val="center"/>
              <w:rPr>
                <w:rFonts w:ascii="Times New Roman;Times;serif" w:hAnsi="Times New Roman;Times;serif"/>
                <w:b/>
                <w:sz w:val="22"/>
              </w:rPr>
            </w:pPr>
            <w:r>
              <w:rPr>
                <w:rFonts w:ascii="Times New Roman;Times;serif" w:hAnsi="Times New Roman;Times;serif"/>
                <w:b/>
                <w:sz w:val="22"/>
              </w:rPr>
              <w:t>Maximum Ratio</w:t>
            </w:r>
          </w:p>
        </w:tc>
      </w:tr>
      <w:tr>
        <w:trPr/>
        <w:tc>
          <w:tcPr>
            <w:tcW w:w="7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sz w:val="22"/>
              </w:rPr>
            </w:pPr>
            <w:r>
              <w:rPr>
                <w:rFonts w:ascii="Times New Roman;Times;serif" w:hAnsi="Times New Roman;Times;serif"/>
                <w:sz w:val="22"/>
              </w:rPr>
              <w:t>Fiscal quarter ending September 30, 2024</w:t>
            </w:r>
          </w:p>
        </w:tc>
        <w:tc>
          <w:tcPr>
            <w:tcW w:w="17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2"/>
              </w:rPr>
            </w:pPr>
            <w:r>
              <w:rPr>
                <w:rFonts w:ascii="Times New Roman;Times;serif" w:hAnsi="Times New Roman;Times;serif"/>
                <w:sz w:val="22"/>
              </w:rPr>
              <w:t>5.15 to 1.00</w:t>
            </w:r>
          </w:p>
        </w:tc>
      </w:tr>
      <w:tr>
        <w:trPr/>
        <w:tc>
          <w:tcPr>
            <w:tcW w:w="7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sz w:val="22"/>
              </w:rPr>
            </w:pPr>
            <w:r>
              <w:rPr>
                <w:rFonts w:ascii="Times New Roman;Times;serif" w:hAnsi="Times New Roman;Times;serif"/>
                <w:sz w:val="22"/>
              </w:rPr>
              <w:t>Fiscal quarter ending December 31, 2024</w:t>
            </w:r>
          </w:p>
        </w:tc>
        <w:tc>
          <w:tcPr>
            <w:tcW w:w="17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2"/>
              </w:rPr>
            </w:pPr>
            <w:r>
              <w:rPr>
                <w:rFonts w:ascii="Times New Roman;Times;serif" w:hAnsi="Times New Roman;Times;serif"/>
                <w:sz w:val="22"/>
              </w:rPr>
              <w:t>5.00 to 1.00</w:t>
            </w:r>
          </w:p>
        </w:tc>
      </w:tr>
      <w:tr>
        <w:trPr/>
        <w:tc>
          <w:tcPr>
            <w:tcW w:w="7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sz w:val="22"/>
              </w:rPr>
            </w:pPr>
            <w:r>
              <w:rPr>
                <w:rFonts w:ascii="Times New Roman;Times;serif" w:hAnsi="Times New Roman;Times;serif"/>
                <w:sz w:val="22"/>
              </w:rPr>
              <w:t>Fiscal quarter ending March 31, 2025</w:t>
            </w:r>
          </w:p>
        </w:tc>
        <w:tc>
          <w:tcPr>
            <w:tcW w:w="17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2"/>
              </w:rPr>
            </w:pPr>
            <w:r>
              <w:rPr>
                <w:rFonts w:ascii="Times New Roman;Times;serif" w:hAnsi="Times New Roman;Times;serif"/>
                <w:sz w:val="22"/>
              </w:rPr>
              <w:t>4.75 to 1.00</w:t>
            </w:r>
          </w:p>
        </w:tc>
      </w:tr>
      <w:tr>
        <w:trPr/>
        <w:tc>
          <w:tcPr>
            <w:tcW w:w="7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sz w:val="22"/>
              </w:rPr>
            </w:pPr>
            <w:r>
              <w:rPr>
                <w:rFonts w:ascii="Times New Roman;Times;serif" w:hAnsi="Times New Roman;Times;serif"/>
                <w:sz w:val="22"/>
              </w:rPr>
              <w:t>Fiscal quarter ending June 30, 2025</w:t>
            </w:r>
          </w:p>
        </w:tc>
        <w:tc>
          <w:tcPr>
            <w:tcW w:w="17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2"/>
              </w:rPr>
            </w:pPr>
            <w:r>
              <w:rPr>
                <w:rFonts w:ascii="Times New Roman;Times;serif" w:hAnsi="Times New Roman;Times;serif"/>
                <w:sz w:val="22"/>
              </w:rPr>
              <w:t>4.50 to 1.00</w:t>
            </w:r>
          </w:p>
        </w:tc>
      </w:tr>
      <w:tr>
        <w:trPr/>
        <w:tc>
          <w:tcPr>
            <w:tcW w:w="7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sz w:val="22"/>
              </w:rPr>
            </w:pPr>
            <w:r>
              <w:rPr>
                <w:rFonts w:ascii="Times New Roman;Times;serif" w:hAnsi="Times New Roman;Times;serif"/>
                <w:sz w:val="22"/>
              </w:rPr>
              <w:t>Fiscal quarter ending September 30, 2025</w:t>
            </w:r>
          </w:p>
        </w:tc>
        <w:tc>
          <w:tcPr>
            <w:tcW w:w="17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2"/>
              </w:rPr>
            </w:pPr>
            <w:r>
              <w:rPr>
                <w:rFonts w:ascii="Times New Roman;Times;serif" w:hAnsi="Times New Roman;Times;serif"/>
                <w:sz w:val="22"/>
              </w:rPr>
              <w:t>4.25 to 1.00</w:t>
            </w:r>
          </w:p>
        </w:tc>
      </w:tr>
      <w:tr>
        <w:trPr/>
        <w:tc>
          <w:tcPr>
            <w:tcW w:w="7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sz w:val="22"/>
              </w:rPr>
            </w:pPr>
            <w:r>
              <w:rPr>
                <w:rFonts w:ascii="Times New Roman;Times;serif" w:hAnsi="Times New Roman;Times;serif"/>
                <w:sz w:val="22"/>
              </w:rPr>
              <w:t>Fiscal quarter ending December 31, 2025</w:t>
            </w:r>
          </w:p>
        </w:tc>
        <w:tc>
          <w:tcPr>
            <w:tcW w:w="17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2"/>
              </w:rPr>
            </w:pPr>
            <w:r>
              <w:rPr>
                <w:rFonts w:ascii="Times New Roman;Times;serif" w:hAnsi="Times New Roman;Times;serif"/>
                <w:sz w:val="22"/>
              </w:rPr>
              <w:t>4.00 to 1.00</w:t>
            </w:r>
          </w:p>
        </w:tc>
      </w:tr>
      <w:tr>
        <w:trPr/>
        <w:tc>
          <w:tcPr>
            <w:tcW w:w="7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sz w:val="22"/>
              </w:rPr>
            </w:pPr>
            <w:r>
              <w:rPr>
                <w:rFonts w:ascii="Times New Roman;Times;serif" w:hAnsi="Times New Roman;Times;serif"/>
                <w:sz w:val="22"/>
              </w:rPr>
              <w:t xml:space="preserve">Fiscal quarter ending March 31, 2026 </w:t>
            </w:r>
          </w:p>
        </w:tc>
        <w:tc>
          <w:tcPr>
            <w:tcW w:w="17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2"/>
              </w:rPr>
            </w:pPr>
            <w:r>
              <w:rPr>
                <w:rFonts w:ascii="Times New Roman;Times;serif" w:hAnsi="Times New Roman;Times;serif"/>
                <w:sz w:val="22"/>
              </w:rPr>
              <w:t>4.00 to 1.00</w:t>
            </w:r>
          </w:p>
        </w:tc>
      </w:tr>
      <w:tr>
        <w:trPr/>
        <w:tc>
          <w:tcPr>
            <w:tcW w:w="7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sz w:val="22"/>
              </w:rPr>
            </w:pPr>
            <w:r>
              <w:rPr>
                <w:rFonts w:ascii="Times New Roman;Times;serif" w:hAnsi="Times New Roman;Times;serif"/>
                <w:sz w:val="22"/>
              </w:rPr>
              <w:t xml:space="preserve">Fiscal quarter ending June 30, 2026 </w:t>
            </w:r>
          </w:p>
        </w:tc>
        <w:tc>
          <w:tcPr>
            <w:tcW w:w="17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2"/>
              </w:rPr>
            </w:pPr>
            <w:r>
              <w:rPr>
                <w:rFonts w:ascii="Times New Roman;Times;serif" w:hAnsi="Times New Roman;Times;serif"/>
                <w:sz w:val="22"/>
              </w:rPr>
              <w:t>3.75 to 1.00</w:t>
            </w:r>
          </w:p>
        </w:tc>
      </w:tr>
      <w:tr>
        <w:trPr/>
        <w:tc>
          <w:tcPr>
            <w:tcW w:w="7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sz w:val="22"/>
              </w:rPr>
            </w:pPr>
            <w:r>
              <w:rPr>
                <w:rFonts w:ascii="Times New Roman;Times;serif" w:hAnsi="Times New Roman;Times;serif"/>
                <w:sz w:val="22"/>
              </w:rPr>
              <w:t>Fiscal quarter ending September 30, 2026</w:t>
            </w:r>
          </w:p>
        </w:tc>
        <w:tc>
          <w:tcPr>
            <w:tcW w:w="17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2"/>
              </w:rPr>
            </w:pPr>
            <w:r>
              <w:rPr>
                <w:rFonts w:ascii="Times New Roman;Times;serif" w:hAnsi="Times New Roman;Times;serif"/>
                <w:sz w:val="22"/>
              </w:rPr>
              <w:t>4.25 to 1.00</w:t>
            </w:r>
          </w:p>
        </w:tc>
      </w:tr>
      <w:tr>
        <w:trPr/>
        <w:tc>
          <w:tcPr>
            <w:tcW w:w="7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sz w:val="22"/>
              </w:rPr>
            </w:pPr>
            <w:r>
              <w:rPr>
                <w:rFonts w:ascii="Times New Roman;Times;serif" w:hAnsi="Times New Roman;Times;serif"/>
                <w:sz w:val="22"/>
              </w:rPr>
              <w:t>Fiscal quarter ending December 31, 2026</w:t>
            </w:r>
          </w:p>
        </w:tc>
        <w:tc>
          <w:tcPr>
            <w:tcW w:w="17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2"/>
              </w:rPr>
            </w:pPr>
            <w:r>
              <w:rPr>
                <w:rFonts w:ascii="Times New Roman;Times;serif" w:hAnsi="Times New Roman;Times;serif"/>
                <w:sz w:val="22"/>
              </w:rPr>
              <w:t>4.25 to 1.00</w:t>
            </w:r>
          </w:p>
        </w:tc>
      </w:tr>
      <w:tr>
        <w:trPr/>
        <w:tc>
          <w:tcPr>
            <w:tcW w:w="7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sz w:val="22"/>
              </w:rPr>
            </w:pPr>
            <w:r>
              <w:rPr>
                <w:rFonts w:ascii="Times New Roman;Times;serif" w:hAnsi="Times New Roman;Times;serif"/>
                <w:sz w:val="22"/>
              </w:rPr>
              <w:t>Fiscal quarter ending March 31, 2027</w:t>
            </w:r>
          </w:p>
        </w:tc>
        <w:tc>
          <w:tcPr>
            <w:tcW w:w="17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2"/>
              </w:rPr>
            </w:pPr>
            <w:r>
              <w:rPr>
                <w:rFonts w:ascii="Times New Roman;Times;serif" w:hAnsi="Times New Roman;Times;serif"/>
                <w:sz w:val="22"/>
              </w:rPr>
              <w:t>4.00 to 1.00</w:t>
            </w:r>
          </w:p>
        </w:tc>
      </w:tr>
      <w:tr>
        <w:trPr/>
        <w:tc>
          <w:tcPr>
            <w:tcW w:w="7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sz w:val="22"/>
              </w:rPr>
            </w:pPr>
            <w:r>
              <w:rPr>
                <w:rFonts w:ascii="Times New Roman;Times;serif" w:hAnsi="Times New Roman;Times;serif"/>
                <w:sz w:val="22"/>
              </w:rPr>
              <w:t>Fiscal quarter ending June 30, 2027</w:t>
            </w:r>
          </w:p>
        </w:tc>
        <w:tc>
          <w:tcPr>
            <w:tcW w:w="17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2"/>
              </w:rPr>
            </w:pPr>
            <w:r>
              <w:rPr>
                <w:rFonts w:ascii="Times New Roman;Times;serif" w:hAnsi="Times New Roman;Times;serif"/>
                <w:sz w:val="22"/>
              </w:rPr>
              <w:t>3.75 to 1.00</w:t>
            </w:r>
          </w:p>
        </w:tc>
      </w:tr>
      <w:tr>
        <w:trPr/>
        <w:tc>
          <w:tcPr>
            <w:tcW w:w="7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sz w:val="22"/>
              </w:rPr>
            </w:pPr>
            <w:r>
              <w:rPr>
                <w:rFonts w:ascii="Times New Roman;Times;serif" w:hAnsi="Times New Roman;Times;serif"/>
                <w:sz w:val="22"/>
              </w:rPr>
              <w:t>Fiscal quarter ending September 30, 2027 and each fiscal quarter ending thereafter</w:t>
            </w:r>
          </w:p>
        </w:tc>
        <w:tc>
          <w:tcPr>
            <w:tcW w:w="17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2"/>
              </w:rPr>
            </w:pPr>
            <w:r>
              <w:rPr>
                <w:rFonts w:ascii="Times New Roman;Times;serif" w:hAnsi="Times New Roman;Times;serif"/>
                <w:sz w:val="22"/>
              </w:rPr>
              <w:t>3.75 to 1.00</w:t>
            </w:r>
          </w:p>
        </w:tc>
      </w:tr>
    </w:tbl>
    <w:p>
      <w:pPr>
        <w:pStyle w:val="TextBody"/>
        <w:bidi w:val="0"/>
        <w:spacing w:lineRule="auto" w:line="331" w:before="0" w:after="160"/>
        <w:ind w:left="0" w:right="0" w:hanging="0"/>
        <w:jc w:val="both"/>
        <w:rPr/>
      </w:pPr>
      <w:r>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(c)</w:t>
      </w:r>
      <w:r>
        <w:rPr>
          <w:rFonts w:ascii="Times New Roman;Times;serif" w:hAnsi="Times New Roman;Times;serif"/>
          <w:sz w:val="22"/>
          <w:u w:val="single"/>
        </w:rPr>
        <w:t>Interest Coverage Ratio</w:t>
      </w:r>
      <w:r>
        <w:rPr>
          <w:rFonts w:ascii="Times New Roman;Times;serif" w:hAnsi="Times New Roman;Times;serif"/>
          <w:sz w:val="22"/>
        </w:rPr>
        <w:t>.</w:t>
      </w:r>
    </w:p>
    <w:p>
      <w:pPr>
        <w:pStyle w:val="TextBody"/>
        <w:bidi w:val="0"/>
        <w:spacing w:lineRule="auto" w:line="285" w:before="0" w:after="240"/>
        <w:ind w:left="720" w:right="0" w:hanging="0"/>
        <w:jc w:val="both"/>
        <w:rPr>
          <w:rFonts w:ascii="Times New Roman;Times;serif" w:hAnsi="Times New Roman;Times;serif"/>
          <w:sz w:val="22"/>
        </w:rPr>
      </w:pPr>
      <w:r>
        <w:rPr>
          <w:rFonts w:ascii="Times New Roman;Times;serif" w:hAnsi="Times New Roman;Times;serif"/>
          <w:sz w:val="22"/>
        </w:rPr>
        <w:t>(i)For the fiscal quarter ending June 30, 2024, the US Borrower shall not suffer or permit the Interest Coverage Ratio as of the last day of such fiscal quarter to be less than 2.50 to 1.00.</w:t>
      </w:r>
    </w:p>
    <w:p>
      <w:pPr>
        <w:pStyle w:val="TextBody"/>
        <w:bidi w:val="0"/>
        <w:spacing w:lineRule="auto" w:line="285" w:before="0" w:after="0"/>
        <w:ind w:left="720" w:right="0" w:hanging="0"/>
        <w:jc w:val="both"/>
        <w:rPr>
          <w:rFonts w:ascii="Times New Roman;Times;serif" w:hAnsi="Times New Roman;Times;serif"/>
          <w:sz w:val="22"/>
        </w:rPr>
      </w:pPr>
      <w:r>
        <w:rPr>
          <w:rFonts w:ascii="Times New Roman;Times;serif" w:hAnsi="Times New Roman;Times;serif"/>
          <w:sz w:val="22"/>
        </w:rPr>
        <w:t>(ii)US Borrower shall not suffer or permit the Interest Coverage Ratio as of the last day of the most recently completed fiscal quarter to be less than the ratio set forth below for such fiscal quarter</w:t>
      </w:r>
    </w:p>
    <w:tbl>
      <w:tblPr>
        <w:tblW w:w="10205" w:type="dxa"/>
        <w:jc w:val="center"/>
        <w:tblInd w:w="0" w:type="dxa"/>
        <w:tblLayout w:type="fixed"/>
        <w:tblCellMar>
          <w:top w:w="28" w:type="dxa"/>
          <w:left w:w="103" w:type="dxa"/>
          <w:bottom w:w="28" w:type="dxa"/>
          <w:right w:w="103" w:type="dxa"/>
        </w:tblCellMar>
      </w:tblPr>
      <w:tblGrid>
        <w:gridCol w:w="8624"/>
        <w:gridCol w:w="1581"/>
      </w:tblGrid>
      <w:tr>
        <w:trPr/>
        <w:tc>
          <w:tcPr>
            <w:tcW w:w="8624"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lineRule="auto" w:line="304" w:before="0" w:after="0"/>
              <w:ind w:left="0" w:right="0" w:hanging="0"/>
              <w:jc w:val="center"/>
              <w:rPr>
                <w:rFonts w:ascii="Times New Roman;Times;serif" w:hAnsi="Times New Roman;Times;serif"/>
                <w:b/>
                <w:sz w:val="22"/>
              </w:rPr>
            </w:pPr>
            <w:r>
              <w:rPr>
                <w:rFonts w:ascii="Times New Roman;Times;serif" w:hAnsi="Times New Roman;Times;serif"/>
                <w:b/>
                <w:sz w:val="22"/>
              </w:rPr>
              <w:t>Period</w:t>
            </w:r>
          </w:p>
        </w:tc>
        <w:tc>
          <w:tcPr>
            <w:tcW w:w="1581"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lineRule="auto" w:line="304" w:before="0" w:after="0"/>
              <w:ind w:left="0" w:right="0" w:hanging="0"/>
              <w:jc w:val="center"/>
              <w:rPr>
                <w:rFonts w:ascii="Times New Roman;Times;serif" w:hAnsi="Times New Roman;Times;serif"/>
                <w:b/>
                <w:sz w:val="22"/>
              </w:rPr>
            </w:pPr>
            <w:r>
              <w:rPr>
                <w:rFonts w:ascii="Times New Roman;Times;serif" w:hAnsi="Times New Roman;Times;serif"/>
                <w:b/>
                <w:sz w:val="22"/>
              </w:rPr>
              <w:t>Minimum Ratio</w:t>
            </w:r>
          </w:p>
        </w:tc>
      </w:tr>
      <w:tr>
        <w:trPr/>
        <w:tc>
          <w:tcPr>
            <w:tcW w:w="862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sz w:val="22"/>
              </w:rPr>
            </w:pPr>
            <w:r>
              <w:rPr>
                <w:rFonts w:ascii="Times New Roman;Times;serif" w:hAnsi="Times New Roman;Times;serif"/>
                <w:sz w:val="22"/>
              </w:rPr>
              <w:t>Fiscal quarters ending September 30, 2024 through and including March 31, 2025</w:t>
            </w:r>
          </w:p>
        </w:tc>
        <w:tc>
          <w:tcPr>
            <w:tcW w:w="1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2"/>
              </w:rPr>
            </w:pPr>
            <w:r>
              <w:rPr>
                <w:rFonts w:ascii="Times New Roman;Times;serif" w:hAnsi="Times New Roman;Times;serif"/>
                <w:sz w:val="22"/>
              </w:rPr>
              <w:t>2.00 to 1.00</w:t>
            </w:r>
          </w:p>
        </w:tc>
      </w:tr>
      <w:tr>
        <w:trPr/>
        <w:tc>
          <w:tcPr>
            <w:tcW w:w="862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sz w:val="22"/>
              </w:rPr>
            </w:pPr>
            <w:r>
              <w:rPr>
                <w:rFonts w:ascii="Times New Roman;Times;serif" w:hAnsi="Times New Roman;Times;serif"/>
                <w:sz w:val="22"/>
              </w:rPr>
              <w:t>Fiscal quarter ending June 30, 2025</w:t>
            </w:r>
          </w:p>
          <w:p>
            <w:pPr>
              <w:pStyle w:val="TableContents"/>
              <w:bidi w:val="0"/>
              <w:spacing w:lineRule="auto" w:line="331" w:before="0" w:after="160"/>
              <w:ind w:left="0" w:right="0" w:hanging="0"/>
              <w:jc w:val="left"/>
              <w:rPr/>
            </w:pPr>
            <w:r>
              <w:rPr/>
              <w:t>​</w:t>
            </w:r>
          </w:p>
        </w:tc>
        <w:tc>
          <w:tcPr>
            <w:tcW w:w="1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2"/>
              </w:rPr>
            </w:pPr>
            <w:r>
              <w:rPr>
                <w:rFonts w:ascii="Times New Roman;Times;serif" w:hAnsi="Times New Roman;Times;serif"/>
                <w:sz w:val="22"/>
              </w:rPr>
              <w:t>2.25 to 1.00</w:t>
            </w:r>
          </w:p>
        </w:tc>
      </w:tr>
      <w:tr>
        <w:trPr/>
        <w:tc>
          <w:tcPr>
            <w:tcW w:w="862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sz w:val="22"/>
              </w:rPr>
            </w:pPr>
            <w:r>
              <w:rPr>
                <w:rFonts w:ascii="Times New Roman;Times;serif" w:hAnsi="Times New Roman;Times;serif"/>
                <w:sz w:val="22"/>
              </w:rPr>
              <w:t>Fiscal quarter ending September 30, 2025 and each fiscal quarter ending on or prior to December 31, 2026</w:t>
            </w:r>
          </w:p>
        </w:tc>
        <w:tc>
          <w:tcPr>
            <w:tcW w:w="1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2"/>
              </w:rPr>
            </w:pPr>
            <w:r>
              <w:rPr>
                <w:rFonts w:ascii="Times New Roman;Times;serif" w:hAnsi="Times New Roman;Times;serif"/>
                <w:sz w:val="22"/>
              </w:rPr>
              <w:t>2.50 to 1.00</w:t>
            </w:r>
          </w:p>
        </w:tc>
      </w:tr>
      <w:tr>
        <w:trPr/>
        <w:tc>
          <w:tcPr>
            <w:tcW w:w="862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sz w:val="22"/>
              </w:rPr>
            </w:pPr>
            <w:r>
              <w:rPr>
                <w:rFonts w:ascii="Times New Roman;Times;serif" w:hAnsi="Times New Roman;Times;serif"/>
                <w:sz w:val="22"/>
              </w:rPr>
              <w:t>Each fiscal quarter thereafter</w:t>
            </w:r>
          </w:p>
        </w:tc>
        <w:tc>
          <w:tcPr>
            <w:tcW w:w="1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2"/>
              </w:rPr>
            </w:pPr>
            <w:r>
              <w:rPr>
                <w:rFonts w:ascii="Times New Roman;Times;serif" w:hAnsi="Times New Roman;Times;serif"/>
                <w:sz w:val="22"/>
              </w:rPr>
              <w:t>2.00 to 1.00</w:t>
            </w:r>
          </w:p>
        </w:tc>
      </w:tr>
    </w:tbl>
    <w:p>
      <w:pPr>
        <w:pStyle w:val="TextBody"/>
        <w:bidi w:val="0"/>
        <w:spacing w:lineRule="auto" w:line="331" w:before="0" w:after="160"/>
        <w:ind w:left="1440" w:right="0" w:hanging="0"/>
        <w:jc w:val="both"/>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89</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ptos" w:hAnsi="Aptos"/>
          <w:sz w:val="24"/>
        </w:rPr>
      </w:pPr>
      <w:r>
        <w:rPr>
          <w:rFonts w:ascii="Times New Roman;Times;serif" w:hAnsi="Times New Roman;Times;serif"/>
          <w:sz w:val="22"/>
        </w:rPr>
        <w:t>(d)</w:t>
      </w:r>
      <w:r>
        <w:rPr>
          <w:rFonts w:ascii="Times New Roman;Times;serif" w:hAnsi="Times New Roman;Times;serif"/>
          <w:sz w:val="22"/>
          <w:u w:val="single"/>
        </w:rPr>
        <w:t>Available Liquidity for Expected Earn-Out Amount</w:t>
      </w:r>
      <w:r>
        <w:rPr>
          <w:rFonts w:ascii="Times New Roman;Times;serif" w:hAnsi="Times New Roman;Times;serif"/>
          <w:sz w:val="22"/>
        </w:rPr>
        <w:t>.  US Borrower shall not suffer or permit the Available Liquidity as of the last day of the most recently completed fiscal quarter to be less than the Expected Earn-Out Amount as of the last day of the most recently completed fiscal quarter.</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5.8</w:t>
      </w:r>
      <w:bookmarkStart w:id="1877" w:name="_Toc236844331"/>
      <w:bookmarkStart w:id="1878" w:name="_Toc172896677"/>
      <w:bookmarkEnd w:id="1877"/>
      <w:bookmarkEnd w:id="1878"/>
      <w:r>
        <w:rPr>
          <w:rFonts w:ascii="Times New Roman;Times;serif" w:hAnsi="Times New Roman;Times;serif"/>
          <w:sz w:val="22"/>
          <w:u w:val="single"/>
        </w:rPr>
        <w:t>Indebtedness</w:t>
      </w:r>
      <w:r>
        <w:rPr>
          <w:rFonts w:ascii="Times New Roman;Times;serif" w:hAnsi="Times New Roman;Times;serif"/>
          <w:sz w:val="22"/>
        </w:rPr>
        <w:t xml:space="preserve">.  No Company shall create, incur or have outstanding any Indebtedness of any kind;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 xml:space="preserve">that this </w:t>
      </w:r>
      <w:r>
        <w:rPr>
          <w:rFonts w:ascii="Times New Roman;Times;serif" w:hAnsi="Times New Roman;Times;serif"/>
          <w:sz w:val="22"/>
          <w:u w:val="single"/>
        </w:rPr>
        <w:t>Section 5.8</w:t>
      </w:r>
      <w:r>
        <w:rPr>
          <w:rFonts w:ascii="Aptos" w:hAnsi="Aptos"/>
          <w:sz w:val="24"/>
        </w:rPr>
        <w:t xml:space="preserve"> </w:t>
      </w:r>
      <w:r>
        <w:rPr>
          <w:rFonts w:ascii="Times New Roman;Times;serif" w:hAnsi="Times New Roman;Times;serif"/>
          <w:sz w:val="22"/>
        </w:rPr>
        <w:t>shall not apply to the following:</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(a)the Loans, the Letters of Credit and any other Indebtedness under this Agreement or any other Loan Document;</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(b)any loans granted to, or Capitalized Lease Obligations entered into by any Company for the purchase or lease of fixed assets (and refinancings of such loans or Capitalized Lease Obligations), which loans and Capitalized Lease Obligations shall only be secured by the fixed assets being purchased or leased;</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 xml:space="preserve">(c)the Indebtedness existing on the Sixth Amendment Effective Date, in addition to the other Indebtedness permitted to be incurred pursuant to this </w:t>
      </w:r>
      <w:r>
        <w:rPr>
          <w:rFonts w:ascii="Times New Roman;Times;serif" w:hAnsi="Times New Roman;Times;serif"/>
          <w:sz w:val="22"/>
          <w:u w:val="single"/>
        </w:rPr>
        <w:t>Section 5.8</w:t>
      </w:r>
      <w:r>
        <w:rPr>
          <w:rFonts w:ascii="Times New Roman;Times;serif" w:hAnsi="Times New Roman;Times;serif"/>
          <w:sz w:val="22"/>
        </w:rPr>
        <w:t xml:space="preserve">, as set forth in </w:t>
      </w:r>
      <w:r>
        <w:rPr>
          <w:rFonts w:ascii="Times New Roman;Times;serif" w:hAnsi="Times New Roman;Times;serif"/>
          <w:sz w:val="22"/>
          <w:u w:val="single"/>
        </w:rPr>
        <w:t>Schedule 5.8</w:t>
      </w:r>
      <w:r>
        <w:rPr>
          <w:rFonts w:ascii="Aptos" w:hAnsi="Aptos"/>
          <w:sz w:val="24"/>
        </w:rPr>
        <w:t xml:space="preserve"> </w:t>
      </w:r>
      <w:r>
        <w:rPr>
          <w:rFonts w:ascii="Times New Roman;Times;serif" w:hAnsi="Times New Roman;Times;serif"/>
          <w:sz w:val="22"/>
        </w:rPr>
        <w:t>hereto (and any extension, renewal or refinancing thereof but only to the extent that the principal amount thereof does not increase after the Sixth Amendment Effective Date);</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(d)Indebtedness incurred by Foreign Subsidiaries in an aggregate amount not to exceed, for all such Indebtedness of all Foreign Subsidiaries, the lesser of (i) seven and one-half percent (7.5%) of Consolidated Total Assets, or (ii) One Hundred Fifty Million Dollars ($150,000,000) at any time outstanding;</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 xml:space="preserve">(e)any loans from a Company to a Company permitted under </w:t>
      </w:r>
      <w:r>
        <w:rPr>
          <w:rFonts w:ascii="Times New Roman;Times;serif" w:hAnsi="Times New Roman;Times;serif"/>
          <w:sz w:val="22"/>
          <w:u w:val="single"/>
        </w:rPr>
        <w:t>Section 5.11</w:t>
      </w:r>
      <w:r>
        <w:rPr>
          <w:rFonts w:ascii="Aptos" w:hAnsi="Aptos"/>
          <w:sz w:val="24"/>
        </w:rPr>
        <w:t xml:space="preserve"> </w:t>
      </w:r>
      <w:r>
        <w:rPr>
          <w:rFonts w:ascii="Times New Roman;Times;serif" w:hAnsi="Times New Roman;Times;serif"/>
          <w:sz w:val="22"/>
        </w:rPr>
        <w:t>hereof;</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(f)Indebtedness under any Permitted Bond Hedge Transaction or Hedge Agreement, so long as, in the case of a Hedge Agreement, such Hedge Agreement shall have been entered into in the ordinary course of business and not for speculative purposes;</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 xml:space="preserve">(g)to the extent constituting Indebtedness, obligations of a Foreign Subsidiary under an accounts receivable facility that is otherwise in compliance with the applicable requirements set forth in </w:t>
      </w:r>
      <w:r>
        <w:rPr>
          <w:rFonts w:ascii="Times New Roman;Times;serif" w:hAnsi="Times New Roman;Times;serif"/>
          <w:sz w:val="22"/>
          <w:u w:val="single"/>
        </w:rPr>
        <w:t>Sections 5.9</w:t>
      </w:r>
      <w:r>
        <w:rPr>
          <w:rFonts w:ascii="Times New Roman;Times;serif" w:hAnsi="Times New Roman;Times;serif"/>
          <w:sz w:val="22"/>
        </w:rPr>
        <w:t xml:space="preserve">, </w:t>
      </w:r>
      <w:r>
        <w:rPr>
          <w:rFonts w:ascii="Times New Roman;Times;serif" w:hAnsi="Times New Roman;Times;serif"/>
          <w:sz w:val="22"/>
          <w:u w:val="single"/>
        </w:rPr>
        <w:t>5.11</w:t>
      </w:r>
      <w:r>
        <w:rPr>
          <w:rFonts w:ascii="Aptos" w:hAnsi="Aptos"/>
          <w:sz w:val="24"/>
        </w:rPr>
        <w:t xml:space="preserve"> </w:t>
      </w:r>
      <w:r>
        <w:rPr>
          <w:rFonts w:ascii="Times New Roman;Times;serif" w:hAnsi="Times New Roman;Times;serif"/>
          <w:sz w:val="22"/>
        </w:rPr>
        <w:t xml:space="preserve">and </w:t>
      </w:r>
      <w:r>
        <w:rPr>
          <w:rFonts w:ascii="Times New Roman;Times;serif" w:hAnsi="Times New Roman;Times;serif"/>
          <w:sz w:val="22"/>
          <w:u w:val="single"/>
        </w:rPr>
        <w:t>5.12</w:t>
      </w:r>
      <w:r>
        <w:rPr>
          <w:rFonts w:ascii="Aptos" w:hAnsi="Aptos"/>
          <w:sz w:val="24"/>
        </w:rPr>
        <w:t xml:space="preserve"> </w:t>
      </w:r>
      <w:r>
        <w:rPr>
          <w:rFonts w:ascii="Times New Roman;Times;serif" w:hAnsi="Times New Roman;Times;serif"/>
          <w:sz w:val="22"/>
        </w:rPr>
        <w:t xml:space="preserve">hereof;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that no portion of the Indebtedness or any other obligation (contingent or otherwise) under such facility is guaranteed by any Credit Party and no Credit Party provides, either directly or indirectly, any credit support of any kind in connection with such facility;</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 xml:space="preserve">(h)Subordinated Indebtedness, so long as (i) the Companies are in compliance (and in pro forma compliance after giving effect to such Subordinated Indebtedness) with the provisions of </w:t>
      </w:r>
      <w:r>
        <w:rPr>
          <w:rFonts w:ascii="Times New Roman;Times;serif" w:hAnsi="Times New Roman;Times;serif"/>
          <w:sz w:val="22"/>
          <w:u w:val="single"/>
        </w:rPr>
        <w:t>Article V</w:t>
      </w:r>
      <w:r>
        <w:rPr>
          <w:rFonts w:ascii="Aptos" w:hAnsi="Aptos"/>
          <w:sz w:val="24"/>
        </w:rPr>
        <w:t xml:space="preserve"> </w:t>
      </w:r>
      <w:r>
        <w:rPr>
          <w:rFonts w:ascii="Times New Roman;Times;serif" w:hAnsi="Times New Roman;Times;serif"/>
          <w:sz w:val="22"/>
        </w:rPr>
        <w:t>hereof, (ii) the documentation with respect to such Subordinated Indebtedness is in form and substance reasonably acceptable to Agent (and, if the aggregate amount of such Subordinated Indebtedness is in excess of Ten Million Dollars ($10,000,000), the Required Lenders), as determined by Agent and, if applicable, the Required Lenders, prior to the incurrence of such Subordinated Indebtedness, (iii) the maturity date (and earliest possible put date) of such Subordinated Indebtedness is at least thirty (30) days after the Revolving Credit Maturity Date then in effect, and (iv) prior to the incurrence of such Subordinated Indebtedness, if the aggregate amount of all Subordinated Indebtedness of the Foreign Subsidiaries exceeds (or will exceed, after the incurrence of such Subordinated Indebtedness) Ten Million Dollars ($10,000,000), each Foreign Subsidiary that is directly or indirectly liable for such Subordinated Indebtedness shall either become a Foreign Borrower or Foreign Guarantor of Payment, as appropriate, in the discretion of Agent, in consultation with US Borrower;</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90</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(i)Indebtedness of Percepta and its Subsidiaries in an aggregate amount at any time outstanding not to exceed the lesser of (i) twenty percent (20%) of the net revenues of Percepta and its Subsidiaries for the most recently completed four fiscal quarters, and (ii) Twenty Million Dollars ($20,000,000);</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(j)Indebtedness of a joint venture (in which one or more Companies own a minority equity interest) in an aggregate amount at any time outstanding not to exceed the lesser of (i) twenty percent (20%) of the net revenues of such joint venture for the most recently completed four fiscal quarters, and (ii) the total, for all such joint ventures incurred in reliance on this subpart (j), of Twenty Million Dollars ($20,000,000);</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 xml:space="preserve">(k)Indebtedness of a Company that was initially indebtedness of a target entity that has been acquired by the Companies pursuant to </w:t>
      </w:r>
      <w:r>
        <w:rPr>
          <w:rFonts w:ascii="Times New Roman;Times;serif" w:hAnsi="Times New Roman;Times;serif"/>
          <w:sz w:val="22"/>
          <w:u w:val="single"/>
        </w:rPr>
        <w:t>Section 5.13</w:t>
      </w:r>
      <w:r>
        <w:rPr>
          <w:rFonts w:ascii="Aptos" w:hAnsi="Aptos"/>
          <w:sz w:val="24"/>
        </w:rPr>
        <w:t xml:space="preserve"> </w:t>
      </w:r>
      <w:r>
        <w:rPr>
          <w:rFonts w:ascii="Times New Roman;Times;serif" w:hAnsi="Times New Roman;Times;serif"/>
          <w:sz w:val="22"/>
        </w:rPr>
        <w:t>hereof and that becomes Indebtedness of a Company through a merger of the target into a Company, so long as (i) such Indebtedness was not incurred in anticipation of such Acquisition, or (ii) if any such Indebtedness was incurred by a target entity (or entities) in anticipation of an Acquisition, the aggregate amount of all such Indebtedness for all Companies (with respect to all such Acquisitions) outstanding at any time (that in each case is outstanding beyond thirty (30) days after the relevant Indebtedness was acquired by the Companies) shall not exceed Twenty Million Dollars ($20,000,000);</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(l)Indebtedness of a Company incurred pursuant to Synthetic Leases;</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(m)Indebtedness of a Company that is owing to any governmental entity, including, without limitation, industrial revenue bonds and grants issued by any governmental entity to such Company;</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(n)other Indebtedness in an aggregate principal amount not to exceed five percent (5%) of Consolidated Total Assets of US Borrower at any time outstanding; and</w:t>
      </w:r>
    </w:p>
    <w:p>
      <w:pPr>
        <w:pStyle w:val="TextBody"/>
        <w:bidi w:val="0"/>
        <w:spacing w:lineRule="auto" w:line="285"/>
        <w:ind w:left="0" w:right="0" w:hanging="0"/>
        <w:jc w:val="both"/>
        <w:rPr>
          <w:rFonts w:ascii="Aptos" w:hAnsi="Aptos"/>
          <w:sz w:val="24"/>
        </w:rPr>
      </w:pPr>
      <w:r>
        <w:rPr>
          <w:rFonts w:ascii="Times New Roman;Times;serif" w:hAnsi="Times New Roman;Times;serif"/>
          <w:sz w:val="22"/>
        </w:rPr>
        <w:t xml:space="preserve">(o)other unsecured Indebtedness, including any Convertible Indebtedness, so long as (i) no Default or Event of Default shall then exist or immediately thereafter shall begin to exist, (ii) the maturity date (and earliest possible put date) of such Indebtedness is at least thirty (30) days after the Revolving Credit Maturity Date then in effect (except that in the case of any Convertible Indebtedness, any required redemption or repurchase upon a “fundamental change” (as customarily defined for such Convertible Indebtedness, but in any event including as a result of any change of control, asset sale, casualty event or de-listing of common stock) or any settlement upon conversion thereof (whether in cash, securities or other property) shall be permitted notwithstanding a possible occurrence prior to the Revolving Credit Maturity Date), (iii) after giving effect to the incurrence of such Indebtedness and the receipt and application of the proceeds thereof (determined based on the financial information received for the fiscal quarter most recently ended prior to the date of incurrence of such Indebtedness for which financial statements have been delivered to the Agent pursuant to </w:t>
      </w:r>
      <w:r>
        <w:rPr>
          <w:rFonts w:ascii="Times New Roman;Times;serif" w:hAnsi="Times New Roman;Times;serif"/>
          <w:sz w:val="22"/>
          <w:u w:val="single"/>
        </w:rPr>
        <w:t>Section 5.3(a)</w:t>
      </w:r>
      <w:r>
        <w:rPr>
          <w:rFonts w:ascii="Aptos" w:hAnsi="Aptos"/>
          <w:sz w:val="24"/>
        </w:rPr>
        <w:t xml:space="preserve"> </w:t>
      </w:r>
      <w:r>
        <w:rPr>
          <w:rFonts w:ascii="Times New Roman;Times;serif" w:hAnsi="Times New Roman;Times;serif"/>
          <w:sz w:val="22"/>
        </w:rPr>
        <w:t xml:space="preserve">or </w:t>
      </w:r>
      <w:r>
        <w:rPr>
          <w:rFonts w:ascii="Times New Roman;Times;serif" w:hAnsi="Times New Roman;Times;serif"/>
          <w:sz w:val="22"/>
          <w:u w:val="single"/>
        </w:rPr>
        <w:t>Section 5.3(b)</w:t>
      </w:r>
      <w:r>
        <w:rPr>
          <w:rFonts w:ascii="Times New Roman;Times;serif" w:hAnsi="Times New Roman;Times;serif"/>
          <w:sz w:val="22"/>
        </w:rPr>
        <w:t xml:space="preserve">, as applicable, and assuming the funding in full of such Indebtedness, but without netting the proceeds thereof) (A) the Companies are in compliance (and in pro forma compliance after giving effect to such Indebtedness) with the provisions of </w:t>
      </w:r>
      <w:r>
        <w:rPr>
          <w:rFonts w:ascii="Times New Roman;Times;serif" w:hAnsi="Times New Roman;Times;serif"/>
          <w:sz w:val="22"/>
          <w:u w:val="single"/>
        </w:rPr>
        <w:t>Section 5.7</w:t>
      </w:r>
      <w:r>
        <w:rPr>
          <w:rFonts w:ascii="Aptos" w:hAnsi="Aptos"/>
          <w:sz w:val="24"/>
        </w:rPr>
        <w:t xml:space="preserve"> </w:t>
      </w:r>
      <w:r>
        <w:rPr>
          <w:rFonts w:ascii="Times New Roman;Times;serif" w:hAnsi="Times New Roman;Times;serif"/>
          <w:sz w:val="22"/>
        </w:rPr>
        <w:t>hereof and (B) following a Qualifying Debt Issuance (including in connection with such Qualifying Debt Issuance), the Net Leverage Ratio does not exceed 4.75 to 1.00, and (iv) if the amount of such Indebtedness is equal to or greater than Twenty Million Dollars ($20,000,000), (A) the maturity date of such Indebtedness shall be at least ninety-one (91) days after the Revolving Credit Maturity Date, (B) such Indebtedness shall not contain additional financial maintenance covenants or financial maintenance covenants that are more restrictive on the US Borrower and its Subsidiaries than those under this Agreement and (C) the other terms and conditions thereof shall reflect then current market terms for such type of financings, as determined by the US Borrower in good faith.</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91</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firstLine="720"/>
        <w:jc w:val="both"/>
        <w:rPr>
          <w:rFonts w:ascii="Aptos" w:hAnsi="Aptos"/>
          <w:sz w:val="22"/>
        </w:rPr>
      </w:pPr>
      <w:r>
        <w:rPr>
          <w:rFonts w:ascii="Times New Roman;Times;serif" w:hAnsi="Times New Roman;Times;serif"/>
          <w:sz w:val="22"/>
        </w:rPr>
        <w:t xml:space="preserve">Notwithstanding anything to contrary in this </w:t>
      </w:r>
      <w:r>
        <w:rPr>
          <w:rFonts w:ascii="Times New Roman;Times;serif" w:hAnsi="Times New Roman;Times;serif"/>
          <w:sz w:val="22"/>
          <w:u w:val="single"/>
        </w:rPr>
        <w:t>Section 5.8</w:t>
      </w:r>
      <w:r>
        <w:rPr>
          <w:rFonts w:ascii="Times New Roman;Times;serif" w:hAnsi="Times New Roman;Times;serif"/>
          <w:sz w:val="22"/>
        </w:rPr>
        <w:t xml:space="preserve">, during the Covenant Adjustment Period, the aggregate outstanding principal amount of Indebtedness permitted to be incurred under this </w:t>
      </w:r>
      <w:r>
        <w:rPr>
          <w:rFonts w:ascii="Times New Roman;Times;serif" w:hAnsi="Times New Roman;Times;serif"/>
          <w:sz w:val="22"/>
          <w:u w:val="single"/>
        </w:rPr>
        <w:t>Section 5.8</w:t>
      </w:r>
      <w:r>
        <w:rPr>
          <w:rFonts w:ascii="Aptos" w:hAnsi="Aptos"/>
          <w:sz w:val="22"/>
        </w:rPr>
        <w:t xml:space="preserve"> </w:t>
      </w:r>
      <w:r>
        <w:rPr>
          <w:rFonts w:ascii="Times New Roman;Times;serif" w:hAnsi="Times New Roman;Times;serif"/>
          <w:sz w:val="22"/>
        </w:rPr>
        <w:t xml:space="preserve">following the Tenth Amendment Effective Date (other than pursuant to clauses (a), (c), (e), (f), (g) (in the case of clause (g), solely to the extent permitted under the last paragraph of </w:t>
      </w:r>
      <w:r>
        <w:rPr>
          <w:rFonts w:ascii="Times New Roman;Times;serif" w:hAnsi="Times New Roman;Times;serif"/>
          <w:sz w:val="22"/>
          <w:u w:val="single"/>
        </w:rPr>
        <w:t>Section 5.9</w:t>
      </w:r>
      <w:r>
        <w:rPr>
          <w:rFonts w:ascii="Times New Roman;Times;serif" w:hAnsi="Times New Roman;Times;serif"/>
          <w:sz w:val="22"/>
        </w:rPr>
        <w:t>), (h) and (m) hereof (and any extensions, renewals or refinancings of the forgoing)) shall not at any time exceed $12,500,000.</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5.9</w:t>
      </w:r>
      <w:bookmarkStart w:id="1879" w:name="_Toc236844332"/>
      <w:bookmarkStart w:id="1880" w:name="_Toc172896678"/>
      <w:bookmarkEnd w:id="1879"/>
      <w:bookmarkEnd w:id="1880"/>
      <w:r>
        <w:rPr>
          <w:rFonts w:ascii="Times New Roman;Times;serif" w:hAnsi="Times New Roman;Times;serif"/>
          <w:sz w:val="22"/>
          <w:u w:val="single"/>
        </w:rPr>
        <w:t>Liens</w:t>
      </w:r>
      <w:r>
        <w:rPr>
          <w:rFonts w:ascii="Times New Roman;Times;serif" w:hAnsi="Times New Roman;Times;serif"/>
          <w:sz w:val="22"/>
        </w:rPr>
        <w:t xml:space="preserve">.  No Company shall create, assume or suffer to exist (or enter into a contract that creates a consensual Lien upon the happening of a contingency or otherwise) any Lien upon any of its property or assets, whether now owned or hereafter acquired;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 xml:space="preserve">that this </w:t>
      </w:r>
      <w:r>
        <w:rPr>
          <w:rFonts w:ascii="Times New Roman;Times;serif" w:hAnsi="Times New Roman;Times;serif"/>
          <w:sz w:val="22"/>
          <w:u w:val="single"/>
        </w:rPr>
        <w:t>Section 5.9</w:t>
      </w:r>
      <w:r>
        <w:rPr>
          <w:rFonts w:ascii="Aptos" w:hAnsi="Aptos"/>
          <w:sz w:val="24"/>
        </w:rPr>
        <w:t xml:space="preserve"> </w:t>
      </w:r>
      <w:r>
        <w:rPr>
          <w:rFonts w:ascii="Times New Roman;Times;serif" w:hAnsi="Times New Roman;Times;serif"/>
          <w:sz w:val="22"/>
        </w:rPr>
        <w:t>shall not apply to the following:</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(a)Liens for taxes not yet due or that are being actively contested in good faith by appropriate proceedings and for which adequate reserves shall have been established in accordance with GAAP;</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(b)Liens of landlords, carriers, warehousers, utilities, mechanics, repairmen, workers and materialmen and other similar statutory or common law Liens, incidental to the conduct of its business or the ownership of its property and assets that (i) were not incurred in connection with the borrowing of money or the obtaining of advances or credit, and (ii) do not in the aggregate materially detract from the value of its property or assets or materially impair the use thereof in the operation of its business;</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(c)Liens on property or assets of a Subsidiary to secure obligations of such Subsidiary to a Credit Party;</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(d)any Lien granted to Agent, for the benefit of the Secured Parties;</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 xml:space="preserve">(e)the Liens existing on the Sixth Amendment Effective Date as set forth in </w:t>
      </w:r>
      <w:r>
        <w:rPr>
          <w:rFonts w:ascii="Times New Roman;Times;serif" w:hAnsi="Times New Roman;Times;serif"/>
          <w:sz w:val="22"/>
          <w:u w:val="single"/>
        </w:rPr>
        <w:t>Schedule 5.9</w:t>
      </w:r>
      <w:r>
        <w:rPr>
          <w:rFonts w:ascii="Aptos" w:hAnsi="Aptos"/>
          <w:sz w:val="24"/>
        </w:rPr>
        <w:t xml:space="preserve"> </w:t>
      </w:r>
      <w:r>
        <w:rPr>
          <w:rFonts w:ascii="Times New Roman;Times;serif" w:hAnsi="Times New Roman;Times;serif"/>
          <w:sz w:val="22"/>
        </w:rPr>
        <w:t>hereto and replacements, extensions, renewals, refundings or refinancings thereof, but only to the extent that the amount of debt secured thereby, and the amount and description of property subject to such Liens, shall not be increased;</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 xml:space="preserve">(f)purchase money Liens on fixed assets securing the loans and Capitalized Lease Obligations pursuant to </w:t>
      </w:r>
      <w:r>
        <w:rPr>
          <w:rFonts w:ascii="Times New Roman;Times;serif" w:hAnsi="Times New Roman;Times;serif"/>
          <w:sz w:val="22"/>
          <w:u w:val="single"/>
        </w:rPr>
        <w:t>Section 5.8(b)</w:t>
      </w:r>
      <w:r>
        <w:rPr>
          <w:rFonts w:ascii="Aptos" w:hAnsi="Aptos"/>
          <w:sz w:val="24"/>
        </w:rPr>
        <w:t xml:space="preserve"> </w:t>
      </w:r>
      <w:r>
        <w:rPr>
          <w:rFonts w:ascii="Times New Roman;Times;serif" w:hAnsi="Times New Roman;Times;serif"/>
          <w:sz w:val="22"/>
        </w:rPr>
        <w:t xml:space="preserve">hereof;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that such Lien is limited to the purchase price and only attaches to the property being acquired;</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(g)easements or other minor defects or irregularities in title of real property not interfering in any material respect with the use of such property in the business of any Company;</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 xml:space="preserve">(h)any Lien on assets owned by a Company as a result of an Acquisition permitted pursuant to </w:t>
      </w:r>
      <w:r>
        <w:rPr>
          <w:rFonts w:ascii="Times New Roman;Times;serif" w:hAnsi="Times New Roman;Times;serif"/>
          <w:sz w:val="22"/>
          <w:u w:val="single"/>
        </w:rPr>
        <w:t>Section 5.13</w:t>
      </w:r>
      <w:r>
        <w:rPr>
          <w:rFonts w:ascii="Aptos" w:hAnsi="Aptos"/>
          <w:sz w:val="24"/>
        </w:rPr>
        <w:t xml:space="preserve"> </w:t>
      </w:r>
      <w:r>
        <w:rPr>
          <w:rFonts w:ascii="Times New Roman;Times;serif" w:hAnsi="Times New Roman;Times;serif"/>
          <w:sz w:val="22"/>
        </w:rPr>
        <w:t xml:space="preserve">hereof, so long as (i) such Lien was not created at the time of or in contemplation of such Acquisition, (ii) the scope of such Lien is not expanded to cover additional assets beyond the scope of such Lien at the time of such Acquisition and (iii) to the extent such Lien secures Indebtedness, such Indebtedness is permitted pursuant to </w:t>
      </w:r>
      <w:r>
        <w:rPr>
          <w:rFonts w:ascii="Times New Roman;Times;serif" w:hAnsi="Times New Roman;Times;serif"/>
          <w:sz w:val="22"/>
          <w:u w:val="single"/>
        </w:rPr>
        <w:t>Section 5.8(k)</w:t>
      </w:r>
      <w:r>
        <w:rPr>
          <w:rFonts w:ascii="Aptos" w:hAnsi="Aptos"/>
          <w:sz w:val="24"/>
        </w:rPr>
        <w:t xml:space="preserve"> </w:t>
      </w:r>
      <w:r>
        <w:rPr>
          <w:rFonts w:ascii="Times New Roman;Times;serif" w:hAnsi="Times New Roman;Times;serif"/>
          <w:sz w:val="22"/>
        </w:rPr>
        <w:t>and such Lien secures only such Indebtedness;</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 xml:space="preserve">(i)any Lien on fixed assets owned by a Company to secure Indebtedness permitted pursuant to </w:t>
      </w:r>
      <w:r>
        <w:rPr>
          <w:rFonts w:ascii="Times New Roman;Times;serif" w:hAnsi="Times New Roman;Times;serif"/>
          <w:sz w:val="22"/>
          <w:u w:val="single"/>
        </w:rPr>
        <w:t>Section 5.8</w:t>
      </w:r>
      <w:r>
        <w:rPr>
          <w:rFonts w:ascii="Aptos" w:hAnsi="Aptos"/>
          <w:sz w:val="24"/>
        </w:rPr>
        <w:t xml:space="preserve"> </w:t>
      </w:r>
      <w:r>
        <w:rPr>
          <w:rFonts w:ascii="Times New Roman;Times;serif" w:hAnsi="Times New Roman;Times;serif"/>
          <w:sz w:val="22"/>
        </w:rPr>
        <w:t>hereof, in an aggregate amount, for all of the Companies, not to exceed Twenty-Five Million Dollars ($25,000,000) at any time outstanding;</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 xml:space="preserve">(j)any Lien on (i) assets of Percepta and its Subsidiaries securing Indebtedness permitted pursuant to </w:t>
      </w:r>
      <w:r>
        <w:rPr>
          <w:rFonts w:ascii="Times New Roman;Times;serif" w:hAnsi="Times New Roman;Times;serif"/>
          <w:sz w:val="22"/>
          <w:u w:val="single"/>
        </w:rPr>
        <w:t>Section 5.8(i)</w:t>
      </w:r>
      <w:r>
        <w:rPr>
          <w:rFonts w:ascii="Aptos" w:hAnsi="Aptos"/>
          <w:sz w:val="24"/>
        </w:rPr>
        <w:t xml:space="preserve"> </w:t>
      </w:r>
      <w:r>
        <w:rPr>
          <w:rFonts w:ascii="Times New Roman;Times;serif" w:hAnsi="Times New Roman;Times;serif"/>
          <w:sz w:val="22"/>
        </w:rPr>
        <w:t xml:space="preserve">hereof, (ii) assets of a joint venture securing Indebtedness permitted pursuant to </w:t>
      </w:r>
      <w:r>
        <w:rPr>
          <w:rFonts w:ascii="Times New Roman;Times;serif" w:hAnsi="Times New Roman;Times;serif"/>
          <w:sz w:val="22"/>
          <w:u w:val="single"/>
        </w:rPr>
        <w:t>Section 5.8(j)</w:t>
      </w:r>
      <w:r>
        <w:rPr>
          <w:rFonts w:ascii="Aptos" w:hAnsi="Aptos"/>
          <w:sz w:val="24"/>
        </w:rPr>
        <w:t xml:space="preserve"> </w:t>
      </w:r>
      <w:r>
        <w:rPr>
          <w:rFonts w:ascii="Times New Roman;Times;serif" w:hAnsi="Times New Roman;Times;serif"/>
          <w:sz w:val="22"/>
        </w:rPr>
        <w:t xml:space="preserve">hereof and (iii) assets of a Foreign Subsidiary that is not a Credit Party securing Indebtedness permitted pursuant to </w:t>
      </w:r>
      <w:r>
        <w:rPr>
          <w:rFonts w:ascii="Times New Roman;Times;serif" w:hAnsi="Times New Roman;Times;serif"/>
          <w:sz w:val="22"/>
          <w:u w:val="single"/>
        </w:rPr>
        <w:t>Section 5.8(d)</w:t>
      </w:r>
      <w:r>
        <w:rPr>
          <w:rFonts w:ascii="Aptos" w:hAnsi="Aptos"/>
          <w:sz w:val="24"/>
        </w:rPr>
        <w:t xml:space="preserve"> </w:t>
      </w:r>
      <w:r>
        <w:rPr>
          <w:rFonts w:ascii="Times New Roman;Times;serif" w:hAnsi="Times New Roman;Times;serif"/>
          <w:sz w:val="22"/>
        </w:rPr>
        <w:t>hereof;</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92</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 xml:space="preserve">(k)any U.C.C. Financing Statement filed to provide notice of (i) an Operating Lease entered into in the ordinary course of business, or (ii) a Synthetic Lease permitted under </w:t>
      </w:r>
      <w:r>
        <w:rPr>
          <w:rFonts w:ascii="Times New Roman;Times;serif" w:hAnsi="Times New Roman;Times;serif"/>
          <w:sz w:val="22"/>
          <w:u w:val="single"/>
        </w:rPr>
        <w:t>Section 5.8(l)</w:t>
      </w:r>
      <w:r>
        <w:rPr>
          <w:rFonts w:ascii="Aptos" w:hAnsi="Aptos"/>
          <w:sz w:val="24"/>
        </w:rPr>
        <w:t xml:space="preserve"> </w:t>
      </w:r>
      <w:r>
        <w:rPr>
          <w:rFonts w:ascii="Times New Roman;Times;serif" w:hAnsi="Times New Roman;Times;serif"/>
          <w:sz w:val="22"/>
        </w:rPr>
        <w:t>hereof;</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(l)Liens in favor of banks having a right of setoff, revocation, refund or chargeback with respect to money or instruments of US Borrower or any of its Subsidiaries on deposit with, or in the possession of, such bank, in each case in the ordinary course of business;</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(m)Liens securing Indebtedness owing to insurance carriers incurred to finance insurance premiums of the US Borrower or any of its Subsidiaries in the ordinary course of business in an aggregate principal amount not to exceed the amount of such insurance premiums to be paid for the following three (3) years;</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 xml:space="preserve">(n)Liens incurred in connection with any Permitted Factoring Transaction or an accounts receivable factoring facility of a Foreign Subsidiary permitted pursuant to </w:t>
      </w:r>
      <w:r>
        <w:rPr>
          <w:rFonts w:ascii="Times New Roman;Times;serif" w:hAnsi="Times New Roman;Times;serif"/>
          <w:sz w:val="22"/>
          <w:u w:val="single"/>
        </w:rPr>
        <w:t>Section 5.8(g)</w:t>
      </w:r>
      <w:r>
        <w:rPr>
          <w:rFonts w:ascii="Times New Roman;Times;serif" w:hAnsi="Times New Roman;Times;serif"/>
          <w:sz w:val="22"/>
        </w:rPr>
        <w:t xml:space="preserve">;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that such Liens do not at any time encumber any property other than the accounts receivable (including any supporting obligations related thereto and all proceeds thereof) sold (or otherwise subjected to such transaction) pursuant to any such transaction; provided, further, that in the case of a Foreign Subsidiary, such liens shall not exceed Twenty Five Million Dollars ($25,000,000) in the aggregate at any time outstanding; and</w:t>
      </w:r>
    </w:p>
    <w:p>
      <w:pPr>
        <w:pStyle w:val="TextBody"/>
        <w:bidi w:val="0"/>
        <w:spacing w:lineRule="auto" w:line="285"/>
        <w:ind w:left="0" w:right="0" w:hanging="0"/>
        <w:jc w:val="both"/>
        <w:rPr>
          <w:rFonts w:ascii="Times New Roman;Times;serif" w:hAnsi="Times New Roman;Times;serif"/>
          <w:sz w:val="22"/>
        </w:rPr>
      </w:pPr>
      <w:r>
        <w:rPr>
          <w:rFonts w:ascii="Times New Roman;Times;serif" w:hAnsi="Times New Roman;Times;serif"/>
          <w:sz w:val="22"/>
        </w:rPr>
        <w:t>(o)other Liens securing amounts not to exceed in the aggregate at any time outstanding the lesser of (i) Thirty Million Dollars ($30,000,000) and (ii) one and one-half percent (1.5%) of Consolidated Total Assets.</w:t>
      </w:r>
    </w:p>
    <w:p>
      <w:pPr>
        <w:pStyle w:val="TextBody"/>
        <w:bidi w:val="0"/>
        <w:spacing w:lineRule="auto" w:line="285" w:before="0" w:after="240"/>
        <w:ind w:left="0" w:right="0" w:firstLine="720"/>
        <w:jc w:val="both"/>
        <w:rPr>
          <w:rFonts w:ascii="Aptos" w:hAnsi="Aptos"/>
          <w:sz w:val="22"/>
        </w:rPr>
      </w:pPr>
      <w:r>
        <w:rPr>
          <w:rFonts w:ascii="Times New Roman;Times;serif" w:hAnsi="Times New Roman;Times;serif"/>
          <w:sz w:val="22"/>
        </w:rPr>
        <w:t xml:space="preserve">Notwithstanding anything to contrary in this </w:t>
      </w:r>
      <w:r>
        <w:rPr>
          <w:rFonts w:ascii="Times New Roman;Times;serif" w:hAnsi="Times New Roman;Times;serif"/>
          <w:sz w:val="22"/>
          <w:u w:val="single"/>
        </w:rPr>
        <w:t>Section 5.9</w:t>
      </w:r>
      <w:r>
        <w:rPr>
          <w:rFonts w:ascii="Times New Roman;Times;serif" w:hAnsi="Times New Roman;Times;serif"/>
          <w:sz w:val="22"/>
        </w:rPr>
        <w:t xml:space="preserve">, at all times during the Covenant Adjustment Period following the Tenth Amendment Effective Date, (i) in no event shall this </w:t>
      </w:r>
      <w:r>
        <w:rPr>
          <w:rFonts w:ascii="Times New Roman;Times;serif" w:hAnsi="Times New Roman;Times;serif"/>
          <w:sz w:val="22"/>
          <w:u w:val="single"/>
        </w:rPr>
        <w:t>Section 5.9</w:t>
      </w:r>
      <w:r>
        <w:rPr>
          <w:rFonts w:ascii="Aptos" w:hAnsi="Aptos"/>
          <w:sz w:val="22"/>
        </w:rPr>
        <w:t xml:space="preserve"> </w:t>
      </w:r>
      <w:r>
        <w:rPr>
          <w:rFonts w:ascii="Times New Roman;Times;serif" w:hAnsi="Times New Roman;Times;serif"/>
          <w:sz w:val="22"/>
        </w:rPr>
        <w:t xml:space="preserve">permit the incurrence of any consensual Liens on real property owned by any Credit Party or any Subsidiary thereof, other than Liens under clauses (a), (b), (d) and (g) of this </w:t>
      </w:r>
      <w:r>
        <w:rPr>
          <w:rFonts w:ascii="Times New Roman;Times;serif" w:hAnsi="Times New Roman;Times;serif"/>
          <w:sz w:val="22"/>
          <w:u w:val="single"/>
        </w:rPr>
        <w:t>Section 5.9</w:t>
      </w:r>
      <w:r>
        <w:rPr>
          <w:rFonts w:ascii="Times New Roman;Times;serif" w:hAnsi="Times New Roman;Times;serif"/>
          <w:sz w:val="22"/>
        </w:rPr>
        <w:t xml:space="preserve">; (ii) no Liens securing Indebtedness for borrowed money shall be permitted to be incurred pursuant to this </w:t>
      </w:r>
      <w:r>
        <w:rPr>
          <w:rFonts w:ascii="Times New Roman;Times;serif" w:hAnsi="Times New Roman;Times;serif"/>
          <w:sz w:val="22"/>
          <w:u w:val="single"/>
        </w:rPr>
        <w:t>Section 5.9</w:t>
      </w:r>
      <w:r>
        <w:rPr>
          <w:rFonts w:ascii="Aptos" w:hAnsi="Aptos"/>
          <w:sz w:val="22"/>
        </w:rPr>
        <w:t xml:space="preserve"> </w:t>
      </w:r>
      <w:r>
        <w:rPr>
          <w:rFonts w:ascii="Times New Roman;Times;serif" w:hAnsi="Times New Roman;Times;serif"/>
          <w:sz w:val="22"/>
        </w:rPr>
        <w:t xml:space="preserve">(other than pursuant to clauses (d), (e), (f), (h), (j), (k) and (m) hereof); (iii) except to the extent permitted in clause (iv) below or as otherwise may be approved by the Agent (in an aggregate amount not to exceed $25,000,000 at any time outstanding for all such Liens permitted under this clause (iii)), the aggregate amount of Liens permitted to be incurred securing any Permitted Factoring Transaction or an accounts receivable factoring facility of a Foreign Subsidiary permitted pursuant to </w:t>
      </w:r>
      <w:r>
        <w:rPr>
          <w:rFonts w:ascii="Times New Roman;Times;serif" w:hAnsi="Times New Roman;Times;serif"/>
          <w:sz w:val="22"/>
          <w:u w:val="single"/>
        </w:rPr>
        <w:t>Section 5.8(g)</w:t>
      </w:r>
      <w:r>
        <w:rPr>
          <w:rFonts w:ascii="Aptos" w:hAnsi="Aptos"/>
          <w:sz w:val="22"/>
        </w:rPr>
        <w:t xml:space="preserve"> </w:t>
      </w:r>
      <w:r>
        <w:rPr>
          <w:rFonts w:ascii="Times New Roman;Times;serif" w:hAnsi="Times New Roman;Times;serif"/>
          <w:sz w:val="22"/>
        </w:rPr>
        <w:t xml:space="preserve">shall not exceed $7,500,000 at any time outstanding; </w:t>
      </w:r>
      <w:r>
        <w:rPr>
          <w:rFonts w:ascii="Times New Roman;Times;serif" w:hAnsi="Times New Roman;Times;serif"/>
          <w:sz w:val="22"/>
          <w:u w:val="single"/>
        </w:rPr>
        <w:t>provided</w:t>
      </w:r>
      <w:r>
        <w:rPr>
          <w:rFonts w:ascii="Aptos" w:hAnsi="Aptos"/>
          <w:sz w:val="22"/>
        </w:rPr>
        <w:t xml:space="preserve"> </w:t>
      </w:r>
      <w:r>
        <w:rPr>
          <w:rFonts w:ascii="Times New Roman;Times;serif" w:hAnsi="Times New Roman;Times;serif"/>
          <w:sz w:val="22"/>
        </w:rPr>
        <w:t xml:space="preserve">that, following the Administrative Borrower’s delivery to the Agent of a Compliance Certificate demonstrating that the US Borrower is in compliance with the financial covenants set forth in </w:t>
      </w:r>
      <w:r>
        <w:rPr>
          <w:rFonts w:ascii="Times New Roman;Times;serif" w:hAnsi="Times New Roman;Times;serif"/>
          <w:sz w:val="22"/>
          <w:u w:val="single"/>
        </w:rPr>
        <w:t>Section 5.7</w:t>
      </w:r>
      <w:r>
        <w:rPr>
          <w:rFonts w:ascii="Aptos" w:hAnsi="Aptos"/>
          <w:sz w:val="22"/>
        </w:rPr>
        <w:t xml:space="preserve"> </w:t>
      </w:r>
      <w:r>
        <w:rPr>
          <w:rFonts w:ascii="Times New Roman;Times;serif" w:hAnsi="Times New Roman;Times;serif"/>
          <w:sz w:val="22"/>
        </w:rPr>
        <w:t xml:space="preserve">for the fiscal quarter ending June 30, 2025, Liens securing any Permitted Factoring Transaction or an accounts receivable factoring facility of a Foreign Subsidiary pursuant to </w:t>
      </w:r>
      <w:r>
        <w:rPr>
          <w:rFonts w:ascii="Times New Roman;Times;serif" w:hAnsi="Times New Roman;Times;serif"/>
          <w:sz w:val="22"/>
          <w:u w:val="single"/>
        </w:rPr>
        <w:t>Section 5.8(g)</w:t>
      </w:r>
      <w:r>
        <w:rPr>
          <w:rFonts w:ascii="Aptos" w:hAnsi="Aptos"/>
          <w:sz w:val="22"/>
        </w:rPr>
        <w:t xml:space="preserve"> </w:t>
      </w:r>
      <w:r>
        <w:rPr>
          <w:rFonts w:ascii="Times New Roman;Times;serif" w:hAnsi="Times New Roman;Times;serif"/>
          <w:sz w:val="22"/>
        </w:rPr>
        <w:t xml:space="preserve">shall be permitted under </w:t>
      </w:r>
      <w:r>
        <w:rPr>
          <w:rFonts w:ascii="Times New Roman;Times;serif" w:hAnsi="Times New Roman;Times;serif"/>
          <w:sz w:val="22"/>
          <w:u w:val="single"/>
        </w:rPr>
        <w:t>Section 5.9(n)</w:t>
      </w:r>
      <w:r>
        <w:rPr>
          <w:rFonts w:ascii="Aptos" w:hAnsi="Aptos"/>
          <w:sz w:val="22"/>
        </w:rPr>
        <w:t xml:space="preserve"> </w:t>
      </w:r>
      <w:r>
        <w:rPr>
          <w:rFonts w:ascii="Times New Roman;Times;serif" w:hAnsi="Times New Roman;Times;serif"/>
          <w:sz w:val="22"/>
        </w:rPr>
        <w:t>in aggregate amount not to exceed $12,500,000 at any time outstanding.</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5.10</w:t>
      </w:r>
      <w:bookmarkStart w:id="1881" w:name="_Toc236844333"/>
      <w:bookmarkStart w:id="1882" w:name="_Toc172896679"/>
      <w:bookmarkEnd w:id="1881"/>
      <w:bookmarkEnd w:id="1882"/>
      <w:r>
        <w:rPr>
          <w:rFonts w:ascii="Times New Roman;Times;serif" w:hAnsi="Times New Roman;Times;serif"/>
          <w:sz w:val="22"/>
          <w:u w:val="single"/>
        </w:rPr>
        <w:t>Regulations T, U and X</w:t>
      </w:r>
      <w:r>
        <w:rPr>
          <w:rFonts w:ascii="Times New Roman;Times;serif" w:hAnsi="Times New Roman;Times;serif"/>
          <w:sz w:val="22"/>
        </w:rPr>
        <w:t>.  No Company shall take any action that would result in any non-compliance of the Loans or Letters of Credit with Regulations T, U or X, or any other applicable regulation, of the FRB.  None of the proceeds of any Loan (or any conversion thereof) or Letter of Credit will be used to purchase or carry margin stock or extend credit to others to purchase or carry margin stock, in each case, in any manner that will violate, or be inconsistent with, the provisions of Regulation T, U or X of the FRB.</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5.11</w:t>
      </w:r>
      <w:bookmarkStart w:id="1883" w:name="_Toc236844334"/>
      <w:bookmarkStart w:id="1884" w:name="_Toc172896680"/>
      <w:bookmarkEnd w:id="1883"/>
      <w:bookmarkEnd w:id="1884"/>
      <w:r>
        <w:rPr>
          <w:rFonts w:ascii="Times New Roman;Times;serif" w:hAnsi="Times New Roman;Times;serif"/>
          <w:sz w:val="22"/>
          <w:u w:val="single"/>
        </w:rPr>
        <w:t>Investments, Loans and Guaranties</w:t>
      </w:r>
      <w:r>
        <w:rPr>
          <w:rFonts w:ascii="Times New Roman;Times;serif" w:hAnsi="Times New Roman;Times;serif"/>
          <w:sz w:val="22"/>
        </w:rPr>
        <w:t xml:space="preserve">.  No Company shall (a) create, acquire or hold any Subsidiary, (b) make or hold any investment in any stocks, bonds or securities of any kind, (c) be or become a party to any joint venture or other partnership, (d) make or keep outstanding any advance or loan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93</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 xml:space="preserve">to any Person, or (e) be or become a Guarantor of any kind (other than a Guarantor of Payment under the Loan Documents);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 xml:space="preserve">that this </w:t>
      </w:r>
      <w:r>
        <w:rPr>
          <w:rFonts w:ascii="Times New Roman;Times;serif" w:hAnsi="Times New Roman;Times;serif"/>
          <w:sz w:val="22"/>
          <w:u w:val="single"/>
        </w:rPr>
        <w:t>Section 5.11</w:t>
      </w:r>
      <w:r>
        <w:rPr>
          <w:rFonts w:ascii="Aptos" w:hAnsi="Aptos"/>
          <w:sz w:val="24"/>
        </w:rPr>
        <w:t xml:space="preserve"> </w:t>
      </w:r>
      <w:r>
        <w:rPr>
          <w:rFonts w:ascii="Times New Roman;Times;serif" w:hAnsi="Times New Roman;Times;serif"/>
          <w:sz w:val="22"/>
        </w:rPr>
        <w:t>shall not apply to the following:</w:t>
      </w:r>
    </w:p>
    <w:p>
      <w:pPr>
        <w:pStyle w:val="TextBody"/>
        <w:bidi w:val="0"/>
        <w:spacing w:lineRule="auto" w:line="285" w:before="0" w:after="240"/>
        <w:ind w:left="720" w:right="0" w:hanging="0"/>
        <w:jc w:val="both"/>
        <w:rPr>
          <w:rFonts w:ascii="Times New Roman;Times;serif" w:hAnsi="Times New Roman;Times;serif"/>
          <w:sz w:val="22"/>
        </w:rPr>
      </w:pPr>
      <w:r>
        <w:rPr>
          <w:rFonts w:ascii="Times New Roman;Times;serif" w:hAnsi="Times New Roman;Times;serif"/>
          <w:sz w:val="22"/>
        </w:rPr>
        <w:t>(i)investments made in accordance with the Borrower Investment Policy;</w:t>
      </w:r>
    </w:p>
    <w:p>
      <w:pPr>
        <w:pStyle w:val="TextBody"/>
        <w:bidi w:val="0"/>
        <w:spacing w:lineRule="auto" w:line="285" w:before="0" w:after="240"/>
        <w:ind w:left="720" w:right="0" w:hanging="0"/>
        <w:jc w:val="both"/>
        <w:rPr>
          <w:rFonts w:ascii="Times New Roman;Times;serif" w:hAnsi="Times New Roman;Times;serif"/>
          <w:sz w:val="22"/>
        </w:rPr>
      </w:pPr>
      <w:r>
        <w:rPr>
          <w:rFonts w:ascii="Times New Roman;Times;serif" w:hAnsi="Times New Roman;Times;serif"/>
          <w:sz w:val="22"/>
        </w:rPr>
        <w:t>(ii)the holding of each of the Subsidiaries in existence as of the Sixth Amendment Effective Date, and the creation, acquisition and holding of, and any investment in, any new Subsidiary after the Sixth Amendment Effective Date so long as such new Subsidiary shall have been created, acquired or held, and investments made, in accordance with the terms and conditions of this Agreement;</w:t>
      </w:r>
    </w:p>
    <w:p>
      <w:pPr>
        <w:pStyle w:val="TextBody"/>
        <w:bidi w:val="0"/>
        <w:spacing w:lineRule="auto" w:line="285" w:before="0" w:after="240"/>
        <w:ind w:left="720" w:right="0" w:hanging="0"/>
        <w:jc w:val="both"/>
        <w:rPr>
          <w:rFonts w:ascii="Times New Roman;Times;serif" w:hAnsi="Times New Roman;Times;serif"/>
          <w:sz w:val="22"/>
        </w:rPr>
      </w:pPr>
      <w:r>
        <w:rPr>
          <w:rFonts w:ascii="Times New Roman;Times;serif" w:hAnsi="Times New Roman;Times;serif"/>
          <w:sz w:val="22"/>
        </w:rPr>
        <w:t>(iii)any investment in, loan to or guaranty of the Indebtedness of, US Borrower or a Domestic Guarantor of Payment from or by a Company;</w:t>
      </w:r>
    </w:p>
    <w:p>
      <w:pPr>
        <w:pStyle w:val="TextBody"/>
        <w:bidi w:val="0"/>
        <w:spacing w:lineRule="auto" w:line="285" w:before="0" w:after="240"/>
        <w:ind w:left="720" w:right="0" w:hanging="0"/>
        <w:jc w:val="both"/>
        <w:rPr>
          <w:rFonts w:ascii="Times New Roman;Times;serif" w:hAnsi="Times New Roman;Times;serif"/>
          <w:sz w:val="22"/>
        </w:rPr>
      </w:pPr>
      <w:r>
        <w:rPr>
          <w:rFonts w:ascii="Times New Roman;Times;serif" w:hAnsi="Times New Roman;Times;serif"/>
          <w:sz w:val="22"/>
        </w:rPr>
        <w:t>(iv)any investment in, loan to or guaranty of the Indebtedness of, a Foreign Borrower or a Foreign Guarantor of Payment from or by a Foreign Borrower or a Foreign Guarantor of Payment;</w:t>
      </w:r>
    </w:p>
    <w:p>
      <w:pPr>
        <w:pStyle w:val="TextBody"/>
        <w:bidi w:val="0"/>
        <w:spacing w:lineRule="auto" w:line="285" w:before="0" w:after="240"/>
        <w:ind w:left="720" w:right="0" w:hanging="0"/>
        <w:jc w:val="both"/>
        <w:rPr>
          <w:rFonts w:ascii="Aptos" w:hAnsi="Aptos"/>
          <w:sz w:val="24"/>
        </w:rPr>
      </w:pPr>
      <w:r>
        <w:rPr>
          <w:rFonts w:ascii="Times New Roman;Times;serif" w:hAnsi="Times New Roman;Times;serif"/>
          <w:sz w:val="22"/>
        </w:rPr>
        <w:t xml:space="preserve">(v)any investment in, loan to, or guaranty of the Indebtedness of, a Foreign Subsidiary or any Domestic Subsidiary that is not a Guarantor of Payment so long as the Companies are in compliance (and in pro forma compliance after giving effect to such loan, investment or guaranty) with the provisions of </w:t>
      </w:r>
      <w:r>
        <w:rPr>
          <w:rFonts w:ascii="Times New Roman;Times;serif" w:hAnsi="Times New Roman;Times;serif"/>
          <w:sz w:val="22"/>
          <w:u w:val="single"/>
        </w:rPr>
        <w:t>Section 5.7</w:t>
      </w:r>
      <w:r>
        <w:rPr>
          <w:rFonts w:ascii="Aptos" w:hAnsi="Aptos"/>
          <w:sz w:val="24"/>
        </w:rPr>
        <w:t xml:space="preserve"> </w:t>
      </w:r>
      <w:r>
        <w:rPr>
          <w:rFonts w:ascii="Times New Roman;Times;serif" w:hAnsi="Times New Roman;Times;serif"/>
          <w:sz w:val="22"/>
        </w:rPr>
        <w:t xml:space="preserve">hereof, in each case, in the ordinary course of business consistent with past practice of the Companies; </w:t>
      </w:r>
    </w:p>
    <w:p>
      <w:pPr>
        <w:pStyle w:val="TextBody"/>
        <w:bidi w:val="0"/>
        <w:spacing w:lineRule="auto" w:line="285" w:before="0" w:after="240"/>
        <w:ind w:left="720" w:right="0" w:hanging="0"/>
        <w:jc w:val="both"/>
        <w:rPr>
          <w:rFonts w:ascii="Aptos" w:hAnsi="Aptos"/>
          <w:sz w:val="24"/>
        </w:rPr>
      </w:pPr>
      <w:r>
        <w:rPr>
          <w:rFonts w:ascii="Times New Roman;Times;serif" w:hAnsi="Times New Roman;Times;serif"/>
          <w:sz w:val="22"/>
        </w:rPr>
        <w:t xml:space="preserve">(vi)any investment in, loan to or guaranty of the Indebtedness of, a joint venture of a Company, so long as the Companies are in compliance (and in pro forma compliance after giving effect to such investment) with the provisions of </w:t>
      </w:r>
      <w:r>
        <w:rPr>
          <w:rFonts w:ascii="Times New Roman;Times;serif" w:hAnsi="Times New Roman;Times;serif"/>
          <w:sz w:val="22"/>
          <w:u w:val="single"/>
        </w:rPr>
        <w:t>Section 5.7</w:t>
      </w:r>
      <w:r>
        <w:rPr>
          <w:rFonts w:ascii="Aptos" w:hAnsi="Aptos"/>
          <w:sz w:val="24"/>
        </w:rPr>
        <w:t xml:space="preserve"> </w:t>
      </w:r>
      <w:r>
        <w:rPr>
          <w:rFonts w:ascii="Times New Roman;Times;serif" w:hAnsi="Times New Roman;Times;serif"/>
          <w:sz w:val="22"/>
        </w:rPr>
        <w:t xml:space="preserve">hereof; </w:t>
      </w:r>
    </w:p>
    <w:p>
      <w:pPr>
        <w:pStyle w:val="TextBody"/>
        <w:bidi w:val="0"/>
        <w:spacing w:lineRule="auto" w:line="285" w:before="0" w:after="240"/>
        <w:ind w:left="720" w:right="0" w:hanging="0"/>
        <w:jc w:val="both"/>
        <w:rPr>
          <w:rFonts w:ascii="Times New Roman;Times;serif" w:hAnsi="Times New Roman;Times;serif"/>
          <w:sz w:val="22"/>
        </w:rPr>
      </w:pPr>
      <w:r>
        <w:rPr>
          <w:rFonts w:ascii="Times New Roman;Times;serif" w:hAnsi="Times New Roman;Times;serif"/>
          <w:sz w:val="22"/>
        </w:rPr>
        <w:t>(vii)any advance or loan to an officer or employee of a Company, so long as all such advances and loans from all Companies (specifically excluding any advance or loan assumed through an Acquisition) aggregate not more than the principal sum of Five Million Dollars ($5,000,000) at any time outstanding;</w:t>
      </w:r>
    </w:p>
    <w:p>
      <w:pPr>
        <w:pStyle w:val="TextBody"/>
        <w:bidi w:val="0"/>
        <w:spacing w:lineRule="auto" w:line="285" w:before="0" w:after="240"/>
        <w:ind w:left="720" w:right="0" w:hanging="0"/>
        <w:jc w:val="both"/>
        <w:rPr>
          <w:rFonts w:ascii="Aptos" w:hAnsi="Aptos"/>
          <w:sz w:val="24"/>
        </w:rPr>
      </w:pPr>
      <w:r>
        <w:rPr>
          <w:rFonts w:ascii="Times New Roman;Times;serif" w:hAnsi="Times New Roman;Times;serif"/>
          <w:sz w:val="22"/>
        </w:rPr>
        <w:t xml:space="preserve">(viii)the holding of any stock that has been acquired pursuant to an Acquisition permitted under </w:t>
      </w:r>
      <w:r>
        <w:rPr>
          <w:rFonts w:ascii="Times New Roman;Times;serif" w:hAnsi="Times New Roman;Times;serif"/>
          <w:sz w:val="22"/>
          <w:u w:val="single"/>
        </w:rPr>
        <w:t>Section 5.13</w:t>
      </w:r>
      <w:r>
        <w:rPr>
          <w:rFonts w:ascii="Aptos" w:hAnsi="Aptos"/>
          <w:sz w:val="24"/>
        </w:rPr>
        <w:t xml:space="preserve"> </w:t>
      </w:r>
      <w:r>
        <w:rPr>
          <w:rFonts w:ascii="Times New Roman;Times;serif" w:hAnsi="Times New Roman;Times;serif"/>
          <w:sz w:val="22"/>
        </w:rPr>
        <w:t>hereof;</w:t>
      </w:r>
    </w:p>
    <w:p>
      <w:pPr>
        <w:pStyle w:val="TextBody"/>
        <w:bidi w:val="0"/>
        <w:spacing w:lineRule="auto" w:line="285" w:before="0" w:after="240"/>
        <w:ind w:left="720" w:right="0" w:hanging="0"/>
        <w:jc w:val="both"/>
        <w:rPr>
          <w:rFonts w:ascii="Aptos" w:hAnsi="Aptos"/>
          <w:sz w:val="24"/>
        </w:rPr>
      </w:pPr>
      <w:r>
        <w:rPr>
          <w:rFonts w:ascii="Times New Roman;Times;serif" w:hAnsi="Times New Roman;Times;serif"/>
          <w:sz w:val="22"/>
        </w:rPr>
        <w:t xml:space="preserve">(ix)other investments of, loans from or guaranties by, the Companies after the Sixth Amendment Effective Date in an aggregate amount at any time outstanding not to exceed, for all Companies, five percent (5%) of Consolidated Total Assets of US Borrower;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that client-related performance guaranties shall not be included in the calculation of the foregoing amounts;</w:t>
      </w:r>
    </w:p>
    <w:p>
      <w:pPr>
        <w:pStyle w:val="TextBody"/>
        <w:bidi w:val="0"/>
        <w:spacing w:lineRule="auto" w:line="285" w:before="0" w:after="240"/>
        <w:ind w:left="720" w:right="0" w:hanging="0"/>
        <w:jc w:val="both"/>
        <w:rPr>
          <w:rFonts w:ascii="Times New Roman;Times;serif" w:hAnsi="Times New Roman;Times;serif"/>
          <w:sz w:val="22"/>
        </w:rPr>
      </w:pPr>
      <w:r>
        <w:rPr>
          <w:rFonts w:ascii="Times New Roman;Times;serif" w:hAnsi="Times New Roman;Times;serif"/>
          <w:sz w:val="22"/>
        </w:rPr>
        <w:t>(x)any Permitted Bond Hedge Transaction and any Permitted Warrant Transaction;</w:t>
      </w:r>
    </w:p>
    <w:p>
      <w:pPr>
        <w:pStyle w:val="TextBody"/>
        <w:bidi w:val="0"/>
        <w:spacing w:lineRule="auto" w:line="285" w:before="0" w:after="240"/>
        <w:ind w:left="720" w:right="0" w:hanging="0"/>
        <w:jc w:val="both"/>
        <w:rPr>
          <w:rFonts w:ascii="Aptos" w:hAnsi="Aptos"/>
          <w:sz w:val="24"/>
        </w:rPr>
      </w:pPr>
      <w:r>
        <w:rPr>
          <w:rFonts w:ascii="Times New Roman;Times;serif" w:hAnsi="Times New Roman;Times;serif"/>
          <w:sz w:val="22"/>
        </w:rPr>
        <w:t xml:space="preserve">(xi)any investment constituting a Restricted Payment permitted under </w:t>
      </w:r>
      <w:r>
        <w:rPr>
          <w:rFonts w:ascii="Times New Roman;Times;serif" w:hAnsi="Times New Roman;Times;serif"/>
          <w:sz w:val="22"/>
          <w:u w:val="single"/>
        </w:rPr>
        <w:t>Section 5.15</w:t>
      </w:r>
      <w:r>
        <w:rPr>
          <w:rFonts w:ascii="Aptos" w:hAnsi="Aptos"/>
          <w:sz w:val="24"/>
        </w:rPr>
        <w:t xml:space="preserve"> </w:t>
      </w:r>
      <w:r>
        <w:rPr>
          <w:rFonts w:ascii="Times New Roman;Times;serif" w:hAnsi="Times New Roman;Times;serif"/>
          <w:sz w:val="22"/>
        </w:rPr>
        <w:t>hereof; or</w:t>
      </w:r>
    </w:p>
    <w:p>
      <w:pPr>
        <w:pStyle w:val="TextBody"/>
        <w:bidi w:val="0"/>
        <w:spacing w:lineRule="auto" w:line="285"/>
        <w:ind w:left="720" w:right="0" w:hanging="0"/>
        <w:jc w:val="both"/>
        <w:rPr>
          <w:rFonts w:ascii="Times New Roman;Times;serif" w:hAnsi="Times New Roman;Times;serif"/>
          <w:sz w:val="22"/>
        </w:rPr>
      </w:pPr>
      <w:r>
        <w:rPr>
          <w:rFonts w:ascii="Times New Roman;Times;serif" w:hAnsi="Times New Roman;Times;serif"/>
          <w:sz w:val="22"/>
        </w:rPr>
        <w:t>(xii)a Guaranty by the US Borrower of a Company’s (other than a Foreign Subsidiary) obligations under a Permitted Factoring Transaction.</w:t>
      </w:r>
    </w:p>
    <w:p>
      <w:pPr>
        <w:pStyle w:val="TextBody"/>
        <w:bidi w:val="0"/>
        <w:spacing w:lineRule="auto" w:line="285" w:before="0" w:after="0"/>
        <w:ind w:left="0" w:right="0" w:firstLine="720"/>
        <w:jc w:val="both"/>
        <w:rPr>
          <w:rFonts w:ascii="Aptos" w:hAnsi="Aptos"/>
          <w:sz w:val="22"/>
        </w:rPr>
      </w:pPr>
      <w:r>
        <w:rPr>
          <w:rFonts w:ascii="Times New Roman;Times;serif" w:hAnsi="Times New Roman;Times;serif"/>
          <w:sz w:val="22"/>
        </w:rPr>
        <w:t xml:space="preserve">Notwithstanding anything to contrary in this </w:t>
      </w:r>
      <w:r>
        <w:rPr>
          <w:rFonts w:ascii="Times New Roman;Times;serif" w:hAnsi="Times New Roman;Times;serif"/>
          <w:sz w:val="22"/>
          <w:u w:val="single"/>
        </w:rPr>
        <w:t>Section 5.11</w:t>
      </w:r>
      <w:r>
        <w:rPr>
          <w:rFonts w:ascii="Times New Roman;Times;serif" w:hAnsi="Times New Roman;Times;serif"/>
          <w:sz w:val="22"/>
        </w:rPr>
        <w:t xml:space="preserve">, during the Covenant Adjustment Period, the aggregate outstanding amount of investments of, loans from or guaranties by, the Companies (or any of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94</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Aptos" w:hAnsi="Aptos"/>
          <w:sz w:val="22"/>
        </w:rPr>
      </w:pPr>
      <w:r>
        <w:rPr>
          <w:rFonts w:ascii="Times New Roman;Times;serif" w:hAnsi="Times New Roman;Times;serif"/>
          <w:sz w:val="22"/>
        </w:rPr>
        <w:t xml:space="preserve">them) incurred following the Tenth Amendment Effective Date pursuant to this </w:t>
      </w:r>
      <w:r>
        <w:rPr>
          <w:rFonts w:ascii="Times New Roman;Times;serif" w:hAnsi="Times New Roman;Times;serif"/>
          <w:sz w:val="22"/>
          <w:u w:val="single"/>
        </w:rPr>
        <w:t>Section 5.11</w:t>
      </w:r>
      <w:r>
        <w:rPr>
          <w:rFonts w:ascii="Aptos" w:hAnsi="Aptos"/>
          <w:sz w:val="22"/>
        </w:rPr>
        <w:t xml:space="preserve"> </w:t>
      </w:r>
      <w:r>
        <w:rPr>
          <w:rFonts w:ascii="Times New Roman;Times;serif" w:hAnsi="Times New Roman;Times;serif"/>
          <w:sz w:val="22"/>
        </w:rPr>
        <w:t xml:space="preserve">(other than pursuant to clauses (i), (ii), (iii), (v), (viii), (xi) and </w:t>
      </w:r>
      <w:bookmarkStart w:id="1885" w:name="_Hlk173397354"/>
      <w:bookmarkEnd w:id="1885"/>
      <w:r>
        <w:rPr>
          <w:rFonts w:ascii="Times New Roman;Times;serif" w:hAnsi="Times New Roman;Times;serif"/>
          <w:sz w:val="22"/>
        </w:rPr>
        <w:t xml:space="preserve">(xii) (in the case of clause (xii), subject to the last paragraph of </w:t>
      </w:r>
      <w:r>
        <w:rPr>
          <w:rFonts w:ascii="Times New Roman;Times;serif" w:hAnsi="Times New Roman;Times;serif"/>
          <w:sz w:val="22"/>
          <w:u w:val="single"/>
        </w:rPr>
        <w:t>Section 5.9</w:t>
      </w:r>
      <w:r>
        <w:rPr>
          <w:rFonts w:ascii="Times New Roman;Times;serif" w:hAnsi="Times New Roman;Times;serif"/>
          <w:sz w:val="22"/>
        </w:rPr>
        <w:t>) shall not at any time exceed $12,500,000.</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5.12</w:t>
      </w:r>
      <w:bookmarkStart w:id="1886" w:name="_Toc236844335"/>
      <w:bookmarkStart w:id="1887" w:name="_Toc172896681"/>
      <w:bookmarkEnd w:id="1886"/>
      <w:bookmarkEnd w:id="1887"/>
      <w:r>
        <w:rPr>
          <w:rFonts w:ascii="Times New Roman;Times;serif" w:hAnsi="Times New Roman;Times;serif"/>
          <w:sz w:val="22"/>
          <w:u w:val="single"/>
        </w:rPr>
        <w:t>Merger and Sale of Assets</w:t>
      </w:r>
      <w:r>
        <w:rPr>
          <w:rFonts w:ascii="Times New Roman;Times;serif" w:hAnsi="Times New Roman;Times;serif"/>
          <w:sz w:val="22"/>
        </w:rPr>
        <w:t>.  No Company shall merge, amalgamate or consolidate with any other Person, or sell, lease or transfer or otherwise dispose of any assets (including pursuant to a statutory division) to any Person, except that, if no Default or Event of Default shall then exist or immediately thereafter shall begin to exist: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(a)any Domestic Subsidiary may merge with (i) US Borrower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that US Borrower shall be the continuing or surviving Person) or (ii) any one or more Domestic Guarantors of Payment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that a Domestic Guarantor of Payment shall be the continuing or surviving Person);</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(b)any Domestic Subsidiary may sell, lease, transfer or otherwise dispose of any of its assets (including pursuant to a statutory division) to (i) US Borrower or (ii) any Domestic Guarantor of Payment;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 xml:space="preserve">(c)any Domestic Subsidiary (other than a Credit Party) may merge with or sell, lease, transfer or otherwise dispose of any of its assets (including pursuant to a statutory division) to any other Domestic Subsidiary or, to the extent such transaction constitutes an investment permitted pursuant to </w:t>
      </w:r>
      <w:r>
        <w:rPr>
          <w:rFonts w:ascii="Times New Roman;Times;serif" w:hAnsi="Times New Roman;Times;serif"/>
          <w:sz w:val="22"/>
          <w:u w:val="single"/>
        </w:rPr>
        <w:t>Section 5.11</w:t>
      </w:r>
      <w:r>
        <w:rPr>
          <w:rFonts w:ascii="Times New Roman;Times;serif" w:hAnsi="Times New Roman;Times;serif"/>
          <w:sz w:val="22"/>
        </w:rPr>
        <w:t>, any Foreign Subsidiary;</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(d)any Foreign Subsidiary may merge or amalgamate with (i) US Borrower, provided that US Borrower shall be the continuing or surviving Person, (ii) any one or more Domestic Guarantors of Payment, provided that a Domestic Guarantor of Payment shall be the continuing or surviving Person, and (iii) any other Foreign Subsidiary, provided that, if such merger or amalgamation includes a Credit Party, a Credit Party shall be the continuing or surviving Person or the surviving Person shall become a Credit Party and assume the obligations of the Credit Party;</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(e)any Foreign Subsidiary (other than a Credit Party) may sell, lease, transfer or otherwise dispose of any assets (including pursuant to a statutory division) that are not equity interests in Credit Parties;</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(f)the Companies may sell all of the equity interests in a Foreign Borrower or Foreign Guarantor of Payment, or dissolve or liquidate a Foreign Borrower or Foreign Guarantor of Payment, so long as (i) all Loans made to or for the benefit of such Foreign Borrower or Foreign Guarantor of Payment, and proceeds received by such Foreign Borrower or Foreign Guarantor of Payment from Loans, are repaid in full prior to the effectiveness of such sale, dissolution or liquidation, and (ii) upon the effectiveness of such sale, dissolution or liquidation, such Foreign Borrower or Foreign Guarantor of Payment ceases to be a Foreign Borrower or Foreign Guarantor of Payment, as applicable, under this Agreement pursuant to documentation reasonably satisfactory to Agent;</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(g)TTEC Services Corporation may sell the corporate headquarters located at 9197 South Peoria Street, Englewood, Colorado 80112-5833;</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(h)a Company may sell, lease, transfer or otherwise dispose of any assets that are obsolete or no longer useful in such Company’s business;</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(i)any Company may sell, lease, transfer or otherwise dispose of any assets (including pursuant to a statutory division) to any other Company, so long as such disposition is for fair market value, as determined in good faith by US Borrower;</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95</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 xml:space="preserve">(j)any Company may sell, lease, transfer or otherwise dispose of any assets to any Person that is not a Company, so long as (i) such disposition is on an arm’s length basis and is for fair market value, as determined in good faith by US Borrower; (ii) the Companies are in compliance (and in pro forma compliance after giving effect to such disposition) with the provisions of </w:t>
      </w:r>
      <w:r>
        <w:rPr>
          <w:rFonts w:ascii="Times New Roman;Times;serif" w:hAnsi="Times New Roman;Times;serif"/>
          <w:sz w:val="22"/>
          <w:u w:val="single"/>
        </w:rPr>
        <w:t>Section 5.7</w:t>
      </w:r>
      <w:r>
        <w:rPr>
          <w:rFonts w:ascii="Aptos" w:hAnsi="Aptos"/>
          <w:sz w:val="24"/>
        </w:rPr>
        <w:t xml:space="preserve"> </w:t>
      </w:r>
      <w:r>
        <w:rPr>
          <w:rFonts w:ascii="Times New Roman;Times;serif" w:hAnsi="Times New Roman;Times;serif"/>
          <w:sz w:val="22"/>
        </w:rPr>
        <w:t xml:space="preserve">hereof;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 xml:space="preserve">that the aggregate amount of all such dispositions pursuant to this </w:t>
      </w:r>
      <w:r>
        <w:rPr>
          <w:rFonts w:ascii="Times New Roman;Times;serif" w:hAnsi="Times New Roman;Times;serif"/>
          <w:sz w:val="22"/>
          <w:u w:val="single"/>
        </w:rPr>
        <w:t>Section 5.12(j)</w:t>
      </w:r>
      <w:r>
        <w:rPr>
          <w:rFonts w:ascii="Times New Roman;Times;serif" w:hAnsi="Times New Roman;Times;serif"/>
          <w:sz w:val="22"/>
        </w:rPr>
        <w:t>, for all of the Companies, shall not exceed an amount equal to ten percent (10%) of Consolidated Total Assets during the Commitment Period without the prior written consent of Agent;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 xml:space="preserve">(k)with respect to a merger, amalgamation or consolidation, Acquisitions may be effected in accordance with the provisions of </w:t>
      </w:r>
      <w:r>
        <w:rPr>
          <w:rFonts w:ascii="Times New Roman;Times;serif" w:hAnsi="Times New Roman;Times;serif"/>
          <w:sz w:val="22"/>
          <w:u w:val="single"/>
        </w:rPr>
        <w:t>Section 5.13</w:t>
      </w:r>
      <w:r>
        <w:rPr>
          <w:rFonts w:ascii="Aptos" w:hAnsi="Aptos"/>
          <w:sz w:val="24"/>
        </w:rPr>
        <w:t xml:space="preserve"> </w:t>
      </w:r>
      <w:r>
        <w:rPr>
          <w:rFonts w:ascii="Times New Roman;Times;serif" w:hAnsi="Times New Roman;Times;serif"/>
          <w:sz w:val="22"/>
        </w:rPr>
        <w:t>hereof; and</w:t>
      </w:r>
    </w:p>
    <w:p>
      <w:pPr>
        <w:pStyle w:val="TextBody"/>
        <w:bidi w:val="0"/>
        <w:spacing w:lineRule="auto" w:line="285"/>
        <w:ind w:left="0" w:right="0" w:hanging="0"/>
        <w:jc w:val="both"/>
        <w:rPr>
          <w:rFonts w:ascii="Aptos" w:hAnsi="Aptos"/>
          <w:sz w:val="24"/>
        </w:rPr>
      </w:pPr>
      <w:r>
        <w:rPr>
          <w:rFonts w:ascii="Times New Roman;Times;serif" w:hAnsi="Times New Roman;Times;serif"/>
          <w:sz w:val="22"/>
        </w:rPr>
        <w:t xml:space="preserve">(l)any Company may sell accounts receivable prior to their stated due dates in connection with a Permitted Factoring Transaction or an accounts receivable factoring facility permitted pursuant to </w:t>
      </w:r>
      <w:r>
        <w:rPr>
          <w:rFonts w:ascii="Times New Roman;Times;serif" w:hAnsi="Times New Roman;Times;serif"/>
          <w:sz w:val="22"/>
          <w:u w:val="single"/>
        </w:rPr>
        <w:t>Sections 5.8(g)</w:t>
      </w:r>
      <w:r>
        <w:rPr>
          <w:rFonts w:ascii="Aptos" w:hAnsi="Aptos"/>
          <w:sz w:val="24"/>
        </w:rPr>
        <w:t xml:space="preserve"> </w:t>
      </w:r>
      <w:r>
        <w:rPr>
          <w:rFonts w:ascii="Times New Roman;Times;serif" w:hAnsi="Times New Roman;Times;serif"/>
          <w:sz w:val="22"/>
        </w:rPr>
        <w:t xml:space="preserve">and </w:t>
      </w:r>
      <w:r>
        <w:rPr>
          <w:rFonts w:ascii="Times New Roman;Times;serif" w:hAnsi="Times New Roman;Times;serif"/>
          <w:sz w:val="22"/>
          <w:u w:val="single"/>
        </w:rPr>
        <w:t>5.9(n)</w:t>
      </w:r>
      <w:r>
        <w:rPr>
          <w:rFonts w:ascii="Times New Roman;Times;serif" w:hAnsi="Times New Roman;Times;serif"/>
          <w:sz w:val="22"/>
        </w:rPr>
        <w:t xml:space="preserve">;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 xml:space="preserve">that, during the Covenant Adjustment Period following the Ninth Amendment Effective Date, the aggregate amount of accounts receivable sold pursuant to this clause (l) shall be limited to the applicable amounts permitted pursuant to the last paragraph of </w:t>
      </w:r>
      <w:r>
        <w:rPr>
          <w:rFonts w:ascii="Times New Roman;Times;serif" w:hAnsi="Times New Roman;Times;serif"/>
          <w:sz w:val="22"/>
          <w:u w:val="single"/>
        </w:rPr>
        <w:t>Section 5.9</w:t>
      </w:r>
      <w:r>
        <w:rPr>
          <w:rFonts w:ascii="Times New Roman;Times;serif" w:hAnsi="Times New Roman;Times;serif"/>
          <w:sz w:val="22"/>
        </w:rPr>
        <w:t xml:space="preserve">. </w:t>
      </w:r>
    </w:p>
    <w:p>
      <w:pPr>
        <w:pStyle w:val="TextBody"/>
        <w:bidi w:val="0"/>
        <w:spacing w:lineRule="auto" w:line="285" w:before="0" w:after="240"/>
        <w:ind w:left="0" w:right="0" w:hanging="0"/>
        <w:jc w:val="both"/>
        <w:rPr>
          <w:rFonts w:ascii="Aptos" w:hAnsi="Aptos"/>
          <w:sz w:val="22"/>
        </w:rPr>
      </w:pPr>
      <w:r>
        <w:rPr>
          <w:rFonts w:ascii="Times New Roman;Times;serif" w:hAnsi="Times New Roman;Times;serif"/>
          <w:sz w:val="22"/>
        </w:rPr>
        <w:t xml:space="preserve">For the avoidance of doubt, none of (w) the making of any investment permitted pursuant to </w:t>
      </w:r>
      <w:r>
        <w:rPr>
          <w:rFonts w:ascii="Times New Roman;Times;serif" w:hAnsi="Times New Roman;Times;serif"/>
          <w:sz w:val="22"/>
          <w:u w:val="single"/>
        </w:rPr>
        <w:t>Section 5.11</w:t>
      </w:r>
      <w:r>
        <w:rPr>
          <w:rFonts w:ascii="Aptos" w:hAnsi="Aptos"/>
          <w:sz w:val="22"/>
        </w:rPr>
        <w:t xml:space="preserve"> </w:t>
      </w:r>
      <w:r>
        <w:rPr>
          <w:rFonts w:ascii="Times New Roman;Times;serif" w:hAnsi="Times New Roman;Times;serif"/>
          <w:sz w:val="22"/>
        </w:rPr>
        <w:t xml:space="preserve">or any Restricted Payment permitted pursuant to </w:t>
      </w:r>
      <w:r>
        <w:rPr>
          <w:rFonts w:ascii="Times New Roman;Times;serif" w:hAnsi="Times New Roman;Times;serif"/>
          <w:sz w:val="22"/>
          <w:u w:val="single"/>
        </w:rPr>
        <w:t>Section 5.15</w:t>
      </w:r>
      <w:r>
        <w:rPr>
          <w:rFonts w:ascii="Times New Roman;Times;serif" w:hAnsi="Times New Roman;Times;serif"/>
          <w:sz w:val="22"/>
        </w:rPr>
        <w:t xml:space="preserve">, (x) the sale of any Permitted Convertible Indebtedness by the US Borrower, (y) the sale of any Permitted Warrant Transaction by the US Borrower nor (z) the performance by the US Borrower of its obligations under any Permitted Convertible Indebtedness or any Permitted Warrant Transaction, shall constitute a disposition under this </w:t>
      </w:r>
      <w:r>
        <w:rPr>
          <w:rFonts w:ascii="Times New Roman;Times;serif" w:hAnsi="Times New Roman;Times;serif"/>
          <w:sz w:val="22"/>
          <w:u w:val="single"/>
        </w:rPr>
        <w:t>Section 5.12</w:t>
      </w:r>
      <w:r>
        <w:rPr>
          <w:rFonts w:ascii="Times New Roman;Times;serif" w:hAnsi="Times New Roman;Times;serif"/>
          <w:sz w:val="22"/>
        </w:rPr>
        <w:t>.</w:t>
      </w:r>
    </w:p>
    <w:p>
      <w:pPr>
        <w:pStyle w:val="TextBody"/>
        <w:bidi w:val="0"/>
        <w:spacing w:lineRule="auto" w:line="285" w:before="0" w:after="240"/>
        <w:ind w:left="0" w:right="0" w:firstLine="720"/>
        <w:jc w:val="both"/>
        <w:rPr>
          <w:rFonts w:ascii="Aptos" w:hAnsi="Aptos"/>
          <w:sz w:val="22"/>
        </w:rPr>
      </w:pPr>
      <w:r>
        <w:rPr>
          <w:rFonts w:ascii="Times New Roman;Times;serif" w:hAnsi="Times New Roman;Times;serif"/>
          <w:sz w:val="22"/>
        </w:rPr>
        <w:t xml:space="preserve">Notwithstanding anything to contrary in this </w:t>
      </w:r>
      <w:r>
        <w:rPr>
          <w:rFonts w:ascii="Times New Roman;Times;serif" w:hAnsi="Times New Roman;Times;serif"/>
          <w:sz w:val="22"/>
          <w:u w:val="single"/>
        </w:rPr>
        <w:t>Section 5.12</w:t>
      </w:r>
      <w:r>
        <w:rPr>
          <w:rFonts w:ascii="Times New Roman;Times;serif" w:hAnsi="Times New Roman;Times;serif"/>
          <w:sz w:val="22"/>
        </w:rPr>
        <w:t xml:space="preserve">, during the Covenant Adjustment Period, the aggregate amount of assets sold, leased, transferred or otherwise disposed of (including pursuant to a statutory division, but in any event excluding the transactions referenced in clauses (w), (x), (y) and (z) of the immediately preceding paragraph) pursuant to this </w:t>
      </w:r>
      <w:r>
        <w:rPr>
          <w:rFonts w:ascii="Times New Roman;Times;serif" w:hAnsi="Times New Roman;Times;serif"/>
          <w:sz w:val="22"/>
          <w:u w:val="single"/>
        </w:rPr>
        <w:t>Section 5.12</w:t>
      </w:r>
      <w:r>
        <w:rPr>
          <w:rFonts w:ascii="Aptos" w:hAnsi="Aptos"/>
          <w:sz w:val="22"/>
        </w:rPr>
        <w:t xml:space="preserve"> </w:t>
      </w:r>
      <w:r>
        <w:rPr>
          <w:rFonts w:ascii="Times New Roman;Times;serif" w:hAnsi="Times New Roman;Times;serif"/>
          <w:sz w:val="22"/>
        </w:rPr>
        <w:t>following the Tenth Amendment Effective Date (other than pursuant to clauses (a), (b), (c), (d), (g), (h), (k) and (l) hereof) shall not exceed $12,500,000 without the prior written consent of the Agent.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5.13</w:t>
      </w:r>
      <w:bookmarkStart w:id="1888" w:name="_Toc236844336"/>
      <w:bookmarkStart w:id="1889" w:name="_Toc172896682"/>
      <w:bookmarkEnd w:id="1888"/>
      <w:bookmarkEnd w:id="1889"/>
      <w:r>
        <w:rPr>
          <w:rFonts w:ascii="Times New Roman;Times;serif" w:hAnsi="Times New Roman;Times;serif"/>
          <w:sz w:val="22"/>
          <w:u w:val="single"/>
        </w:rPr>
        <w:t>Acquisitions</w:t>
      </w:r>
      <w:r>
        <w:rPr>
          <w:rFonts w:ascii="Times New Roman;Times;serif" w:hAnsi="Times New Roman;Times;serif"/>
          <w:sz w:val="22"/>
        </w:rPr>
        <w:t xml:space="preserve">.  No Company shall effect an Acquisition; </w:t>
      </w:r>
      <w:r>
        <w:rPr>
          <w:rFonts w:ascii="Times New Roman;Times;serif" w:hAnsi="Times New Roman;Times;serif"/>
          <w:sz w:val="22"/>
          <w:u w:val="single"/>
        </w:rPr>
        <w:t>provided</w:t>
      </w:r>
      <w:r>
        <w:rPr>
          <w:rFonts w:ascii="Times New Roman;Times;serif" w:hAnsi="Times New Roman;Times;serif"/>
          <w:sz w:val="22"/>
        </w:rPr>
        <w:t>, however, that a Company may effect an Acquisition so long as:</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(a)in the case of a merger, amalgamation or other combination including a Borrower (other than US Borrower), such Borrower shall be the surviving entity and, if such merger, amalgamation or other combination includes US Borrower, US Borrower shall be the surviving entity;</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(b)in the case of a merger, amalgamation or other combination including a Credit Party (other than a Borrower), a Credit Party shall be the surviving entity;</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(c)the business to be acquired shall be similar or complimentary to the lines of business of the Companies;</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 xml:space="preserve">(d)the Companies shall be in compliance with the Loan Documents (including, without limitation, </w:t>
      </w:r>
      <w:r>
        <w:rPr>
          <w:rFonts w:ascii="Times New Roman;Times;serif" w:hAnsi="Times New Roman;Times;serif"/>
          <w:sz w:val="22"/>
          <w:u w:val="single"/>
        </w:rPr>
        <w:t>Section 5.7</w:t>
      </w:r>
      <w:r>
        <w:rPr>
          <w:rFonts w:ascii="Times New Roman;Times;serif" w:hAnsi="Times New Roman;Times;serif"/>
          <w:sz w:val="22"/>
        </w:rPr>
        <w:t>) both prior to and after giving pro forma effect to such Acquisition;</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(e)no Default or Event of Default shall exist prior to or after giving pro forma effect to such Acquisition, thereafter shall begin to exist;</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(f)such Acquisition is not actively opposed by the board of directors (or similar governing body) of the selling Persons or by a majority of the Persons whose equity interests are to be acquired;</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96</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 xml:space="preserve">(g)the purchase price for any Acquisition by a Foreign Subsidiary that is not a Credit Party, or of a Foreign Subsidiary by a Domestic Subsidiary that is not a Credit Party, shall be solely from (i) the cash-flow of one or more Foreign Subsidiaries, (ii) the proceeds of the Loans made to one or more Foreign Borrowers, or (iii) Indebtedness incurred in accordance with and subject to </w:t>
      </w:r>
      <w:r>
        <w:rPr>
          <w:rFonts w:ascii="Times New Roman;Times;serif" w:hAnsi="Times New Roman;Times;serif"/>
          <w:sz w:val="22"/>
          <w:u w:val="single"/>
        </w:rPr>
        <w:t>Section 5.8(h)</w:t>
      </w:r>
      <w:r>
        <w:rPr>
          <w:rFonts w:ascii="Times New Roman;Times;serif" w:hAnsi="Times New Roman;Times;serif"/>
          <w:sz w:val="22"/>
        </w:rPr>
        <w:t xml:space="preserve">, </w:t>
      </w:r>
      <w:r>
        <w:rPr>
          <w:rFonts w:ascii="Times New Roman;Times;serif" w:hAnsi="Times New Roman;Times;serif"/>
          <w:sz w:val="22"/>
          <w:u w:val="single"/>
        </w:rPr>
        <w:t>Section 5.8(n)</w:t>
      </w:r>
      <w:r>
        <w:rPr>
          <w:rFonts w:ascii="Aptos" w:hAnsi="Aptos"/>
          <w:sz w:val="24"/>
        </w:rPr>
        <w:t xml:space="preserve"> </w:t>
      </w:r>
      <w:r>
        <w:rPr>
          <w:rFonts w:ascii="Times New Roman;Times;serif" w:hAnsi="Times New Roman;Times;serif"/>
          <w:sz w:val="22"/>
        </w:rPr>
        <w:t xml:space="preserve">and/or </w:t>
      </w:r>
      <w:r>
        <w:rPr>
          <w:rFonts w:ascii="Times New Roman;Times;serif" w:hAnsi="Times New Roman;Times;serif"/>
          <w:sz w:val="22"/>
          <w:u w:val="single"/>
        </w:rPr>
        <w:t>Section 5.8(o)</w:t>
      </w:r>
      <w:r>
        <w:rPr>
          <w:rFonts w:ascii="Aptos" w:hAnsi="Aptos"/>
          <w:sz w:val="24"/>
        </w:rPr>
        <w:t xml:space="preserve"> </w:t>
      </w:r>
      <w:r>
        <w:rPr>
          <w:rFonts w:ascii="Times New Roman;Times;serif" w:hAnsi="Times New Roman;Times;serif"/>
          <w:sz w:val="22"/>
        </w:rPr>
        <w:t>hereof;</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 xml:space="preserve">(h)the purchase price for any Acquisition by a Foreign Borrower or a Foreign Guarantor of Payment shall be from (i) the cash-flow of one or more Foreign Subsidiaries, (ii) the proceeds of the Loans made to one or more Foreign Borrowers, or (iii) Indebtedness incurred in accordance with and subject to </w:t>
      </w:r>
      <w:r>
        <w:rPr>
          <w:rFonts w:ascii="Times New Roman;Times;serif" w:hAnsi="Times New Roman;Times;serif"/>
          <w:sz w:val="22"/>
          <w:u w:val="single"/>
        </w:rPr>
        <w:t>Section 5.8(h)</w:t>
      </w:r>
      <w:r>
        <w:rPr>
          <w:rFonts w:ascii="Times New Roman;Times;serif" w:hAnsi="Times New Roman;Times;serif"/>
          <w:sz w:val="22"/>
        </w:rPr>
        <w:t xml:space="preserve">, </w:t>
      </w:r>
      <w:r>
        <w:rPr>
          <w:rFonts w:ascii="Times New Roman;Times;serif" w:hAnsi="Times New Roman;Times;serif"/>
          <w:sz w:val="22"/>
          <w:u w:val="single"/>
        </w:rPr>
        <w:t>Section 5.8(n)</w:t>
      </w:r>
      <w:r>
        <w:rPr>
          <w:rFonts w:ascii="Aptos" w:hAnsi="Aptos"/>
          <w:sz w:val="24"/>
        </w:rPr>
        <w:t xml:space="preserve"> </w:t>
      </w:r>
      <w:r>
        <w:rPr>
          <w:rFonts w:ascii="Times New Roman;Times;serif" w:hAnsi="Times New Roman;Times;serif"/>
          <w:sz w:val="22"/>
        </w:rPr>
        <w:t xml:space="preserve">and/or </w:t>
      </w:r>
      <w:r>
        <w:rPr>
          <w:rFonts w:ascii="Times New Roman;Times;serif" w:hAnsi="Times New Roman;Times;serif"/>
          <w:sz w:val="22"/>
          <w:u w:val="single"/>
        </w:rPr>
        <w:t>Section 5.8(o)</w:t>
      </w:r>
      <w:r>
        <w:rPr>
          <w:rFonts w:ascii="Aptos" w:hAnsi="Aptos"/>
          <w:sz w:val="24"/>
        </w:rPr>
        <w:t xml:space="preserve"> </w:t>
      </w:r>
      <w:r>
        <w:rPr>
          <w:rFonts w:ascii="Times New Roman;Times;serif" w:hAnsi="Times New Roman;Times;serif"/>
          <w:sz w:val="22"/>
        </w:rPr>
        <w:t>hereof;</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 xml:space="preserve">(i)with respect to any Acquisition the Consideration for which is in excess of Fifty Million Dollars ($50,000,000), US Borrower shall have provided to Agent and the Lenders, at least ten (10) Business Days following such Acquisition, historical financial statements of the target entity and a pro forma financial statement of the Companies accompanied by a certificate of a Financial Officer of US Borrower showing pro forma compliance with </w:t>
      </w:r>
      <w:r>
        <w:rPr>
          <w:rFonts w:ascii="Times New Roman;Times;serif" w:hAnsi="Times New Roman;Times;serif"/>
          <w:sz w:val="22"/>
          <w:u w:val="single"/>
        </w:rPr>
        <w:t>Section 5.7</w:t>
      </w:r>
      <w:r>
        <w:rPr>
          <w:rFonts w:ascii="Aptos" w:hAnsi="Aptos"/>
          <w:sz w:val="24"/>
        </w:rPr>
        <w:t xml:space="preserve"> </w:t>
      </w:r>
      <w:r>
        <w:rPr>
          <w:rFonts w:ascii="Times New Roman;Times;serif" w:hAnsi="Times New Roman;Times;serif"/>
          <w:sz w:val="22"/>
        </w:rPr>
        <w:t xml:space="preserve">hereof, both before and after the proposed Acquisition;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that, for the purpose of complying with the notice and disclosure requirements set forth in this subsection (i), the amount of Consideration for an Acquisition shall be deemed to be US Borrower’s best estimate of the total Consideration to be paid for such Acquisition in accordance with SEC disclosure and calculation requirements; and</w:t>
      </w:r>
    </w:p>
    <w:p>
      <w:pPr>
        <w:pStyle w:val="TextBody"/>
        <w:bidi w:val="0"/>
        <w:spacing w:lineRule="auto" w:line="285"/>
        <w:ind w:left="0" w:right="0" w:hanging="0"/>
        <w:jc w:val="both"/>
        <w:rPr>
          <w:rFonts w:ascii="Times New Roman;Times;serif" w:hAnsi="Times New Roman;Times;serif"/>
          <w:sz w:val="22"/>
        </w:rPr>
      </w:pPr>
      <w:r>
        <w:rPr>
          <w:rFonts w:ascii="Times New Roman;Times;serif" w:hAnsi="Times New Roman;Times;serif"/>
          <w:sz w:val="22"/>
        </w:rPr>
        <w:t>(j)US Borrower shall have Available Liquidity of no less than Twenty-Five Million Dollars ($25,000,000) after giving effect to such Acquisition.</w:t>
      </w:r>
    </w:p>
    <w:p>
      <w:pPr>
        <w:pStyle w:val="TextBody"/>
        <w:bidi w:val="0"/>
        <w:spacing w:lineRule="auto" w:line="285" w:before="0" w:after="240"/>
        <w:ind w:left="0" w:right="0" w:firstLine="720"/>
        <w:jc w:val="both"/>
        <w:rPr>
          <w:rFonts w:ascii="Aptos" w:hAnsi="Aptos"/>
          <w:sz w:val="22"/>
        </w:rPr>
      </w:pPr>
      <w:r>
        <w:rPr>
          <w:rFonts w:ascii="Times New Roman;Times;serif" w:hAnsi="Times New Roman;Times;serif"/>
          <w:sz w:val="22"/>
        </w:rPr>
        <w:t xml:space="preserve">Notwithstanding anything to contrary in this </w:t>
      </w:r>
      <w:r>
        <w:rPr>
          <w:rFonts w:ascii="Times New Roman;Times;serif" w:hAnsi="Times New Roman;Times;serif"/>
          <w:sz w:val="22"/>
          <w:u w:val="single"/>
        </w:rPr>
        <w:t>Section 5.13</w:t>
      </w:r>
      <w:r>
        <w:rPr>
          <w:rFonts w:ascii="Times New Roman;Times;serif" w:hAnsi="Times New Roman;Times;serif"/>
          <w:sz w:val="22"/>
        </w:rPr>
        <w:t>, no Company shall effect an acquisition following the Tenth Amendment Effective Date.</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5.14</w:t>
      </w:r>
      <w:bookmarkStart w:id="1890" w:name="_Toc236844337"/>
      <w:bookmarkStart w:id="1891" w:name="_Toc172896683"/>
      <w:bookmarkEnd w:id="1890"/>
      <w:bookmarkEnd w:id="1891"/>
      <w:r>
        <w:rPr>
          <w:rFonts w:ascii="Times New Roman;Times;serif" w:hAnsi="Times New Roman;Times;serif"/>
          <w:sz w:val="22"/>
          <w:u w:val="single"/>
        </w:rPr>
        <w:t>Notice</w:t>
      </w:r>
      <w:r>
        <w:rPr>
          <w:rFonts w:ascii="Times New Roman;Times;serif" w:hAnsi="Times New Roman;Times;serif"/>
          <w:sz w:val="22"/>
        </w:rPr>
        <w:t>.  Each Borrower shall cause a Financial Officer of such Borrower to promptly notify Agent, in writing whenever:</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 xml:space="preserve">(a)a Default or Event of Default has occurred hereunder or any representation or warranty made in </w:t>
      </w:r>
      <w:r>
        <w:rPr>
          <w:rFonts w:ascii="Times New Roman;Times;serif" w:hAnsi="Times New Roman;Times;serif"/>
          <w:sz w:val="22"/>
          <w:u w:val="single"/>
        </w:rPr>
        <w:t>Article VI</w:t>
      </w:r>
      <w:r>
        <w:rPr>
          <w:rFonts w:ascii="Aptos" w:hAnsi="Aptos"/>
          <w:sz w:val="24"/>
        </w:rPr>
        <w:t xml:space="preserve"> </w:t>
      </w:r>
      <w:r>
        <w:rPr>
          <w:rFonts w:ascii="Times New Roman;Times;serif" w:hAnsi="Times New Roman;Times;serif"/>
          <w:sz w:val="22"/>
        </w:rPr>
        <w:t>hereof or elsewhere in this Agreement or in any Loan Document shall for any reason cease in any material respect to be true and complete;</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(b)a Borrower learns of a litigation or proceeding against such Borrower before a court, administrative agency or arbitrator that, if successful, might have a Material Adverse Effect; and</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(c)a Borrower learns that there has occurred any event, condition or thing that is reasonably likely to have a Material Adverse Effect.</w:t>
      </w:r>
    </w:p>
    <w:p>
      <w:pPr>
        <w:pStyle w:val="TextBody"/>
        <w:bidi w:val="0"/>
        <w:spacing w:lineRule="auto" w:line="285"/>
        <w:ind w:left="0" w:right="0" w:hanging="0"/>
        <w:jc w:val="both"/>
        <w:rPr>
          <w:rFonts w:ascii="Aptos" w:hAnsi="Aptos"/>
          <w:sz w:val="24"/>
        </w:rPr>
      </w:pPr>
      <w:r>
        <w:rPr>
          <w:rFonts w:ascii="Times New Roman;Times;serif" w:hAnsi="Times New Roman;Times;serif"/>
          <w:sz w:val="22"/>
        </w:rPr>
        <w:t>Section 5.15</w:t>
      </w:r>
      <w:bookmarkStart w:id="1892" w:name="_Toc236844338"/>
      <w:bookmarkStart w:id="1893" w:name="_Toc172896684"/>
      <w:bookmarkEnd w:id="1892"/>
      <w:bookmarkEnd w:id="1893"/>
      <w:r>
        <w:rPr>
          <w:rFonts w:ascii="Times New Roman;Times;serif" w:hAnsi="Times New Roman;Times;serif"/>
          <w:sz w:val="22"/>
          <w:u w:val="single"/>
        </w:rPr>
        <w:t>Restricted Payments</w:t>
      </w:r>
      <w:r>
        <w:rPr>
          <w:rFonts w:ascii="Times New Roman;Times;serif" w:hAnsi="Times New Roman;Times;serif"/>
          <w:sz w:val="22"/>
        </w:rPr>
        <w:t xml:space="preserve">.  No Company shall make or commit itself to make any Restricted Payment at any time;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 xml:space="preserve">that, so long as (1) no Default or Event of Default has occurred and is continuing or, after giving pro forma effect to such Restricted Payment, would result therefrom and (2) the Companies are in compliance (and in pro forma compliance after giving effect to such Restricted Payment) with the provisions of </w:t>
      </w:r>
      <w:r>
        <w:rPr>
          <w:rFonts w:ascii="Times New Roman;Times;serif" w:hAnsi="Times New Roman;Times;serif"/>
          <w:sz w:val="22"/>
          <w:u w:val="single"/>
        </w:rPr>
        <w:t>Section 5.7</w:t>
      </w:r>
      <w:r>
        <w:rPr>
          <w:rFonts w:ascii="Aptos" w:hAnsi="Aptos"/>
          <w:sz w:val="24"/>
        </w:rPr>
        <w:t xml:space="preserve"> </w:t>
      </w:r>
      <w:r>
        <w:rPr>
          <w:rFonts w:ascii="Times New Roman;Times;serif" w:hAnsi="Times New Roman;Times;serif"/>
          <w:sz w:val="22"/>
        </w:rPr>
        <w:t xml:space="preserve">hereof, any Company may make Restricted Payments;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u w:val="single"/>
        </w:rPr>
        <w:t>further</w:t>
      </w:r>
      <w:r>
        <w:rPr>
          <w:rFonts w:ascii="Aptos" w:hAnsi="Aptos"/>
          <w:sz w:val="24"/>
        </w:rPr>
        <w:t xml:space="preserve"> </w:t>
      </w:r>
      <w:r>
        <w:rPr>
          <w:rFonts w:ascii="Times New Roman;Times;serif" w:hAnsi="Times New Roman;Times;serif"/>
          <w:sz w:val="22"/>
        </w:rPr>
        <w:t xml:space="preserve">that (A) during any period in which an Optional Leverage Ratio Increase is in effect pursuant to the terms of </w:t>
      </w:r>
      <w:r>
        <w:rPr>
          <w:rFonts w:ascii="Times New Roman;Times;serif" w:hAnsi="Times New Roman;Times;serif"/>
          <w:sz w:val="22"/>
          <w:u w:val="single"/>
        </w:rPr>
        <w:t>Section 5.7</w:t>
      </w:r>
      <w:r>
        <w:rPr>
          <w:rFonts w:ascii="Aptos" w:hAnsi="Aptos"/>
          <w:sz w:val="24"/>
        </w:rPr>
        <w:t xml:space="preserve"> </w:t>
      </w:r>
      <w:r>
        <w:rPr>
          <w:rFonts w:ascii="Times New Roman;Times;serif" w:hAnsi="Times New Roman;Times;serif"/>
          <w:sz w:val="22"/>
        </w:rPr>
        <w:t xml:space="preserve">hereof, no Company shall make or commit itself to make any Restricted Payment except (i) the US Borrower may declare and pay regular dividends in an amount not to exceed the regular dividend amount most recently paid by the US Borrower prior to the effectiveness of the Optional Leverage Ratio Increase </w:t>
      </w:r>
      <w:r>
        <w:rPr>
          <w:rFonts w:ascii="Times New Roman;Times;serif" w:hAnsi="Times New Roman;Times;serif"/>
          <w:sz w:val="22"/>
          <w:u w:val="single"/>
        </w:rPr>
        <w:t>plus</w:t>
      </w:r>
      <w:r>
        <w:rPr>
          <w:rFonts w:ascii="Aptos" w:hAnsi="Aptos"/>
          <w:sz w:val="24"/>
        </w:rPr>
        <w:t xml:space="preserve"> </w:t>
      </w:r>
      <w:r>
        <w:rPr>
          <w:rFonts w:ascii="Times New Roman;Times;serif" w:hAnsi="Times New Roman;Times;serif"/>
          <w:sz w:val="22"/>
        </w:rPr>
        <w:t xml:space="preserve">an amount not to exceed ten percent (10%) of such dividend amount (or such higher amount as may be approved by the Agent), subject to the requirements set forth in clauses (1) and (2) above,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97</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ind w:left="0" w:right="0" w:hanging="0"/>
        <w:jc w:val="both"/>
        <w:rPr>
          <w:rFonts w:ascii="Aptos" w:hAnsi="Aptos"/>
          <w:sz w:val="24"/>
        </w:rPr>
      </w:pPr>
      <w:r>
        <w:rPr>
          <w:rFonts w:ascii="Times New Roman;Times;serif" w:hAnsi="Times New Roman;Times;serif"/>
          <w:sz w:val="22"/>
        </w:rPr>
        <w:t xml:space="preserve">(ii) any Company that is a non-Wholly Owned Subsidiary shall be permitted to pay Capital Distributions to the holders of its equity interests, which such payment shall be distributed ratably to such holders, solely to the extent required to be paid pursuant to the Organizational Documents thereof and (iii) any Company that is a Wholly Owned Subsidiary may make Restricted Payments to the Company that owns the equity in such Subsidiary and (B) in no event shall the provisions of this </w:t>
      </w:r>
      <w:r>
        <w:rPr>
          <w:rFonts w:ascii="Times New Roman;Times;serif" w:hAnsi="Times New Roman;Times;serif"/>
          <w:sz w:val="22"/>
          <w:u w:val="single"/>
        </w:rPr>
        <w:t>Section 5.15</w:t>
      </w:r>
      <w:r>
        <w:rPr>
          <w:rFonts w:ascii="Aptos" w:hAnsi="Aptos"/>
          <w:sz w:val="24"/>
        </w:rPr>
        <w:t xml:space="preserve"> </w:t>
      </w:r>
      <w:r>
        <w:rPr>
          <w:rFonts w:ascii="Times New Roman;Times;serif" w:hAnsi="Times New Roman;Times;serif"/>
          <w:sz w:val="22"/>
        </w:rPr>
        <w:t>(except to the extent set forth in the immediately following paragraph) prohibit any Restricted Payments pursuant to and in accordance with stock option plans and other benefit plans entered into in the ordinary course of business for management or employees of the Companies.</w:t>
      </w:r>
    </w:p>
    <w:p>
      <w:pPr>
        <w:pStyle w:val="TextBody"/>
        <w:bidi w:val="0"/>
        <w:spacing w:lineRule="auto" w:line="285" w:before="0" w:after="240"/>
        <w:ind w:left="0" w:right="0" w:firstLine="720"/>
        <w:jc w:val="both"/>
        <w:rPr>
          <w:rFonts w:ascii="Aptos" w:hAnsi="Aptos"/>
          <w:sz w:val="22"/>
        </w:rPr>
      </w:pPr>
      <w:r>
        <w:rPr>
          <w:rFonts w:ascii="Times New Roman;Times;serif" w:hAnsi="Times New Roman;Times;serif"/>
          <w:sz w:val="22"/>
        </w:rPr>
        <w:t xml:space="preserve">Notwithstanding anything to contrary in this </w:t>
      </w:r>
      <w:r>
        <w:rPr>
          <w:rFonts w:ascii="Times New Roman;Times;serif" w:hAnsi="Times New Roman;Times;serif"/>
          <w:sz w:val="22"/>
          <w:u w:val="single"/>
        </w:rPr>
        <w:t>Section 5.15</w:t>
      </w:r>
      <w:r>
        <w:rPr>
          <w:rFonts w:ascii="Times New Roman;Times;serif" w:hAnsi="Times New Roman;Times;serif"/>
          <w:sz w:val="22"/>
        </w:rPr>
        <w:t xml:space="preserve">, no Company shall make or commit itself to make any Restricted Payment following the Tenth Amendment Effective Date;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xml:space="preserve">, that such limitation shall not apply to the following transactions: (i) any Company that is a non-Wholly Owned Subsidiary shall be permitted to pay Capital Distributions to the holders of its equity interests, which such payment shall be distributed ratably to such holders, solely to the extent required to be so distributed pursuant to the Organizational Documents thereof, (ii) any Company that is a Wholly Owned Subsidiary may make Restricted Payments to the Company that owns the equity in such Subsidiary and (iii) repurchases of equity interests of the Company deemed to occur upon exercise of stock options or warrants or similar equity incentive awards; </w:t>
      </w:r>
      <w:r>
        <w:rPr>
          <w:rFonts w:ascii="Times New Roman;Times;serif" w:hAnsi="Times New Roman;Times;serif"/>
          <w:sz w:val="22"/>
          <w:u w:val="single"/>
        </w:rPr>
        <w:t>provided</w:t>
      </w:r>
      <w:r>
        <w:rPr>
          <w:rFonts w:ascii="Aptos" w:hAnsi="Aptos"/>
          <w:sz w:val="22"/>
        </w:rPr>
        <w:t xml:space="preserve"> </w:t>
      </w:r>
      <w:r>
        <w:rPr>
          <w:rFonts w:ascii="Times New Roman;Times;serif" w:hAnsi="Times New Roman;Times;serif"/>
          <w:sz w:val="22"/>
        </w:rPr>
        <w:t xml:space="preserve">that no cash or other consideration is paid by any Company in connection with any such repurchase. </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5.16</w:t>
      </w:r>
      <w:bookmarkStart w:id="1894" w:name="_Toc236844339"/>
      <w:bookmarkStart w:id="1895" w:name="_Toc172896685"/>
      <w:bookmarkEnd w:id="1894"/>
      <w:bookmarkEnd w:id="1895"/>
      <w:r>
        <w:rPr>
          <w:rFonts w:ascii="Times New Roman;Times;serif" w:hAnsi="Times New Roman;Times;serif"/>
          <w:sz w:val="22"/>
          <w:u w:val="single"/>
        </w:rPr>
        <w:t>Environmental Compliance</w:t>
      </w:r>
      <w:r>
        <w:rPr>
          <w:rFonts w:ascii="Times New Roman;Times;serif" w:hAnsi="Times New Roman;Times;serif"/>
          <w:sz w:val="22"/>
        </w:rPr>
        <w:t xml:space="preserve">.  Each Company shall comply with any and all Environmental Laws and Environmental Permits including, without limitation, all Environmental Laws in jurisdictions in which such Company owns or operates a facility or site, arranges for disposal or treatment of hazardous substances, solid waste or other wastes, accepts for transport any hazardous substances, solid waste or other wastes or holds any interest in real property or otherwise, except where the failure to do so could not reasonably be expected to have a Material Adverse Effect.  US Borrower shall furnish to Agent and the Lenders, promptly after receipt thereof, a copy of any notice such Company may receive from any Governmental Authority or private Person, or otherwise, that any litigation or proceeding pertaining to any environmental, health or safety matter has been filed or is threatened against such Company, any real property in which such Company holds any interest or any past or present operation of such Company that could reasonably be expected to have a Material Adverse Effect.  No Company shall allow the release or disposal of hazardous waste, solid waste or other wastes on, under or to any real property in which any Company holds any ownership interest or performs any of its operations, in violation of any Environmental Law that could reasonably be expected to have a Material Adverse Effect.  As used in this </w:t>
      </w:r>
      <w:r>
        <w:rPr>
          <w:rFonts w:ascii="Times New Roman;Times;serif" w:hAnsi="Times New Roman;Times;serif"/>
          <w:sz w:val="22"/>
          <w:u w:val="single"/>
        </w:rPr>
        <w:t>Section 5.16</w:t>
      </w:r>
      <w:r>
        <w:rPr>
          <w:rFonts w:ascii="Times New Roman;Times;serif" w:hAnsi="Times New Roman;Times;serif"/>
          <w:sz w:val="22"/>
        </w:rPr>
        <w:t>, “litigation or proceeding” means any demand, claim, notice, suit, suit in equity action, administrative action, investigation or inquiry whether brought by any Governmental Authority or private Person, or otherwise.  US Borrower (and any Foreign Borrower, as applicable) shall defend, indemnify and hold Agent and the Lenders harmless against all costs, expenses, claims, damages, penalties and liabilities of every kind or nature whatsoever (including reasonable and documented out-of pocket attorneys’ fees) arising out of or resulting from the noncompliance of any Company with any Environmental Law.  Such indemnification shall survive any termination of this Agreement.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5.17</w:t>
      </w:r>
      <w:bookmarkStart w:id="1896" w:name="_Toc236844340"/>
      <w:bookmarkStart w:id="1897" w:name="_Toc172896686"/>
      <w:bookmarkEnd w:id="1896"/>
      <w:bookmarkEnd w:id="1897"/>
      <w:r>
        <w:rPr>
          <w:rFonts w:ascii="Times New Roman;Times;serif" w:hAnsi="Times New Roman;Times;serif"/>
          <w:sz w:val="22"/>
          <w:u w:val="single"/>
        </w:rPr>
        <w:t>Affiliate Transactions</w:t>
      </w:r>
      <w:r>
        <w:rPr>
          <w:rFonts w:ascii="Times New Roman;Times;serif" w:hAnsi="Times New Roman;Times;serif"/>
          <w:sz w:val="22"/>
        </w:rPr>
        <w:t xml:space="preserve">.  No Company shall, directly or indirectly, enter into or permit to exist any transaction (including, without limitation, the purchase, sale, lease or exchange of any property or the rendering of any service) with any Affiliate (other than a Company that is a Credit Party) on terms that shall be less favorable to such Company than those that might be obtained at the time in a transaction with a Person that is not an Affiliate;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 xml:space="preserve">that the foregoing shall not prohibit (a) the payment of customary and reasonable directors’ fees to directors who are not employees of a Company or an Affiliate, (b) Restricted Payments to the extent permitted under </w:t>
      </w:r>
      <w:r>
        <w:rPr>
          <w:rFonts w:ascii="Times New Roman;Times;serif" w:hAnsi="Times New Roman;Times;serif"/>
          <w:sz w:val="22"/>
          <w:u w:val="single"/>
        </w:rPr>
        <w:t>Section 5.15</w:t>
      </w:r>
      <w:r>
        <w:rPr>
          <w:rFonts w:ascii="Aptos" w:hAnsi="Aptos"/>
          <w:sz w:val="24"/>
        </w:rPr>
        <w:t xml:space="preserve"> </w:t>
      </w:r>
      <w:r>
        <w:rPr>
          <w:rFonts w:ascii="Times New Roman;Times;serif" w:hAnsi="Times New Roman;Times;serif"/>
          <w:sz w:val="22"/>
        </w:rPr>
        <w:t xml:space="preserve">hereof or (c) investments to the extent permitted under </w:t>
      </w:r>
      <w:r>
        <w:rPr>
          <w:rFonts w:ascii="Times New Roman;Times;serif" w:hAnsi="Times New Roman;Times;serif"/>
          <w:sz w:val="22"/>
          <w:u w:val="single"/>
        </w:rPr>
        <w:t>Section 5.11</w:t>
      </w:r>
      <w:r>
        <w:rPr>
          <w:rFonts w:ascii="Aptos" w:hAnsi="Aptos"/>
          <w:sz w:val="24"/>
        </w:rPr>
        <w:t xml:space="preserve"> </w:t>
      </w:r>
      <w:r>
        <w:rPr>
          <w:rFonts w:ascii="Times New Roman;Times;serif" w:hAnsi="Times New Roman;Times;serif"/>
          <w:sz w:val="22"/>
        </w:rPr>
        <w:t>hereof.</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98</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5.18</w:t>
      </w:r>
      <w:bookmarkStart w:id="1898" w:name="_Toc236844341"/>
      <w:bookmarkStart w:id="1899" w:name="_Toc172896687"/>
      <w:bookmarkEnd w:id="1898"/>
      <w:bookmarkEnd w:id="1899"/>
      <w:r>
        <w:rPr>
          <w:rFonts w:ascii="Times New Roman;Times;serif" w:hAnsi="Times New Roman;Times;serif"/>
          <w:sz w:val="22"/>
          <w:u w:val="single"/>
        </w:rPr>
        <w:t>Use of Proceeds</w:t>
      </w:r>
      <w:r>
        <w:rPr>
          <w:rFonts w:ascii="Times New Roman;Times;serif" w:hAnsi="Times New Roman;Times;serif"/>
          <w:sz w:val="22"/>
        </w:rPr>
        <w:t>.  Borrowers’ use of the proceeds of the Loans shall be for working capital and other general corporate purposes of the Companies (including for capital expenditures and Acquisitions and Capital Distributions permitted hereunder), for the refinancing of existing Indebtedness (including the Existing Credit Agreement) and to pay fees, commissions and expenses in connection with this Agreement and the transactions contemplated hereunder.</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5.19</w:t>
      </w:r>
      <w:bookmarkStart w:id="1900" w:name="_Toc236844342"/>
      <w:bookmarkStart w:id="1901" w:name="_Toc172896688"/>
      <w:bookmarkEnd w:id="1900"/>
      <w:bookmarkEnd w:id="1901"/>
      <w:r>
        <w:rPr>
          <w:rFonts w:ascii="Times New Roman;Times;serif" w:hAnsi="Times New Roman;Times;serif"/>
          <w:sz w:val="22"/>
          <w:u w:val="single"/>
        </w:rPr>
        <w:t>Corporate Names</w:t>
      </w:r>
      <w:r>
        <w:rPr>
          <w:rFonts w:ascii="Times New Roman;Times;serif" w:hAnsi="Times New Roman;Times;serif"/>
          <w:sz w:val="22"/>
        </w:rPr>
        <w:t>.  No Credit Party shall change its corporate name or organizational type to such an extent that any financing statement filed by Agent in connection with this Agreement would become seriously misleading under the U.C.C., unless, in each case, such Credit Party shall provide Agent with at least five (5) Business Days’ (or such shorter time period as agreed to by Agent in its sole discretion) prior written notice thereof.  Administrative Borrower shall also provide Agent with written notification within thirty (30) days (or such longer time period as agreed to by Agent in its sole discretion) after (a) any change in the location of the office where any Credit Party’s records pertaining to the Collateral are kept; and (b) any change in any Credit Party’s chief executive office.  In the event of any of the foregoing or as a result of any change of applicable law with respect to the taking of security interests, or if determined by Agent to be necessary, Agent is hereby authorized to file new Uniform Commercial Code financing statements describing the Collateral and otherwise in form and substance sufficient for recordation wherever necessary or appropriate, as determined in Agent’s reasonable discretion, to perfect or continue perfected the security interest of Agent, for the benefit of the Secured Parties, in the Collateral, based upon such new places of business or names or such change in applicable law, and US Borrower shall pay all filing and recording fees and taxes in connection with the filing or recordation of such financing statements and shall promptly reimburse Agent therefor if Agent pays the same.  Such amounts shall be Related Expenses hereunder.</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5.20</w:t>
      </w:r>
      <w:bookmarkStart w:id="1902" w:name="_Toc236844343"/>
      <w:bookmarkStart w:id="1903" w:name="_Toc172896689"/>
      <w:bookmarkEnd w:id="1902"/>
      <w:bookmarkEnd w:id="1903"/>
      <w:r>
        <w:rPr>
          <w:rFonts w:ascii="Times New Roman;Times;serif" w:hAnsi="Times New Roman;Times;serif"/>
          <w:sz w:val="22"/>
          <w:u w:val="single"/>
        </w:rPr>
        <w:t>Lease Rentals</w:t>
      </w:r>
      <w:r>
        <w:rPr>
          <w:rFonts w:ascii="Times New Roman;Times;serif" w:hAnsi="Times New Roman;Times;serif"/>
          <w:sz w:val="22"/>
        </w:rPr>
        <w:t>.  The Companies may enter into Operating Leases in the ordinary course of business.</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5.21</w:t>
      </w:r>
      <w:bookmarkStart w:id="1904" w:name="_Toc236844344"/>
      <w:bookmarkStart w:id="1905" w:name="_Toc172896690"/>
      <w:bookmarkEnd w:id="1904"/>
      <w:bookmarkEnd w:id="1905"/>
      <w:r>
        <w:rPr>
          <w:rFonts w:ascii="Times New Roman;Times;serif" w:hAnsi="Times New Roman;Times;serif"/>
          <w:sz w:val="22"/>
          <w:u w:val="single"/>
        </w:rPr>
        <w:t>Subsidiary Guaranties, Security Documents and Pledge of Stock or Other Ownership Interest</w:t>
      </w:r>
      <w:r>
        <w:rPr>
          <w:rFonts w:ascii="Times New Roman;Times;serif" w:hAnsi="Times New Roman;Times;serif"/>
          <w:sz w:val="22"/>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(a)</w:t>
      </w:r>
      <w:r>
        <w:rPr>
          <w:rFonts w:ascii="Times New Roman;Times;serif" w:hAnsi="Times New Roman;Times;serif"/>
          <w:sz w:val="22"/>
          <w:u w:val="single"/>
        </w:rPr>
        <w:t>Domestic Subsidiary Guaranties and Security Documents</w:t>
      </w:r>
      <w:r>
        <w:rPr>
          <w:rFonts w:ascii="Times New Roman;Times;serif" w:hAnsi="Times New Roman;Times;serif"/>
          <w:sz w:val="22"/>
        </w:rPr>
        <w:t>.  Each Domestic Subsidiary (that is not an Excluded Subsidiary) created, acquired or held subsequent to the Closing Date, shall promptly (and, in any event on or prior to the date that is sixty</w:t>
      </w:r>
      <w:r>
        <w:rPr>
          <w:rFonts w:ascii="Aptos" w:hAnsi="Aptos"/>
          <w:sz w:val="24"/>
        </w:rPr>
        <w:t xml:space="preserve"> </w:t>
      </w:r>
      <w:r>
        <w:rPr>
          <w:rFonts w:ascii="Times New Roman;Times;serif" w:hAnsi="Times New Roman;Times;serif"/>
          <w:sz w:val="22"/>
        </w:rPr>
        <w:t>(60) days after such creation or acquisition thereof,</w:t>
      </w:r>
      <w:r>
        <w:rPr>
          <w:rFonts w:ascii="Aptos" w:hAnsi="Aptos"/>
          <w:sz w:val="24"/>
        </w:rPr>
        <w:t xml:space="preserve"> </w:t>
      </w:r>
      <w:r>
        <w:rPr>
          <w:rFonts w:ascii="Times New Roman;Times;serif" w:hAnsi="Times New Roman;Times;serif"/>
          <w:sz w:val="22"/>
        </w:rPr>
        <w:t>as such time period may be extended by Agent in its sole discretion) execute and deliver to Agent, for the benefit of the Secured Parties, a Guaranty of Payment (or a Guaranty of Payment Joinder) of all of the Secured Obligations and a Security Agreement (or a Security Agreement Joinder), such agreements to be prepared by Agent and in form and substance acceptable to Agent, along with any such other supporting documentation, Security Documents, corporate governance and authorization documents, and an opinion of counsel as may be deemed necessary or advisable by Agent.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(b)</w:t>
      </w:r>
      <w:r>
        <w:rPr>
          <w:rFonts w:ascii="Times New Roman;Times;serif" w:hAnsi="Times New Roman;Times;serif"/>
          <w:sz w:val="22"/>
          <w:u w:val="single"/>
        </w:rPr>
        <w:t>Material Foreign Subsidiary and Security Documents</w:t>
      </w:r>
      <w:r>
        <w:rPr>
          <w:rFonts w:ascii="Times New Roman;Times;serif" w:hAnsi="Times New Roman;Times;serif"/>
          <w:sz w:val="22"/>
        </w:rPr>
        <w:t>.  From and after the Eleventh Amendment Effective Date, each Material Foreign Subsidiary (that is not an Excluded Subsidiary) created, acquired or held subsequent to the Closing Date, shall promptly (and, in any event on or prior to the date that is sixty</w:t>
      </w:r>
      <w:r>
        <w:rPr>
          <w:rFonts w:ascii="Aptos" w:hAnsi="Aptos"/>
          <w:sz w:val="24"/>
        </w:rPr>
        <w:t xml:space="preserve"> </w:t>
      </w:r>
      <w:r>
        <w:rPr>
          <w:rFonts w:ascii="Times New Roman;Times;serif" w:hAnsi="Times New Roman;Times;serif"/>
          <w:sz w:val="22"/>
        </w:rPr>
        <w:t>(60) days after such creation or acquisition thereof,</w:t>
      </w:r>
      <w:r>
        <w:rPr>
          <w:rFonts w:ascii="Aptos" w:hAnsi="Aptos"/>
          <w:sz w:val="24"/>
        </w:rPr>
        <w:t xml:space="preserve"> </w:t>
      </w:r>
      <w:r>
        <w:rPr>
          <w:rFonts w:ascii="Times New Roman;Times;serif" w:hAnsi="Times New Roman;Times;serif"/>
          <w:sz w:val="22"/>
        </w:rPr>
        <w:t xml:space="preserve">as such time period may be extended by Agent in its sole discretion) execute and deliver to Agent, for the benefit of the Secured Parties, a Guaranty of Payment (or a Guaranty of Payment Joinder) of all of the Secured Obligations and a Security Agreement (or a Security Agreement Joinder), such agreements to be prepared by Agent and in form and substance reasonably acceptable to Agent, along with any such other supporting documentation, Security Documents, corporate governance and authorization documents, and an opinion of counsel as may be reasonably requested by Agent (it being understood that the allocation of legal opinion responsibility between counsel to the Borrower or the Agent shall give due regard to customary practice in the applicable foreign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99</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jurisdiction).  Notwithstanding the foregoing, (i) upon request by the Borrower, the Agent may in its reasonable discretion waive the requirement that the Borrower comply with any of the requirements applicable pursuant to this clause (b) with respect to any individual Material Foreign Subsidiary when in the reasonable determination of the Agent, the cost or other consequences of doing so would be excessive in view of the benefits to be obtained by the Lenders therefrom, (ii) the requirements of this clause (b) shall take into account customary security principles for foreign collateral matters (including giving due regard to applicable regulatory, financial assistance and similar laws and regulations) and (iii) any security documents required pursuant to this clause (b) shall not (x) impose third party notice or consent obligations (including with respect any customers or suppliers, but excluding any customary security filings with applicable security registries or governmental authorities), (y) otherwise impose reporting, scheduling or other similar obligations with respect to collateral thereunder that are more burdensome to the Company than is required under Security Documents with respect to domestic collateral as in effect prior to the Eleventh Amendment Effective Date or (z) impose covenants that are more restrictive to the operations of any Credit Party than those required under this Agreement, including any requirements with respect to cash management or limitations on cash pooling arrangements.</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(c)</w:t>
      </w:r>
      <w:r>
        <w:rPr>
          <w:rFonts w:ascii="Times New Roman;Times;serif" w:hAnsi="Times New Roman;Times;serif"/>
          <w:sz w:val="22"/>
          <w:u w:val="single"/>
        </w:rPr>
        <w:t>Pledge of Stock or Other Ownership Interest</w:t>
      </w:r>
      <w:r>
        <w:rPr>
          <w:rFonts w:ascii="Times New Roman;Times;serif" w:hAnsi="Times New Roman;Times;serif"/>
          <w:sz w:val="22"/>
        </w:rPr>
        <w:t xml:space="preserve">.    With respect to the creation or acquisition of a First-Tier Material Foreign Subsidiary, or any Foreign Subsidiary otherwise becomes a First-Tier Material Foreign Subsidiary, US Borrower or the appropriate Domestic Guarantor of Payment shall, unless such pledge would cause it to incur, directly or indirectly, an unreasonable amount of economic, legal, tax or regulatory harm, as determined by Agent after consultation with US Borrower, (i) execute a Security Agreement  and, in connection therewith, pledge to Agent one hundred percent (100%) of all voting and non-voting shares of capital stock or other equity interests of such First-Tier Material Foreign Subsidiary that are owned by the US Borrower or the applicable Domestic Guarantor of Payment, and (ii) deliver to Agent all of the share certificates, if certificated, or other evidence of equity representing such pledged ownership interests.  Notwithstanding the foregoing, (i) upon request by the Borrower, the Agent may in its reasonable discretion waive the requirement that the Borrower comply with this clause (c) with respect to the equity interests of any individual First-Tier Material Foreign Subsidiary when in the reasonable determination of the Agent, the cost or other consequences of doing so would be excessive in view of the benefits to be obtained by the Lenders therefrom and (ii) the security documentation required for additional equity pledges pursuant to this clause (c) shall be consistent with the security documentation entered into pursuant to this Agreement prior to the Eleventh Amendment Effective Date.  In the event any voting shares of capital stock or other voting equity interests of any First-Tier Material Foreign Subsidiary have been pledged to Agent pursuant to this </w:t>
      </w:r>
      <w:r>
        <w:rPr>
          <w:rFonts w:ascii="Times New Roman;Times;serif" w:hAnsi="Times New Roman;Times;serif"/>
          <w:sz w:val="22"/>
          <w:u w:val="single"/>
        </w:rPr>
        <w:t>clause (c)</w:t>
      </w:r>
      <w:r>
        <w:rPr>
          <w:rFonts w:ascii="Aptos" w:hAnsi="Aptos"/>
          <w:sz w:val="24"/>
        </w:rPr>
        <w:t xml:space="preserve"> </w:t>
      </w:r>
      <w:r>
        <w:rPr>
          <w:rFonts w:ascii="Times New Roman;Times;serif" w:hAnsi="Times New Roman;Times;serif"/>
          <w:sz w:val="22"/>
        </w:rPr>
        <w:t>and such First-Tier Material Foreign Subsidiary, for any reason permitted by this Agreement, ceases to be a First-Tier Material Foreign Subsidiary, at the request and expense of US Borrower, Agent shall release the pledged ownership interests of such First-Tier Material Foreign Subsidiary and shall deliver to US Borrower any share certificates, if such First-Tier Material Foreign Subsidiary is certificated, or other evidence of equity representing such pledged ownership interests.</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(d)</w:t>
      </w:r>
      <w:r>
        <w:rPr>
          <w:rFonts w:ascii="Times New Roman;Times;serif" w:hAnsi="Times New Roman;Times;serif"/>
          <w:sz w:val="22"/>
          <w:u w:val="single"/>
        </w:rPr>
        <w:t>Perfection or Registration of Interest in Foreign Shares</w:t>
      </w:r>
      <w:r>
        <w:rPr>
          <w:rFonts w:ascii="Times New Roman;Times;serif" w:hAnsi="Times New Roman;Times;serif"/>
          <w:sz w:val="22"/>
        </w:rPr>
        <w:t xml:space="preserve">.  With respect to any foreign shares pledged to Agent, for the benefit of the Secured Parties, on or after the Closing Date, Agent shall at all times, in the discretion of Agent, have the right to perfect, at US Borrower’s cost, payable upon request therefor (including, without limitation, any foreign counsel, or foreign notary, filing, registration or similar, fees, costs or expenses), its security interest in such shares in the respective foreign jurisdiction;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 xml:space="preserve">that, prior to the First FB Addition Date, Agent shall not perfect its security interests in any shares of a first-tier Foreign Subsidiary that is not a First-Tier Material Foreign Subsidiary.  Such perfection may include the requirement that the applicable Company promptly execute and deliver to Agent a separate pledge document (prepared by Agent and in form and substance satisfactory to Agent), covering such equity interests, that conforms to the requirements of the applicable foreign jurisdiction, together with an opinion of local counsel as to the perfection of the security interest provided for therein, and all other documentation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100</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necessary or desirable to effect the foregoing and to permit Agent to exercise any of its rights and remedies in respect thereof.  In exercising such discretion, Agent shall take into consideration, after consultation with Administrative Borrower, the costs and benefits of perfecting its security interest in such equity interests in the applicable foreign jurisdiction.  In the event any foreign shares are pledged and perfected pursuant to this clause (d), US Borrower may, from time to time, request that the Required Lenders, in their sole discretion, terminate and release, at the expense of US Borrower, such pledge and the security interest perfected thereby.</w:t>
      </w:r>
    </w:p>
    <w:p>
      <w:pPr>
        <w:pStyle w:val="TextBody"/>
        <w:bidi w:val="0"/>
        <w:spacing w:lineRule="auto" w:line="285" w:before="0" w:after="0"/>
        <w:ind w:left="0" w:right="0" w:hanging="0"/>
        <w:jc w:val="both"/>
        <w:rPr>
          <w:rFonts w:ascii="Aptos" w:hAnsi="Aptos"/>
          <w:sz w:val="24"/>
        </w:rPr>
      </w:pPr>
      <w:r>
        <w:rPr>
          <w:rFonts w:ascii="Times New Roman;Times;serif" w:hAnsi="Times New Roman;Times;serif"/>
          <w:sz w:val="22"/>
        </w:rPr>
        <w:t>(e)</w:t>
      </w:r>
      <w:r>
        <w:rPr>
          <w:rFonts w:ascii="Times New Roman;Times;serif" w:hAnsi="Times New Roman;Times;serif"/>
          <w:sz w:val="22"/>
          <w:u w:val="single"/>
        </w:rPr>
        <w:t>Excluded Subsidiary Status</w:t>
      </w:r>
      <w:r>
        <w:rPr>
          <w:rFonts w:ascii="Times New Roman;Times;serif" w:hAnsi="Times New Roman;Times;serif"/>
          <w:sz w:val="22"/>
        </w:rPr>
        <w:t xml:space="preserve">.  With respect to a Subsidiary that has been classified as an Excluded Subsidiary, at such time that such Subsidiary no longer meets the requirements of an Excluded Subsidiary, Administrative Borrower shall provide to Agent prompt written notice thereof, and shall provide, with respect to such Subsidiary, all of the documents required by this </w:t>
      </w:r>
      <w:r>
        <w:rPr>
          <w:rFonts w:ascii="Times New Roman;Times;serif" w:hAnsi="Times New Roman;Times;serif"/>
          <w:sz w:val="22"/>
          <w:u w:val="single"/>
        </w:rPr>
        <w:t>Section 5.21</w:t>
      </w:r>
      <w:r>
        <w:rPr>
          <w:rFonts w:ascii="Times New Roman;Times;serif" w:hAnsi="Times New Roman;Times;serif"/>
          <w:sz w:val="22"/>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5.22</w:t>
      </w:r>
      <w:bookmarkStart w:id="1906" w:name="_Toc236844345"/>
      <w:bookmarkStart w:id="1907" w:name="_Toc172896691"/>
      <w:bookmarkEnd w:id="1906"/>
      <w:bookmarkEnd w:id="1907"/>
      <w:r>
        <w:rPr>
          <w:rFonts w:ascii="Times New Roman;Times;serif" w:hAnsi="Times New Roman;Times;serif"/>
          <w:sz w:val="22"/>
          <w:u w:val="single"/>
        </w:rPr>
        <w:t>Restrictive Agreements</w:t>
      </w:r>
      <w:r>
        <w:rPr>
          <w:rFonts w:ascii="Times New Roman;Times;serif" w:hAnsi="Times New Roman;Times;serif"/>
          <w:sz w:val="22"/>
        </w:rPr>
        <w:t>.  Borrowers shall not, and shall not permit any of their Subsidiaries to, (a) enter into any contract or agreement that would prohibit Agent or the Lenders from acquiring a security interest, mortgage or other Lien on, or a collateral assignment of, any of the property or assets of such Company or (b) directly or indirectly, create or otherwise cause or suffer to exist or become effective any encumbrance or restriction on the ability of any Subsidiary to (x) make, directly or indirectly, any Capital Distribution to the US Borrower, (y) make, directly or indirectly, loans or advances or capital contributions to the US Borrower or (z) transfer, directly or indirectly, any of the properties or assets of such Subsidiary to the US Borrower; except in each case for such encumbrances or restrictions existing under or by reason of:</w:t>
      </w:r>
    </w:p>
    <w:p>
      <w:pPr>
        <w:pStyle w:val="TextBody"/>
        <w:bidi w:val="0"/>
        <w:spacing w:lineRule="auto" w:line="285" w:before="0" w:after="240"/>
        <w:ind w:left="720" w:right="0" w:hanging="0"/>
        <w:jc w:val="both"/>
        <w:rPr>
          <w:rFonts w:ascii="Times New Roman;Times;serif" w:hAnsi="Times New Roman;Times;serif"/>
          <w:sz w:val="22"/>
        </w:rPr>
      </w:pPr>
      <w:r>
        <w:rPr>
          <w:rFonts w:ascii="Times New Roman;Times;serif" w:hAnsi="Times New Roman;Times;serif"/>
          <w:sz w:val="22"/>
        </w:rPr>
        <w:t>(i)this Agreement and the other Loan Documents;</w:t>
      </w:r>
    </w:p>
    <w:p>
      <w:pPr>
        <w:pStyle w:val="TextBody"/>
        <w:bidi w:val="0"/>
        <w:spacing w:lineRule="auto" w:line="285" w:before="0" w:after="240"/>
        <w:ind w:left="720" w:right="0" w:hanging="0"/>
        <w:jc w:val="both"/>
        <w:rPr>
          <w:rFonts w:ascii="Times New Roman;Times;serif" w:hAnsi="Times New Roman;Times;serif"/>
          <w:sz w:val="22"/>
        </w:rPr>
      </w:pPr>
      <w:r>
        <w:rPr>
          <w:rFonts w:ascii="Times New Roman;Times;serif" w:hAnsi="Times New Roman;Times;serif"/>
          <w:sz w:val="22"/>
        </w:rPr>
        <w:t>(ii)applicable law;</w:t>
      </w:r>
    </w:p>
    <w:p>
      <w:pPr>
        <w:pStyle w:val="TextBody"/>
        <w:bidi w:val="0"/>
        <w:spacing w:lineRule="auto" w:line="285" w:before="0" w:after="240"/>
        <w:ind w:left="720" w:right="0" w:hanging="0"/>
        <w:jc w:val="both"/>
        <w:rPr>
          <w:rFonts w:ascii="Times New Roman;Times;serif" w:hAnsi="Times New Roman;Times;serif"/>
          <w:sz w:val="22"/>
        </w:rPr>
      </w:pPr>
      <w:r>
        <w:rPr>
          <w:rFonts w:ascii="Times New Roman;Times;serif" w:hAnsi="Times New Roman;Times;serif"/>
          <w:sz w:val="22"/>
        </w:rPr>
        <w:t>(iii)customary non-assignment provisions in leases or other agreements entered in the ordinary course of business and consistent with past practices;</w:t>
      </w:r>
    </w:p>
    <w:p>
      <w:pPr>
        <w:pStyle w:val="TextBody"/>
        <w:bidi w:val="0"/>
        <w:spacing w:lineRule="auto" w:line="285" w:before="0" w:after="240"/>
        <w:ind w:left="720" w:right="0" w:hanging="0"/>
        <w:jc w:val="both"/>
        <w:rPr>
          <w:rFonts w:ascii="Times New Roman;Times;serif" w:hAnsi="Times New Roman;Times;serif"/>
          <w:sz w:val="22"/>
        </w:rPr>
      </w:pPr>
      <w:r>
        <w:rPr>
          <w:rFonts w:ascii="Times New Roman;Times;serif" w:hAnsi="Times New Roman;Times;serif"/>
          <w:sz w:val="22"/>
        </w:rPr>
        <w:t>(iv)customary restrictions in loan agreements, security agreements, mortgages or other loan documents in respect of secured Indebtedness, or capital leases, of a Company, in each case, solely to the extent such secured Indebtedness is permitted hereunder, to the extent such restrictions shall only restrict the transfer or encumbrance of the property subject to such security agreement, mortgage or lease;</w:t>
      </w:r>
    </w:p>
    <w:p>
      <w:pPr>
        <w:pStyle w:val="TextBody"/>
        <w:bidi w:val="0"/>
        <w:spacing w:lineRule="auto" w:line="285" w:before="0" w:after="240"/>
        <w:ind w:left="720" w:right="0" w:hanging="0"/>
        <w:jc w:val="both"/>
        <w:rPr>
          <w:rFonts w:ascii="Times New Roman;Times;serif" w:hAnsi="Times New Roman;Times;serif"/>
          <w:sz w:val="22"/>
        </w:rPr>
      </w:pPr>
      <w:r>
        <w:rPr>
          <w:rFonts w:ascii="Times New Roman;Times;serif" w:hAnsi="Times New Roman;Times;serif"/>
          <w:sz w:val="22"/>
        </w:rPr>
        <w:t>(v)obligations that are binding on a Subsidiary at the time such Subsidiary first becomes a Subsidiary of US Borrower, so long as such obligations are not entered into in contemplation of such Person becoming a Subsidiary;</w:t>
      </w:r>
    </w:p>
    <w:p>
      <w:pPr>
        <w:pStyle w:val="TextBody"/>
        <w:bidi w:val="0"/>
        <w:spacing w:lineRule="auto" w:line="285" w:before="0" w:after="240"/>
        <w:ind w:left="720" w:right="0" w:hanging="0"/>
        <w:jc w:val="both"/>
        <w:rPr>
          <w:rFonts w:ascii="Aptos" w:hAnsi="Aptos"/>
          <w:sz w:val="24"/>
        </w:rPr>
      </w:pPr>
      <w:r>
        <w:rPr>
          <w:rFonts w:ascii="Times New Roman;Times;serif" w:hAnsi="Times New Roman;Times;serif"/>
          <w:sz w:val="22"/>
        </w:rPr>
        <w:t xml:space="preserve">(vi)agreements related to the sale of property that limit the transfer of such property pending the consummation of such sale or any restriction on a Subsidiary imposed pursuant to an agreement entered into for the sale or disposition of the equity interests or assets of a Subsidiary, in each case to the extent such sale is permitted pursuant to </w:t>
      </w:r>
      <w:r>
        <w:rPr>
          <w:rFonts w:ascii="Times New Roman;Times;serif" w:hAnsi="Times New Roman;Times;serif"/>
          <w:sz w:val="22"/>
          <w:u w:val="single"/>
        </w:rPr>
        <w:t>Section 5.12</w:t>
      </w:r>
      <w:r>
        <w:rPr>
          <w:rFonts w:ascii="Times New Roman;Times;serif" w:hAnsi="Times New Roman;Times;serif"/>
          <w:sz w:val="22"/>
        </w:rPr>
        <w:t>;</w:t>
      </w:r>
    </w:p>
    <w:p>
      <w:pPr>
        <w:pStyle w:val="TextBody"/>
        <w:bidi w:val="0"/>
        <w:spacing w:lineRule="auto" w:line="285" w:before="0" w:after="240"/>
        <w:ind w:left="720" w:right="0" w:hanging="0"/>
        <w:jc w:val="both"/>
        <w:rPr>
          <w:rFonts w:ascii="Times New Roman;Times;serif" w:hAnsi="Times New Roman;Times;serif"/>
          <w:sz w:val="22"/>
        </w:rPr>
      </w:pPr>
      <w:r>
        <w:rPr>
          <w:rFonts w:ascii="Times New Roman;Times;serif" w:hAnsi="Times New Roman;Times;serif"/>
          <w:sz w:val="22"/>
        </w:rPr>
        <w:t>(vii)customary provisions restricting assignment of any agreement entered into in the ordinary course of business;</w:t>
      </w:r>
    </w:p>
    <w:p>
      <w:pPr>
        <w:pStyle w:val="TextBody"/>
        <w:bidi w:val="0"/>
        <w:spacing w:lineRule="auto" w:line="285" w:before="0" w:after="240"/>
        <w:ind w:left="720" w:right="0" w:hanging="0"/>
        <w:jc w:val="both"/>
        <w:rPr>
          <w:rFonts w:ascii="Times New Roman;Times;serif" w:hAnsi="Times New Roman;Times;serif"/>
          <w:sz w:val="22"/>
        </w:rPr>
      </w:pPr>
      <w:r>
        <w:rPr>
          <w:rFonts w:ascii="Times New Roman;Times;serif" w:hAnsi="Times New Roman;Times;serif"/>
          <w:sz w:val="22"/>
        </w:rPr>
        <w:t xml:space="preserve">(viii)customary provisions in joint venture agreements and other similar agreements applicable to joint ventures, including any loan agreements or other agreements relating to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101</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720" w:right="0" w:hanging="0"/>
        <w:jc w:val="both"/>
        <w:rPr>
          <w:rFonts w:ascii="Times New Roman;Times;serif" w:hAnsi="Times New Roman;Times;serif"/>
          <w:sz w:val="22"/>
        </w:rPr>
      </w:pPr>
      <w:r>
        <w:rPr>
          <w:rFonts w:ascii="Times New Roman;Times;serif" w:hAnsi="Times New Roman;Times;serif"/>
          <w:sz w:val="22"/>
        </w:rPr>
        <w:t>Indebtedness of such joint ventures, and applicable only to such joint venture and equity interests therein;</w:t>
      </w:r>
    </w:p>
    <w:p>
      <w:pPr>
        <w:pStyle w:val="TextBody"/>
        <w:bidi w:val="0"/>
        <w:spacing w:lineRule="auto" w:line="285" w:before="0" w:after="240"/>
        <w:ind w:left="720" w:right="0" w:hanging="0"/>
        <w:jc w:val="both"/>
        <w:rPr>
          <w:rFonts w:ascii="Times New Roman;Times;serif" w:hAnsi="Times New Roman;Times;serif"/>
          <w:sz w:val="22"/>
        </w:rPr>
      </w:pPr>
      <w:r>
        <w:rPr>
          <w:rFonts w:ascii="Times New Roman;Times;serif" w:hAnsi="Times New Roman;Times;serif"/>
          <w:sz w:val="22"/>
        </w:rPr>
        <w:t>(ix)solely in the case of clause (b) above, encumbrances or restrictions arising under any unsecured indebtedness that are not more restrictive, taken as a whole, in any material respect than the encumbrances or restrictions under this Agreement, and</w:t>
      </w:r>
    </w:p>
    <w:p>
      <w:pPr>
        <w:pStyle w:val="TextBody"/>
        <w:bidi w:val="0"/>
        <w:spacing w:lineRule="auto" w:line="285" w:before="0" w:after="0"/>
        <w:ind w:left="720" w:right="0" w:hanging="0"/>
        <w:jc w:val="both"/>
        <w:rPr>
          <w:rFonts w:ascii="Aptos" w:hAnsi="Aptos"/>
          <w:sz w:val="24"/>
        </w:rPr>
      </w:pPr>
      <w:r>
        <w:rPr>
          <w:rFonts w:ascii="Times New Roman;Times;serif" w:hAnsi="Times New Roman;Times;serif"/>
          <w:sz w:val="22"/>
        </w:rPr>
        <w:t xml:space="preserve">(x)a contract or agreement entered into in connection with (A) the purchase or lease of fixed assets that prohibits Liens and restricts the transfer on such fixed assets, or (B) the incurrence of Indebtedness permitted pursuant to </w:t>
      </w:r>
      <w:r>
        <w:rPr>
          <w:rFonts w:ascii="Times New Roman;Times;serif" w:hAnsi="Times New Roman;Times;serif"/>
          <w:sz w:val="22"/>
          <w:u w:val="single"/>
        </w:rPr>
        <w:t>Section 5.8(d)</w:t>
      </w:r>
      <w:r>
        <w:rPr>
          <w:rFonts w:ascii="Times New Roman;Times;serif" w:hAnsi="Times New Roman;Times;serif"/>
          <w:sz w:val="22"/>
        </w:rPr>
        <w:t xml:space="preserve">, </w:t>
      </w:r>
      <w:r>
        <w:rPr>
          <w:rFonts w:ascii="Times New Roman;Times;serif" w:hAnsi="Times New Roman;Times;serif"/>
          <w:sz w:val="22"/>
          <w:u w:val="single"/>
        </w:rPr>
        <w:t>(i)</w:t>
      </w:r>
      <w:r>
        <w:rPr>
          <w:rFonts w:ascii="Aptos" w:hAnsi="Aptos"/>
          <w:sz w:val="24"/>
        </w:rPr>
        <w:t xml:space="preserve"> </w:t>
      </w:r>
      <w:r>
        <w:rPr>
          <w:rFonts w:ascii="Times New Roman;Times;serif" w:hAnsi="Times New Roman;Times;serif"/>
          <w:sz w:val="22"/>
        </w:rPr>
        <w:t xml:space="preserve">or </w:t>
      </w:r>
      <w:r>
        <w:rPr>
          <w:rFonts w:ascii="Times New Roman;Times;serif" w:hAnsi="Times New Roman;Times;serif"/>
          <w:sz w:val="22"/>
          <w:u w:val="single"/>
        </w:rPr>
        <w:t>(j)</w:t>
      </w:r>
      <w:r>
        <w:rPr>
          <w:rFonts w:ascii="Times New Roman;Times;serif" w:hAnsi="Times New Roman;Times;serif"/>
          <w:sz w:val="22"/>
        </w:rPr>
        <w:t>, so long as the applicable restrictions and prohibitions apply only to the obligors under such Indebtedness and their respective subsidiaries.</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5.23</w:t>
      </w:r>
      <w:bookmarkStart w:id="1908" w:name="_Toc236844346"/>
      <w:bookmarkStart w:id="1909" w:name="_Toc172896692"/>
      <w:bookmarkEnd w:id="1908"/>
      <w:bookmarkEnd w:id="1909"/>
      <w:r>
        <w:rPr>
          <w:rFonts w:ascii="Times New Roman;Times;serif" w:hAnsi="Times New Roman;Times;serif"/>
          <w:sz w:val="22"/>
          <w:u w:val="single"/>
        </w:rPr>
        <w:t>Pari Passu Ranking</w:t>
      </w:r>
      <w:r>
        <w:rPr>
          <w:rFonts w:ascii="Times New Roman;Times;serif" w:hAnsi="Times New Roman;Times;serif"/>
          <w:sz w:val="22"/>
        </w:rPr>
        <w:t>.  The Obligations shall, and Borrowers shall take all necessary action reasonably requested by Agent to ensure that the Obligations shall, at all times, rank at least pari passu in right of payment with all other senior Indebtedness of each Borrower.</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5.24</w:t>
      </w:r>
      <w:bookmarkStart w:id="1910" w:name="_Toc236844347"/>
      <w:bookmarkStart w:id="1911" w:name="_Toc172896693"/>
      <w:bookmarkEnd w:id="1910"/>
      <w:bookmarkEnd w:id="1911"/>
      <w:r>
        <w:rPr>
          <w:rFonts w:ascii="Times New Roman;Times;serif" w:hAnsi="Times New Roman;Times;serif"/>
          <w:sz w:val="22"/>
          <w:u w:val="single"/>
        </w:rPr>
        <w:t>Guaranty Under Material Indebtedness Agreement</w:t>
      </w:r>
      <w:r>
        <w:rPr>
          <w:rFonts w:ascii="Times New Roman;Times;serif" w:hAnsi="Times New Roman;Times;serif"/>
          <w:sz w:val="22"/>
        </w:rPr>
        <w:t>.  No Company shall be or become a primary obligor or Guarantor of the Indebtedness incurred pursuant to any Material Indebtedness Agreement unless such Company shall also be a Guarantor of Payment under this Agreement prior to or concurrently therewith.</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5.25</w:t>
      </w:r>
      <w:bookmarkStart w:id="1912" w:name="_Toc236844348"/>
      <w:bookmarkStart w:id="1913" w:name="_Toc172896694"/>
      <w:bookmarkEnd w:id="1912"/>
      <w:bookmarkEnd w:id="1913"/>
      <w:r>
        <w:rPr>
          <w:rFonts w:ascii="Times New Roman;Times;serif" w:hAnsi="Times New Roman;Times;serif"/>
          <w:sz w:val="22"/>
          <w:u w:val="single"/>
        </w:rPr>
        <w:t>Amendment of Organizational Documents</w:t>
      </w:r>
      <w:r>
        <w:rPr>
          <w:rFonts w:ascii="Times New Roman;Times;serif" w:hAnsi="Times New Roman;Times;serif"/>
          <w:sz w:val="22"/>
        </w:rPr>
        <w:t>.  Without the prior written consent of Agent, no Credit Party shall amend, modify or change its Organizational Documents in any manner materially adverse to the Lenders.</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5.26</w:t>
      </w:r>
      <w:bookmarkStart w:id="1914" w:name="_Toc236844349"/>
      <w:bookmarkStart w:id="1915" w:name="_Toc172896695"/>
      <w:bookmarkEnd w:id="1914"/>
      <w:bookmarkEnd w:id="1915"/>
      <w:r>
        <w:rPr>
          <w:rFonts w:ascii="Times New Roman;Times;serif" w:hAnsi="Times New Roman;Times;serif"/>
          <w:sz w:val="22"/>
          <w:u w:val="single"/>
        </w:rPr>
        <w:t>Fiscal Year of Borrowers</w:t>
      </w:r>
      <w:r>
        <w:rPr>
          <w:rFonts w:ascii="Times New Roman;Times;serif" w:hAnsi="Times New Roman;Times;serif"/>
          <w:sz w:val="22"/>
        </w:rPr>
        <w:t>.  No Borrower shall change the date of its fiscal year end without the prior written consent of Agent and the Required Lenders.  As of the Closing Date, the fiscal year end of each Borrower is December 31 of each year.</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5.27</w:t>
      </w:r>
      <w:bookmarkStart w:id="1916" w:name="_Toc236844350"/>
      <w:bookmarkStart w:id="1917" w:name="_Toc172896696"/>
      <w:bookmarkEnd w:id="1916"/>
      <w:bookmarkEnd w:id="1917"/>
      <w:r>
        <w:rPr>
          <w:rFonts w:ascii="Times New Roman;Times;serif" w:hAnsi="Times New Roman;Times;serif"/>
          <w:sz w:val="22"/>
          <w:u w:val="single"/>
        </w:rPr>
        <w:t>Further Assurances</w:t>
      </w:r>
      <w:r>
        <w:rPr>
          <w:rFonts w:ascii="Times New Roman;Times;serif" w:hAnsi="Times New Roman;Times;serif"/>
          <w:sz w:val="22"/>
        </w:rPr>
        <w:t>.  Borrowers shall, and shall cause each other Credit Party to, promptly upon request by Agent, or the Required Lenders through Agent, (a) correct any material defect or error that may be discovered in any Loan Document or in the execution, acknowledgment, filing or recordation thereof, and (b) do, execute, acknowledge, deliver, record, re-record, file, re-file, register and re-register any and all such further acts, deeds, certificates, assurances and other instruments related to the Collateral as Agent, or the Required Lenders through Agent, may reasonably require from time to time in order to carry out more effectively the purposes of the Loan Documents.</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5.28</w:t>
      </w:r>
      <w:bookmarkStart w:id="1918" w:name="_Toc236844351"/>
      <w:bookmarkStart w:id="1919" w:name="_Toc172896697"/>
      <w:bookmarkEnd w:id="1918"/>
      <w:bookmarkEnd w:id="1919"/>
      <w:r>
        <w:rPr>
          <w:rFonts w:ascii="Times New Roman;Times;serif" w:hAnsi="Times New Roman;Times;serif"/>
          <w:sz w:val="22"/>
          <w:u w:val="single"/>
        </w:rPr>
        <w:t>Anti-Corruption Laws; Beneficial Ownership Regulation, Anti-Money Laundering Laws and Sanctions</w:t>
      </w:r>
      <w:r>
        <w:rPr>
          <w:rFonts w:ascii="Times New Roman;Times;serif" w:hAnsi="Times New Roman;Times;serif"/>
          <w:sz w:val="22"/>
        </w:rPr>
        <w:t>.</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(a)The Borrowers will maintain in effect and enforce policies and procedures reasonably designed to promote and achieve compliance by the Borrowers, their respective Subsidiaries and their respective directors, officers, employees and agents with all Anti-Corruption Laws, Anti-Money Laundering Laws and applicable Sanctions.</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 xml:space="preserve">(b)The Borrowers will (i) promptly upon the reasonable request of Agent or any Lender, provide directly to Agent or such Lender, as the case may be, any information or documentation requested by it for purposes of complying with the Beneficial Ownership Regulation and (ii) notify Agent and each Lender that previously received a Beneficial Ownership Certification of any change in the information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102</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provided in the Beneficial Ownership Certification that would result in a change to the list of beneficial owners identified therein.</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(c)No Borrower will request any Loan or Letter of Credit, and no Borrower shall use, and shall not permit its Subsidiaries and its or their respective directors, officers and employees, or to the knowledge of the Borrowers, their agents to use, the proceeds of any Credit Event, directly or indirectly,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in violation of any Sanctions applicable to any party to this Agreement, or (iii) in any manner that would result in the violation of any Sanctions applicable to any party hereto.</w:t>
      </w:r>
    </w:p>
    <w:p>
      <w:pPr>
        <w:pStyle w:val="TextBody"/>
        <w:bidi w:val="0"/>
        <w:spacing w:lineRule="auto" w:line="285"/>
        <w:ind w:left="0" w:right="0" w:hanging="0"/>
        <w:jc w:val="both"/>
        <w:rPr>
          <w:rFonts w:ascii="Aptos" w:hAnsi="Aptos"/>
          <w:sz w:val="24"/>
        </w:rPr>
      </w:pPr>
      <w:r>
        <w:rPr>
          <w:rFonts w:ascii="Times New Roman;Times;serif" w:hAnsi="Times New Roman;Times;serif"/>
          <w:sz w:val="22"/>
        </w:rPr>
        <w:t>Section 5.29</w:t>
      </w:r>
      <w:r>
        <w:rPr>
          <w:rFonts w:ascii="Times New Roman;Times;serif" w:hAnsi="Times New Roman;Times;serif"/>
          <w:sz w:val="22"/>
          <w:u w:val="single"/>
        </w:rPr>
        <w:t>Liability Management Transactions</w:t>
      </w:r>
      <w:r>
        <w:rPr>
          <w:rFonts w:ascii="Times New Roman;Times;serif" w:hAnsi="Times New Roman;Times;serif"/>
          <w:sz w:val="22"/>
        </w:rPr>
        <w:t xml:space="preserve">. US Borrower shall not, and US Borrower shall not permit any of its Subsidiaries to, enter into any Liability Management Transaction (as defined below).   </w:t>
      </w:r>
    </w:p>
    <w:p>
      <w:pPr>
        <w:pStyle w:val="TextBody"/>
        <w:bidi w:val="0"/>
        <w:spacing w:lineRule="auto" w:line="285" w:before="0" w:after="240"/>
        <w:ind w:left="720" w:right="0" w:hanging="0"/>
        <w:jc w:val="both"/>
        <w:rPr>
          <w:rFonts w:ascii="Aptos" w:hAnsi="Aptos"/>
          <w:sz w:val="22"/>
        </w:rPr>
      </w:pPr>
      <w:r>
        <w:rPr>
          <w:rFonts w:ascii="Times New Roman;Times;serif" w:hAnsi="Times New Roman;Times;serif"/>
          <w:sz w:val="22"/>
        </w:rPr>
        <w:t>As used herein, the term “</w:t>
      </w:r>
      <w:r>
        <w:rPr>
          <w:rFonts w:ascii="Times New Roman;Times;serif" w:hAnsi="Times New Roman;Times;serif"/>
          <w:sz w:val="22"/>
          <w:u w:val="single"/>
        </w:rPr>
        <w:t>Liability Management Transaction</w:t>
      </w:r>
      <w:r>
        <w:rPr>
          <w:rFonts w:ascii="Aptos" w:hAnsi="Aptos"/>
          <w:sz w:val="22"/>
        </w:rPr>
        <w:t xml:space="preserve">” </w:t>
      </w:r>
      <w:r>
        <w:rPr>
          <w:rFonts w:ascii="Times New Roman;Times;serif" w:hAnsi="Times New Roman;Times;serif"/>
          <w:sz w:val="22"/>
        </w:rPr>
        <w:t xml:space="preserve">shall mean any transaction or series of related transactions that is designed primarily to, and has the primary effect of, (x) raising liquidity for the Borrower and its Subsidiaries (or any Person in which any of the foregoing Persons owns a controlling equity interest) at a time when there is a reasonable  determination by the Agent that the Borrower’s near-term liquidity prospects are constrained or diminishing, (y) preserve the value of a material portion of the assets of the Borrower and its Subsidiaries for the benefit of an Affiliate of the Credit Parties (or any Person in which any of the foregoing Persons owns a controlling equity interest), or (z) restructure the Credit Parties’ capital structure in a manner that directly improves the prospects of a class or subset of stakeholders (including any other equity holder, and any debt financing providers (including any class or subset of Lenders)) that is pari passu with or junior to the Lenders by elevating such stakeholder’s priority (whether effectively, structurally or contractually) or ability to direct actions under the Loan Documents, including any of the following: </w:t>
      </w:r>
    </w:p>
    <w:p>
      <w:pPr>
        <w:pStyle w:val="TextBody"/>
        <w:bidi w:val="0"/>
        <w:spacing w:lineRule="auto" w:line="285" w:before="0" w:after="240"/>
        <w:ind w:left="720" w:right="0" w:hanging="0"/>
        <w:jc w:val="both"/>
        <w:rPr>
          <w:rFonts w:ascii="Aptos" w:hAnsi="Aptos"/>
          <w:sz w:val="24"/>
        </w:rPr>
      </w:pPr>
      <w:r>
        <w:rPr>
          <w:rFonts w:ascii="Times New Roman;Times;serif" w:hAnsi="Times New Roman;Times;serif"/>
          <w:sz w:val="22"/>
        </w:rPr>
        <w:t>(i)any Indebtedness issued in exchange for, or the net proceeds (or deemed net proceeds in the event of a cashless transaction) of which are used, in whole or in part, to modify, extend, refinance, renew, replace, retire or refund (or any other transaction that would have the direct effect of circumventing the restrictions set forth in the covenants hereof) any existing Indebtedness of the Borrower or any of its Subsidiaries (the “</w:t>
      </w:r>
      <w:r>
        <w:rPr>
          <w:rFonts w:ascii="Times New Roman;Times;serif" w:hAnsi="Times New Roman;Times;serif"/>
          <w:sz w:val="22"/>
          <w:u w:val="single"/>
        </w:rPr>
        <w:t>Existing LMT Debt</w:t>
      </w:r>
      <w:r>
        <w:rPr>
          <w:rFonts w:ascii="Aptos" w:hAnsi="Aptos"/>
          <w:sz w:val="24"/>
        </w:rPr>
        <w:t>”</w:t>
      </w:r>
      <w:r>
        <w:rPr>
          <w:rFonts w:ascii="Times New Roman;Times;serif" w:hAnsi="Times New Roman;Times;serif"/>
          <w:sz w:val="22"/>
        </w:rPr>
        <w:t>) with any other Indebtedness or debt-like instruments (including preferred Equity Interests) of the Borrower or any of its Subsidiaries (or any Person in which any of the foregoing Persons owns a controlling equity interest) (the “</w:t>
      </w:r>
      <w:r>
        <w:rPr>
          <w:rFonts w:ascii="Times New Roman;Times;serif" w:hAnsi="Times New Roman;Times;serif"/>
          <w:sz w:val="22"/>
          <w:u w:val="single"/>
        </w:rPr>
        <w:t>New LMT Debt</w:t>
      </w:r>
      <w:r>
        <w:rPr>
          <w:rFonts w:ascii="Aptos" w:hAnsi="Aptos"/>
          <w:sz w:val="24"/>
        </w:rPr>
        <w:t>”</w:t>
      </w:r>
      <w:r>
        <w:rPr>
          <w:rFonts w:ascii="Times New Roman;Times;serif" w:hAnsi="Times New Roman;Times;serif"/>
          <w:sz w:val="22"/>
        </w:rPr>
        <w:t xml:space="preserve">) in a transaction the primary purpose and effect of which is to “uptier” holders of such Existing LMT Debt on a non-pro rata basis into New LMT Debt that is effectively (including as to security or recourse to additional assets or through a “double dip” or “pari plus” structure), contractually or structurally senior (in right of payment or security) to the Existing LMT Debt, </w:t>
      </w:r>
    </w:p>
    <w:p>
      <w:pPr>
        <w:pStyle w:val="TextBody"/>
        <w:bidi w:val="0"/>
        <w:spacing w:lineRule="auto" w:line="285" w:before="0" w:after="240"/>
        <w:ind w:left="720" w:right="0" w:hanging="0"/>
        <w:jc w:val="both"/>
        <w:rPr>
          <w:rFonts w:ascii="Times New Roman;Times;serif" w:hAnsi="Times New Roman;Times;serif"/>
          <w:sz w:val="22"/>
        </w:rPr>
      </w:pPr>
      <w:r>
        <w:rPr>
          <w:rFonts w:ascii="Times New Roman;Times;serif" w:hAnsi="Times New Roman;Times;serif"/>
          <w:sz w:val="22"/>
        </w:rPr>
        <w:t xml:space="preserve">(ii)any investment, asset sale, Restricted Payment or other transfer or disposition (including any indirect transfers effectuated through a release of a Guarantor, a merger, amalgamation, division, or similar undertaking) of assets constituting Collateral immediately prior to such investment, asset sale, Restricted Payment or other transfer or disposition to an Affiliate of the Borrower or any of its Subsidiaries that is not a Credit Party (including any non-Credit Party Subsidiary or Affiliate that is not a Credit Party) (or any Person in which any of the foregoing Persons owns a controlling equity interest), in each case, to (a) facilitate a new financing of Indebtedness or debt-like instruments (including the issuance of any preferred equity interests)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103</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720" w:right="0" w:hanging="0"/>
        <w:jc w:val="both"/>
        <w:rPr>
          <w:rFonts w:ascii="Times New Roman;Times;serif" w:hAnsi="Times New Roman;Times;serif"/>
          <w:sz w:val="22"/>
        </w:rPr>
      </w:pPr>
      <w:r>
        <w:rPr>
          <w:rFonts w:ascii="Times New Roman;Times;serif" w:hAnsi="Times New Roman;Times;serif"/>
          <w:sz w:val="22"/>
        </w:rPr>
        <w:t xml:space="preserve">incurred by such non-Credit Party Person under such Indebtedness or debt-like instruments, or otherwise undertakes a transaction that monetizes such property, the primary purpose and effect of which raises, directly or indirectly, liquidity for the Credit Parties or to provide cash flow assistance to the Credit Parties (including in furtherance of exchanging, modifying, extending, refinancing, renewing, replacing, retiring or refunding, in whole or in part, Existing LMT Debt), (b) provide security for any existing Indebtedness or debt-like instrument, or (c) transfer (whether by a distribution, dividend, or otherwise) such property to an Affiliate of a Credit Party (or any Person in which any of the foregoing Persons owns a controlling equity interest) the primary purpose and effect of which preserves the value of such property for such Affiliate (or any Person in which any of the foregoing Persons owns a controlling equity interest), </w:t>
      </w:r>
    </w:p>
    <w:p>
      <w:pPr>
        <w:pStyle w:val="TextBody"/>
        <w:bidi w:val="0"/>
        <w:spacing w:lineRule="auto" w:line="285" w:before="0" w:after="240"/>
        <w:ind w:left="720" w:right="0" w:hanging="0"/>
        <w:jc w:val="both"/>
        <w:rPr>
          <w:rFonts w:ascii="Times New Roman;Times;serif" w:hAnsi="Times New Roman;Times;serif"/>
          <w:sz w:val="22"/>
        </w:rPr>
      </w:pPr>
      <w:r>
        <w:rPr>
          <w:rFonts w:ascii="Times New Roman;Times;serif" w:hAnsi="Times New Roman;Times;serif"/>
          <w:sz w:val="22"/>
        </w:rPr>
        <w:t xml:space="preserve">(iii)any release of a Guarantor or of a material portion of the Collateral, in each case the primary purpose and effect of which is intended to secure or serve as support for new Indebtedness, a new equity issuance, or to otherwise raise liquidity or to provide cash flow assistance, </w:t>
      </w:r>
    </w:p>
    <w:p>
      <w:pPr>
        <w:pStyle w:val="TextBody"/>
        <w:bidi w:val="0"/>
        <w:spacing w:lineRule="auto" w:line="285" w:before="0" w:after="240"/>
        <w:ind w:left="720" w:right="0" w:hanging="0"/>
        <w:jc w:val="both"/>
        <w:rPr>
          <w:rFonts w:ascii="Times New Roman;Times;serif" w:hAnsi="Times New Roman;Times;serif"/>
          <w:sz w:val="22"/>
        </w:rPr>
      </w:pPr>
      <w:r>
        <w:rPr>
          <w:rFonts w:ascii="Times New Roman;Times;serif" w:hAnsi="Times New Roman;Times;serif"/>
          <w:sz w:val="22"/>
        </w:rPr>
        <w:t xml:space="preserve">(iv)any transaction whereby an obligation of a Credit Party owed to an Affiliate of a Credit Party (or any Person in which any of the foregoing Persons owns a controlling equity interest) (other than another Credit Party) would directly or indirectly be pari passu or senior (in right of payment or security) to the Obligations, </w:t>
      </w:r>
    </w:p>
    <w:p>
      <w:pPr>
        <w:pStyle w:val="TextBody"/>
        <w:bidi w:val="0"/>
        <w:spacing w:lineRule="auto" w:line="285" w:before="0" w:after="240"/>
        <w:ind w:left="720" w:right="0" w:hanging="0"/>
        <w:jc w:val="both"/>
        <w:rPr>
          <w:rFonts w:ascii="Times New Roman;Times;serif" w:hAnsi="Times New Roman;Times;serif"/>
          <w:sz w:val="22"/>
        </w:rPr>
      </w:pPr>
      <w:r>
        <w:rPr>
          <w:rFonts w:ascii="Times New Roman;Times;serif" w:hAnsi="Times New Roman;Times;serif"/>
          <w:sz w:val="22"/>
        </w:rPr>
        <w:t xml:space="preserve">(v)any Credit Party incurring any Indebtedness for borrowed money, or granting a Lien on its assets securing Indebtedness for borrowed money, on a senior basis (in right of payment or security) to the Obligations or the Liens securing the Obligations (other than Liens which are permitted to be incurred on a senior basis under the Loan Documents as in effect as of the Eleventh Amendment Effective Date), or </w:t>
      </w:r>
    </w:p>
    <w:p>
      <w:pPr>
        <w:pStyle w:val="TextBody"/>
        <w:bidi w:val="0"/>
        <w:spacing w:lineRule="auto" w:line="285"/>
        <w:ind w:left="720" w:right="0" w:hanging="0"/>
        <w:jc w:val="both"/>
        <w:rPr>
          <w:rFonts w:ascii="Times New Roman;Times;serif" w:hAnsi="Times New Roman;Times;serif"/>
          <w:sz w:val="22"/>
        </w:rPr>
      </w:pPr>
      <w:r>
        <w:rPr>
          <w:rFonts w:ascii="Times New Roman;Times;serif" w:hAnsi="Times New Roman;Times;serif"/>
          <w:sz w:val="22"/>
        </w:rPr>
        <w:t>(vi)incurring any Indebtedness for the primary purpose of, and that has the effect of, influencing the provision of, or in connection with, obtaining any modification, amendment, release or waiver under this Agreement.</w:t>
      </w:r>
    </w:p>
    <w:p>
      <w:pPr>
        <w:pStyle w:val="TextBody"/>
        <w:bidi w:val="0"/>
        <w:spacing w:lineRule="auto" w:line="285" w:before="0" w:after="240"/>
        <w:ind w:left="720" w:right="0" w:hanging="0"/>
        <w:jc w:val="both"/>
        <w:rPr>
          <w:rFonts w:ascii="Times New Roman;Times;serif" w:hAnsi="Times New Roman;Times;serif"/>
          <w:sz w:val="22"/>
        </w:rPr>
      </w:pPr>
      <w:r>
        <w:rPr>
          <w:rFonts w:ascii="Times New Roman;Times;serif" w:hAnsi="Times New Roman;Times;serif"/>
          <w:sz w:val="22"/>
        </w:rPr>
        <w:t>Notwithstanding the foregoing, “Liability Management Transaction” shall not include:</w:t>
      </w:r>
    </w:p>
    <w:p>
      <w:pPr>
        <w:pStyle w:val="TextBody"/>
        <w:bidi w:val="0"/>
        <w:spacing w:lineRule="auto" w:line="285" w:before="0" w:after="240"/>
        <w:ind w:left="720" w:right="0" w:firstLine="720"/>
        <w:jc w:val="both"/>
        <w:rPr>
          <w:rFonts w:ascii="Times New Roman;Times;serif" w:hAnsi="Times New Roman;Times;serif"/>
          <w:sz w:val="22"/>
        </w:rPr>
      </w:pPr>
      <w:r>
        <w:rPr>
          <w:rFonts w:ascii="Times New Roman;Times;serif" w:hAnsi="Times New Roman;Times;serif"/>
          <w:sz w:val="22"/>
        </w:rPr>
        <w:t>(A) any exercise of remedies by the Agent (acting at the direction of the Required Lenders) under the Loan Documents, including any foreclosure (whether by public sale, private sale, strict foreclosure under Article 9 of the UCC, or any other method permitted by applicable law), acceptance of Collateral in full or partial satisfaction of the Obligations, or any credit bid, and any transfers, releases of Guarantors, or dispositions of Collateral effected in connection therewith, or any restructuring, workout, or other transaction approved by the Required Lenders; or</w:t>
      </w:r>
    </w:p>
    <w:p>
      <w:pPr>
        <w:pStyle w:val="TextBody"/>
        <w:bidi w:val="0"/>
        <w:spacing w:lineRule="auto" w:line="285" w:before="0" w:after="240"/>
        <w:ind w:left="720" w:right="0" w:firstLine="1440"/>
        <w:jc w:val="both"/>
        <w:rPr>
          <w:rFonts w:ascii="Aptos" w:hAnsi="Aptos"/>
          <w:sz w:val="22"/>
        </w:rPr>
      </w:pPr>
      <w:r>
        <w:rPr>
          <w:rFonts w:ascii="Times New Roman;Times;serif" w:hAnsi="Times New Roman;Times;serif"/>
          <w:sz w:val="22"/>
        </w:rPr>
        <w:t xml:space="preserve">(B) any transaction that is expressly permitted by, and consummated in compliance with, the terms of any of Sections </w:t>
      </w:r>
      <w:r>
        <w:rPr>
          <w:rFonts w:ascii="Times New Roman;Times;serif" w:hAnsi="Times New Roman;Times;serif"/>
          <w:sz w:val="22"/>
          <w:u w:val="single"/>
        </w:rPr>
        <w:t>5.8</w:t>
      </w:r>
      <w:r>
        <w:rPr>
          <w:rFonts w:ascii="Times New Roman;Times;serif" w:hAnsi="Times New Roman;Times;serif"/>
          <w:sz w:val="22"/>
        </w:rPr>
        <w:t xml:space="preserve">, </w:t>
      </w:r>
      <w:r>
        <w:rPr>
          <w:rFonts w:ascii="Times New Roman;Times;serif" w:hAnsi="Times New Roman;Times;serif"/>
          <w:sz w:val="22"/>
          <w:u w:val="single"/>
        </w:rPr>
        <w:t>5.9</w:t>
      </w:r>
      <w:r>
        <w:rPr>
          <w:rFonts w:ascii="Times New Roman;Times;serif" w:hAnsi="Times New Roman;Times;serif"/>
          <w:sz w:val="22"/>
        </w:rPr>
        <w:t xml:space="preserve">, </w:t>
      </w:r>
      <w:r>
        <w:rPr>
          <w:rFonts w:ascii="Times New Roman;Times;serif" w:hAnsi="Times New Roman;Times;serif"/>
          <w:sz w:val="22"/>
          <w:u w:val="single"/>
        </w:rPr>
        <w:t>5.11</w:t>
      </w:r>
      <w:r>
        <w:rPr>
          <w:rFonts w:ascii="Times New Roman;Times;serif" w:hAnsi="Times New Roman;Times;serif"/>
          <w:sz w:val="22"/>
        </w:rPr>
        <w:t xml:space="preserve">, </w:t>
      </w:r>
      <w:r>
        <w:rPr>
          <w:rFonts w:ascii="Times New Roman;Times;serif" w:hAnsi="Times New Roman;Times;serif"/>
          <w:sz w:val="22"/>
          <w:u w:val="single"/>
        </w:rPr>
        <w:t>5.12</w:t>
      </w:r>
      <w:r>
        <w:rPr>
          <w:rFonts w:ascii="Times New Roman;Times;serif" w:hAnsi="Times New Roman;Times;serif"/>
          <w:sz w:val="22"/>
        </w:rPr>
        <w:t xml:space="preserve">, </w:t>
      </w:r>
      <w:r>
        <w:rPr>
          <w:rFonts w:ascii="Times New Roman;Times;serif" w:hAnsi="Times New Roman;Times;serif"/>
          <w:sz w:val="22"/>
          <w:u w:val="single"/>
        </w:rPr>
        <w:t>5.13</w:t>
      </w:r>
      <w:r>
        <w:rPr>
          <w:rFonts w:ascii="Aptos" w:hAnsi="Aptos"/>
          <w:sz w:val="22"/>
        </w:rPr>
        <w:t xml:space="preserve"> </w:t>
      </w:r>
      <w:r>
        <w:rPr>
          <w:rFonts w:ascii="Times New Roman;Times;serif" w:hAnsi="Times New Roman;Times;serif"/>
          <w:sz w:val="22"/>
        </w:rPr>
        <w:t xml:space="preserve">or </w:t>
      </w:r>
      <w:r>
        <w:rPr>
          <w:rFonts w:ascii="Times New Roman;Times;serif" w:hAnsi="Times New Roman;Times;serif"/>
          <w:sz w:val="22"/>
          <w:u w:val="single"/>
        </w:rPr>
        <w:t>5.15</w:t>
      </w:r>
      <w:r>
        <w:rPr>
          <w:rFonts w:ascii="Aptos" w:hAnsi="Aptos"/>
          <w:sz w:val="22"/>
        </w:rPr>
        <w:t xml:space="preserve"> </w:t>
      </w:r>
      <w:r>
        <w:rPr>
          <w:rFonts w:ascii="Times New Roman;Times;serif" w:hAnsi="Times New Roman;Times;serif"/>
          <w:sz w:val="22"/>
        </w:rPr>
        <w:t xml:space="preserve">of this Agreement (in each case, as in effect on the Eleventh Amendment Effective Date, as such covenants may be amended with the consent of the Required Lenders); </w:t>
      </w:r>
      <w:r>
        <w:rPr>
          <w:rFonts w:ascii="Times New Roman;Times;serif" w:hAnsi="Times New Roman;Times;serif"/>
          <w:i/>
          <w:sz w:val="22"/>
        </w:rPr>
        <w:t>provided</w:t>
      </w:r>
      <w:r>
        <w:rPr>
          <w:rFonts w:ascii="Aptos" w:hAnsi="Aptos"/>
          <w:sz w:val="22"/>
        </w:rPr>
        <w:t xml:space="preserve"> </w:t>
      </w:r>
      <w:r>
        <w:rPr>
          <w:rFonts w:ascii="Times New Roman;Times;serif" w:hAnsi="Times New Roman;Times;serif"/>
          <w:sz w:val="22"/>
        </w:rPr>
        <w:t xml:space="preserve">that such transaction is not undertaken with the primary purpose and effect of circumventing the restrictions of this </w:t>
      </w:r>
      <w:r>
        <w:rPr>
          <w:rFonts w:ascii="Times New Roman;Times;serif" w:hAnsi="Times New Roman;Times;serif"/>
          <w:sz w:val="22"/>
          <w:u w:val="single"/>
        </w:rPr>
        <w:t>Section 5.29</w:t>
      </w:r>
      <w:r>
        <w:rPr>
          <w:rFonts w:ascii="Times New Roman;Times;serif" w:hAnsi="Times New Roman;Times;serif"/>
          <w:sz w:val="22"/>
        </w:rPr>
        <w:t>; or</w:t>
      </w:r>
    </w:p>
    <w:p>
      <w:pPr>
        <w:pStyle w:val="TextBody"/>
        <w:bidi w:val="0"/>
        <w:spacing w:lineRule="auto" w:line="285" w:before="0" w:after="240"/>
        <w:ind w:left="720" w:right="0" w:firstLine="720"/>
        <w:jc w:val="both"/>
        <w:rPr>
          <w:rFonts w:ascii="Times New Roman;Times;serif" w:hAnsi="Times New Roman;Times;serif"/>
          <w:sz w:val="22"/>
        </w:rPr>
      </w:pPr>
      <w:r>
        <w:rPr>
          <w:rFonts w:ascii="Times New Roman;Times;serif" w:hAnsi="Times New Roman;Times;serif"/>
          <w:sz w:val="22"/>
        </w:rPr>
        <w:t>(C) any transaction or series of related transactions involving assets or Indebtedness with an aggregate value not exceeding $5,000,000 (or the equivalent in other currencies).</w:t>
      </w:r>
    </w:p>
    <w:p>
      <w:pPr>
        <w:pStyle w:val="TextBody"/>
        <w:bidi w:val="0"/>
        <w:spacing w:lineRule="auto" w:line="285"/>
        <w:ind w:left="0" w:right="0" w:hanging="0"/>
        <w:jc w:val="both"/>
        <w:rPr>
          <w:rFonts w:ascii="Aptos" w:hAnsi="Aptos"/>
          <w:sz w:val="24"/>
        </w:rPr>
      </w:pPr>
      <w:r>
        <w:rPr>
          <w:rFonts w:ascii="Times New Roman;Times;serif" w:hAnsi="Times New Roman;Times;serif"/>
          <w:sz w:val="22"/>
        </w:rPr>
        <w:t>Section 5.30</w:t>
      </w:r>
      <w:r>
        <w:rPr>
          <w:rFonts w:ascii="Times New Roman;Times;serif" w:hAnsi="Times New Roman;Times;serif"/>
          <w:sz w:val="22"/>
          <w:u w:val="single"/>
        </w:rPr>
        <w:t>Repatriation of Cash</w:t>
      </w:r>
      <w:r>
        <w:rPr>
          <w:rFonts w:ascii="Times New Roman;Times;serif" w:hAnsi="Times New Roman;Times;serif"/>
          <w:sz w:val="22"/>
        </w:rPr>
        <w:t xml:space="preserve">.  If, at the end of the last Business Day of any calendar month, commencing with the calendar month ending August 31, 2026, Subsidiaries that are not Domestic Loan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104</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ptos" w:hAnsi="Aptos"/>
          <w:sz w:val="24"/>
        </w:rPr>
      </w:pPr>
      <w:r>
        <w:rPr>
          <w:rFonts w:ascii="Times New Roman;Times;serif" w:hAnsi="Times New Roman;Times;serif"/>
          <w:sz w:val="22"/>
        </w:rPr>
        <w:t>Parties hold Unrestricted cash and Cash Equivalents in an aggregate amount in excess of $125,000,000 (the amount of such excess, if any, the “</w:t>
      </w:r>
      <w:r>
        <w:rPr>
          <w:rFonts w:ascii="Times New Roman;Times;serif" w:hAnsi="Times New Roman;Times;serif"/>
          <w:sz w:val="22"/>
          <w:u w:val="single"/>
        </w:rPr>
        <w:t>Non-Domestic Excess Cash</w:t>
      </w:r>
      <w:r>
        <w:rPr>
          <w:rFonts w:ascii="Aptos" w:hAnsi="Aptos"/>
          <w:sz w:val="24"/>
        </w:rPr>
        <w:t>”</w:t>
      </w:r>
      <w:r>
        <w:rPr>
          <w:rFonts w:ascii="Times New Roman;Times;serif" w:hAnsi="Times New Roman;Times;serif"/>
          <w:sz w:val="22"/>
        </w:rPr>
        <w:t xml:space="preserve">), the US Borrower shall  (or shall cause one or more of its Subsidiaries to), on or before the end of the fifteenth (15th) Business Day thereafter (or such later date as the Agent may agree to in writing in its sole discretion) (i),transfer, distribute, and/or repatriate such Non-Domestic Excess Cash to one or more Domestic Loan Parties (net of any applicable Taxes imposed in connection with such transfer, distribution, and/or repatriation) and (ii) cause an amount equal to the amount of such Non-Domestic Excess Cash to be applied as a prepayment of the Revolving Loans (without a permanent reduction of the Revolving Credit Commitment) in accordance with </w:t>
      </w:r>
      <w:r>
        <w:rPr>
          <w:rFonts w:ascii="Times New Roman;Times;serif" w:hAnsi="Times New Roman;Times;serif"/>
          <w:sz w:val="22"/>
          <w:u w:val="single"/>
        </w:rPr>
        <w:t>Section 2.11(g)</w:t>
      </w:r>
      <w:r>
        <w:rPr>
          <w:rFonts w:ascii="Times New Roman;Times;serif" w:hAnsi="Times New Roman;Times;serif"/>
          <w:sz w:val="22"/>
        </w:rPr>
        <w:t>.</w:t>
      </w:r>
    </w:p>
    <w:p>
      <w:pPr>
        <w:pStyle w:val="TextBody"/>
        <w:bidi w:val="0"/>
        <w:spacing w:lineRule="auto" w:line="285" w:before="0" w:after="240"/>
        <w:ind w:left="0" w:right="0" w:hanging="0"/>
        <w:jc w:val="center"/>
        <w:rPr>
          <w:rFonts w:ascii="Aptos" w:hAnsi="Aptos"/>
          <w:sz w:val="24"/>
        </w:rPr>
      </w:pPr>
      <w:r>
        <w:rPr>
          <w:rFonts w:ascii="Times New Roman;Times;serif" w:hAnsi="Times New Roman;Times;serif"/>
          <w:caps/>
          <w:sz w:val="22"/>
        </w:rPr>
        <w:t>ARTICLE VI.</w:t>
      </w:r>
      <w:r>
        <w:rPr>
          <w:rFonts w:ascii="Aptos" w:hAnsi="Aptos"/>
          <w:caps/>
          <w:sz w:val="24"/>
        </w:rPr>
        <w:t xml:space="preserve"> </w:t>
      </w:r>
      <w:bookmarkStart w:id="1920" w:name="_Toc236844352"/>
      <w:bookmarkStart w:id="1921" w:name="_Toc172896698"/>
      <w:bookmarkEnd w:id="1920"/>
      <w:bookmarkEnd w:id="1921"/>
      <w:r>
        <w:rPr>
          <w:rFonts w:ascii="Times New Roman;Times;serif" w:hAnsi="Times New Roman;Times;serif"/>
          <w:caps/>
          <w:sz w:val="22"/>
        </w:rPr>
        <w:t>REPRESENTATIONS AND WARRANTIES</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6.1</w:t>
      </w:r>
      <w:bookmarkStart w:id="1922" w:name="_Toc236844353"/>
      <w:bookmarkStart w:id="1923" w:name="_Toc172896699"/>
      <w:bookmarkEnd w:id="1922"/>
      <w:bookmarkEnd w:id="1923"/>
      <w:r>
        <w:rPr>
          <w:rFonts w:ascii="Times New Roman;Times;serif" w:hAnsi="Times New Roman;Times;serif"/>
          <w:sz w:val="22"/>
          <w:u w:val="single"/>
        </w:rPr>
        <w:t>Corporate Existence; Subsidiaries; Foreign Qualification</w:t>
      </w:r>
      <w:r>
        <w:rPr>
          <w:rFonts w:ascii="Times New Roman;Times;serif" w:hAnsi="Times New Roman;Times;serif"/>
          <w:sz w:val="22"/>
        </w:rPr>
        <w:t>.  Each Company is duly organized, validly existing and in good standing (or comparable concept in the applicable jurisdiction) under the laws of its state or jurisdiction of incorporation or organization, and is duly qualified and authorized to do business and is in good standing (or comparable concept in the applicable jurisdiction) as a foreign entity in any states or jurisdictions where the character of its property or its business activities makes such qualification necessary, except where a failure to so qualify would not reasonably be expected to have a Material Adverse Effect.  </w:t>
      </w:r>
      <w:r>
        <w:rPr>
          <w:rFonts w:ascii="Times New Roman;Times;serif" w:hAnsi="Times New Roman;Times;serif"/>
          <w:sz w:val="22"/>
          <w:u w:val="single"/>
        </w:rPr>
        <w:t>Schedule 6.1</w:t>
      </w:r>
      <w:r>
        <w:rPr>
          <w:rFonts w:ascii="Aptos" w:hAnsi="Aptos"/>
          <w:sz w:val="24"/>
        </w:rPr>
        <w:t xml:space="preserve"> </w:t>
      </w:r>
      <w:r>
        <w:rPr>
          <w:rFonts w:ascii="Times New Roman;Times;serif" w:hAnsi="Times New Roman;Times;serif"/>
          <w:sz w:val="22"/>
        </w:rPr>
        <w:t xml:space="preserve">hereto sets forth, as of the Sixth Amendment Effective Date, each Subsidiary of a Borrower (and whether such Subsidiary is a Dormant Subsidiary), its state (or jurisdiction) of formation, its relationship to a Borrower, including the percentage of each class of stock or other equity interest owned by a Company, the location of its chief executive office and its principal place of business.  Except as set forth on </w:t>
      </w:r>
      <w:r>
        <w:rPr>
          <w:rFonts w:ascii="Times New Roman;Times;serif" w:hAnsi="Times New Roman;Times;serif"/>
          <w:sz w:val="22"/>
          <w:u w:val="single"/>
        </w:rPr>
        <w:t>Schedule 6.1</w:t>
      </w:r>
      <w:r>
        <w:rPr>
          <w:rFonts w:ascii="Aptos" w:hAnsi="Aptos"/>
          <w:sz w:val="24"/>
        </w:rPr>
        <w:t xml:space="preserve"> </w:t>
      </w:r>
      <w:r>
        <w:rPr>
          <w:rFonts w:ascii="Times New Roman;Times;serif" w:hAnsi="Times New Roman;Times;serif"/>
          <w:sz w:val="22"/>
        </w:rPr>
        <w:t>hereto, as of the Sixth Amendment Effective Date, each Borrower, directly or indirectly, owns all of the equity interests of each of its Subsidiaries (excluding directors’ qualifying shares and, in the case of Foreign Subsidiaries, other nominal amounts of shares held by a Person other than a Company).  No Credit Party nor any Subsidiary is an Affected Financial Institution.</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6.2</w:t>
      </w:r>
      <w:bookmarkStart w:id="1924" w:name="_Toc236844354"/>
      <w:bookmarkStart w:id="1925" w:name="_Toc172896700"/>
      <w:bookmarkEnd w:id="1924"/>
      <w:bookmarkEnd w:id="1925"/>
      <w:r>
        <w:rPr>
          <w:rFonts w:ascii="Times New Roman;Times;serif" w:hAnsi="Times New Roman;Times;serif"/>
          <w:sz w:val="22"/>
          <w:u w:val="single"/>
        </w:rPr>
        <w:t>Corporate Authority</w:t>
      </w:r>
      <w:r>
        <w:rPr>
          <w:rFonts w:ascii="Times New Roman;Times;serif" w:hAnsi="Times New Roman;Times;serif"/>
          <w:sz w:val="22"/>
        </w:rPr>
        <w:t xml:space="preserve">.  Each Credit Party has the right and power and is duly authorized and empowered to enter into, execute and deliver the Loan Documents to which it is a party and to perform and observe the provisions of the Loan Documents.  The Loan Documents to which each Credit Party is a party have been duly authorized and approved by such Credit Party’s board of directors or other governing body, as applicable, and are the valid and binding obligations of such Credit Party, enforceable against such Credit Party in accordance with their respective terms, subject to applicable bankruptcy, insolvency, reorganization, moratorium or other laws affecting creditors’ rights generally and subject to general principles of equity, regardless of whether considered in a proceeding in equity or at law.  The execution, delivery and performance of the Loan Documents do not conflict with, result in a breach in any of the provisions of, constitute a default under, or result in the creation of a Lien (other than Liens permitted under </w:t>
      </w:r>
      <w:r>
        <w:rPr>
          <w:rFonts w:ascii="Times New Roman;Times;serif" w:hAnsi="Times New Roman;Times;serif"/>
          <w:sz w:val="22"/>
          <w:u w:val="single"/>
        </w:rPr>
        <w:t>Section 5.9</w:t>
      </w:r>
      <w:r>
        <w:rPr>
          <w:rFonts w:ascii="Aptos" w:hAnsi="Aptos"/>
          <w:sz w:val="24"/>
        </w:rPr>
        <w:t xml:space="preserve"> </w:t>
      </w:r>
      <w:r>
        <w:rPr>
          <w:rFonts w:ascii="Times New Roman;Times;serif" w:hAnsi="Times New Roman;Times;serif"/>
          <w:sz w:val="22"/>
        </w:rPr>
        <w:t>hereof) upon any assets or property of any Company under the provisions of, such Company’s Organizational Documents or any material agreement to which such Company is a party.</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6.3</w:t>
      </w:r>
      <w:bookmarkStart w:id="1926" w:name="_Toc236844355"/>
      <w:bookmarkStart w:id="1927" w:name="_Toc172896701"/>
      <w:bookmarkEnd w:id="1926"/>
      <w:bookmarkEnd w:id="1927"/>
      <w:r>
        <w:rPr>
          <w:rFonts w:ascii="Times New Roman;Times;serif" w:hAnsi="Times New Roman;Times;serif"/>
          <w:sz w:val="22"/>
          <w:u w:val="single"/>
        </w:rPr>
        <w:t>Compliance with Laws and Contracts</w:t>
      </w:r>
      <w:r>
        <w:rPr>
          <w:rFonts w:ascii="Times New Roman;Times;serif" w:hAnsi="Times New Roman;Times;serif"/>
          <w:sz w:val="22"/>
        </w:rPr>
        <w:t>.</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(a)Each Company holds permits, certificates, licenses, orders, registrations, franchises, authorizations, and other approvals from any Governmental Authority reasonably necessary for the conduct of its business and is in compliance with all applicable laws relating thereto, except where the failure to do so would not have a Material Adverse Effect.</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(b)Each Company is in compliance with all federal, state, local, or foreign applicable statutes, rules, regulations, and orders including, without limitation, those relating to environmental protection, occupational safety and health, and equal employment practices, except where the failure to be in compliance would not have a Material Adverse Effect.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105</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(c)No Company is in violation of or in default under any agreement to which it is a party or by which its assets are subject or bound, except with respect to any violation or default that could not reasonably be expected to result in a Material Adverse Effect.</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(d)None of the Companies or their respective Subsidiaries, any of their respective directors, officers, or to the knowledge of the Companies, any of their respective employees or affiliates, or to the knowledge of US Borrower, any agent or representative of the Companies that will act in any capacity in connection with or benefit from the Loans or Letters of Credit, (i) is a Sanctioned Person or currently the subject or target of any Sanctions, (ii) has its assets located in a Sanctioned Country in violation of any Sanctions applicable to any party to this Agreement, (iii) directly or indirectly derives revenues from investments in, or transactions with, Sanctioned Persons in violation of any Sanctions applicable to any party to this Agreement, (iv) has taken any action, directly or indirectly, that would result in a violation by such Persons of any Anti-Corruption Laws or Anti-Money Laundering Laws or (v) has violated the Patriot Act, except with respect to this clause (v) where such violation could not reasonably be expected to result in a Material Adverse Effect.  Each of the Companies, and to the knowledge of the Companies, each director, officer, employee, agent and Affiliate of the Companies, is in compliance with all Sanctions.</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(e)No proceeds of any Loans or Letters of Credit have been used, directly or indirectly, by the Borrowers, any of their respective Subsidiaries or any of its or their respective directors, officers, employees and agents (i) in violation of any Anti-Corruption Laws or any Anti-Money Laundering Laws, (ii) for the purpose of funding, financing or facilitating any activities, business or transaction of or with any Sanctioned Person, or in any Sanctioned Country, including any payments (directly or knowingly, indirectly) to a Sanctioned Person or a Sanctioned Country or (iii) in any manner that would result in the violation of any Sanctions applicable to any party hereto.</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(f)Each of the Companies has implemented and maintains in effect policies and procedures designed to ensure compliance by the Companies and their respective directors, officers, employees, and agents with the Anti-Corruption Laws, Anti-Money Laundering Laws and applicable Sanctions.  Each of the Companies, and to the knowledge of the Companies, each director, officer, employee, agent and Affiliate of the Companies, is in compliance with the Anti-Corruption Laws and Anti-Money Laundering Laws, except where such non-compliance could not reasonably be expected to result in a Material Adverse Effect.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6.4</w:t>
      </w:r>
      <w:bookmarkStart w:id="1928" w:name="_Toc236844356"/>
      <w:bookmarkStart w:id="1929" w:name="_Toc172896702"/>
      <w:bookmarkEnd w:id="1928"/>
      <w:bookmarkEnd w:id="1929"/>
      <w:r>
        <w:rPr>
          <w:rFonts w:ascii="Times New Roman;Times;serif" w:hAnsi="Times New Roman;Times;serif"/>
          <w:sz w:val="22"/>
          <w:u w:val="single"/>
        </w:rPr>
        <w:t>Litigation and Administrative Proceedings</w:t>
      </w:r>
      <w:r>
        <w:rPr>
          <w:rFonts w:ascii="Times New Roman;Times;serif" w:hAnsi="Times New Roman;Times;serif"/>
          <w:sz w:val="22"/>
        </w:rPr>
        <w:t xml:space="preserve">.  Except as disclosed on </w:t>
      </w:r>
      <w:r>
        <w:rPr>
          <w:rFonts w:ascii="Times New Roman;Times;serif" w:hAnsi="Times New Roman;Times;serif"/>
          <w:sz w:val="22"/>
          <w:u w:val="single"/>
        </w:rPr>
        <w:t>Schedule 6.4</w:t>
      </w:r>
      <w:r>
        <w:rPr>
          <w:rFonts w:ascii="Aptos" w:hAnsi="Aptos"/>
          <w:sz w:val="24"/>
        </w:rPr>
        <w:t xml:space="preserve"> </w:t>
      </w:r>
      <w:r>
        <w:rPr>
          <w:rFonts w:ascii="Times New Roman;Times;serif" w:hAnsi="Times New Roman;Times;serif"/>
          <w:sz w:val="22"/>
        </w:rPr>
        <w:t>hereto, there are (a) no lawsuits, actions, investigations, examinations or other proceedings pending or threatened against any Company, or in respect of which any Company may have any liability, in any court or before or by any Governmental Authority, arbitration board, or other tribunal, (b) no orders, writs, injunctions, judgments, or decrees of any court or Governmental Authority to which any Company is a party or by which the property or assets of any Company are bound, and (c) no grievances, disputes, or controversies outstanding with any union or other organization of the employees of any Company, or threats of work stoppage, strike, or pending demands for collective bargaining, in each case other than those that could not reasonably be expected to result in a Material Adverse Effect.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6.5</w:t>
      </w:r>
      <w:bookmarkStart w:id="1930" w:name="_Toc236844357"/>
      <w:bookmarkStart w:id="1931" w:name="_Toc172896703"/>
      <w:bookmarkEnd w:id="1930"/>
      <w:bookmarkEnd w:id="1931"/>
      <w:r>
        <w:rPr>
          <w:rFonts w:ascii="Times New Roman;Times;serif" w:hAnsi="Times New Roman;Times;serif"/>
          <w:sz w:val="22"/>
          <w:u w:val="single"/>
        </w:rPr>
        <w:t>Title to Assets</w:t>
      </w:r>
      <w:r>
        <w:rPr>
          <w:rFonts w:ascii="Times New Roman;Times;serif" w:hAnsi="Times New Roman;Times;serif"/>
          <w:sz w:val="22"/>
        </w:rPr>
        <w:t xml:space="preserve">.  Each Company has good title to and ownership of all property it purports to own as is necessary to the conduct of its business, which property is free and clear of all Liens, except those permitted under </w:t>
      </w:r>
      <w:r>
        <w:rPr>
          <w:rFonts w:ascii="Times New Roman;Times;serif" w:hAnsi="Times New Roman;Times;serif"/>
          <w:sz w:val="22"/>
          <w:u w:val="single"/>
        </w:rPr>
        <w:t>Section 5.9</w:t>
      </w:r>
      <w:r>
        <w:rPr>
          <w:rFonts w:ascii="Aptos" w:hAnsi="Aptos"/>
          <w:sz w:val="24"/>
        </w:rPr>
        <w:t xml:space="preserve"> </w:t>
      </w:r>
      <w:r>
        <w:rPr>
          <w:rFonts w:ascii="Times New Roman;Times;serif" w:hAnsi="Times New Roman;Times;serif"/>
          <w:sz w:val="22"/>
        </w:rPr>
        <w:t>hereof.</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6.6</w:t>
      </w:r>
      <w:bookmarkStart w:id="1932" w:name="_Toc236844358"/>
      <w:bookmarkStart w:id="1933" w:name="_Toc172896704"/>
      <w:bookmarkEnd w:id="1932"/>
      <w:bookmarkEnd w:id="1933"/>
      <w:r>
        <w:rPr>
          <w:rFonts w:ascii="Times New Roman;Times;serif" w:hAnsi="Times New Roman;Times;serif"/>
          <w:sz w:val="22"/>
          <w:u w:val="single"/>
        </w:rPr>
        <w:t>Liens and Security Interests</w:t>
      </w:r>
      <w:r>
        <w:rPr>
          <w:rFonts w:ascii="Times New Roman;Times;serif" w:hAnsi="Times New Roman;Times;serif"/>
          <w:sz w:val="22"/>
        </w:rPr>
        <w:t xml:space="preserve">.  On and after the Closing Date, except for Liens permitted pursuant to </w:t>
      </w:r>
      <w:r>
        <w:rPr>
          <w:rFonts w:ascii="Times New Roman;Times;serif" w:hAnsi="Times New Roman;Times;serif"/>
          <w:sz w:val="22"/>
          <w:u w:val="single"/>
        </w:rPr>
        <w:t>Section 5.9</w:t>
      </w:r>
      <w:r>
        <w:rPr>
          <w:rFonts w:ascii="Aptos" w:hAnsi="Aptos"/>
          <w:sz w:val="24"/>
        </w:rPr>
        <w:t xml:space="preserve"> </w:t>
      </w:r>
      <w:r>
        <w:rPr>
          <w:rFonts w:ascii="Times New Roman;Times;serif" w:hAnsi="Times New Roman;Times;serif"/>
          <w:sz w:val="22"/>
        </w:rPr>
        <w:t xml:space="preserve">hereof, (a) there is and will be no U.C.C. Financing Statement or similar notice of Lien outstanding covering any personal property of any Company; (b) there is and will be no mortgage outstanding covering any real property of any Company; and (c) no real or personal property of any Company is subject to any Lien of any kind.  Agent, for the benefit of the Secured Parties, upon the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106</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filing of the U.C.C. Financing Statements and taking such other actions necessary to perfect its Lien against Collateral of the corresponding type as authorized hereunder will have a valid and enforceable first consensual Lien on the Collateral.</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6.7</w:t>
      </w:r>
      <w:bookmarkStart w:id="1934" w:name="_Toc236844359"/>
      <w:bookmarkStart w:id="1935" w:name="_Toc172896705"/>
      <w:bookmarkEnd w:id="1934"/>
      <w:bookmarkEnd w:id="1935"/>
      <w:r>
        <w:rPr>
          <w:rFonts w:ascii="Times New Roman;Times;serif" w:hAnsi="Times New Roman;Times;serif"/>
          <w:sz w:val="22"/>
          <w:u w:val="single"/>
        </w:rPr>
        <w:t>Tax Returns</w:t>
      </w:r>
      <w:r>
        <w:rPr>
          <w:rFonts w:ascii="Times New Roman;Times;serif" w:hAnsi="Times New Roman;Times;serif"/>
          <w:sz w:val="22"/>
        </w:rPr>
        <w:t>.  All federal, state, provincial and all material local tax returns and other reports required by law to be filed in respect of the income, business, properties and employees of each Company have been filed and all taxes, assessments, fees and other governmental charges that are due and payable have been paid, except as otherwise permitted herein and with respect to foreign tax returns, except as may be filed beyond the due date without material penalties and except to the extent that the failure to pay such amounts could not reasonably be expected to result in a Material Adverse Effect.  The provision for taxes on the books of each Company is adequate for all years not closed by applicable statutes and for the current fiscal year.</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6.8</w:t>
      </w:r>
      <w:bookmarkStart w:id="1936" w:name="_Toc236844360"/>
      <w:bookmarkStart w:id="1937" w:name="_Toc172896706"/>
      <w:bookmarkEnd w:id="1936"/>
      <w:bookmarkEnd w:id="1937"/>
      <w:r>
        <w:rPr>
          <w:rFonts w:ascii="Times New Roman;Times;serif" w:hAnsi="Times New Roman;Times;serif"/>
          <w:sz w:val="22"/>
          <w:u w:val="single"/>
        </w:rPr>
        <w:t>Environmental Laws</w:t>
      </w:r>
      <w:r>
        <w:rPr>
          <w:rFonts w:ascii="Times New Roman;Times;serif" w:hAnsi="Times New Roman;Times;serif"/>
          <w:sz w:val="22"/>
        </w:rPr>
        <w:t xml:space="preserve">.  Each Company is in compliance with all Environmental Laws, including, without limitation, all Environmental Laws in all jurisdictions in which any Company owns or operates, or has owned or operated, a facility or site, arranges or has arranged for disposal or treatment of hazardous substances, solid waste or other wastes, accepts or has accepted for transport any hazardous substances, solid waste or other wastes or holds or has held any interest in real property or otherwise, expect where the failure to be in compliance could reasonably be expected to have a Material Adverse Effect.  No litigation or proceeding arising under, relating to or in connection with any Environmental Law or Environmental Permit is pending or, to the best knowledge of each Company, threatened, against any Company, any real property in which any Company holds or has held an interest or any past or present operation of any Company that could reasonably be expected to have a Material Adverse Effect.  No release, threatened release or disposal of hazardous waste, solid waste or other wastes is occurring, or has occurred (other than those that are currently being remediated in accordance with Environmental Laws), on, under or to any real property in which any Company holds any interest or performs any of its operations, in violation of any Environmental Law that could reasonably be expected to have a Material Adverse Effect.  As used in this </w:t>
      </w:r>
      <w:r>
        <w:rPr>
          <w:rFonts w:ascii="Times New Roman;Times;serif" w:hAnsi="Times New Roman;Times;serif"/>
          <w:sz w:val="22"/>
          <w:u w:val="single"/>
        </w:rPr>
        <w:t>Section 6.8</w:t>
      </w:r>
      <w:r>
        <w:rPr>
          <w:rFonts w:ascii="Times New Roman;Times;serif" w:hAnsi="Times New Roman;Times;serif"/>
          <w:sz w:val="22"/>
        </w:rPr>
        <w:t>, “</w:t>
      </w:r>
      <w:r>
        <w:rPr>
          <w:rFonts w:ascii="Times New Roman;Times;serif" w:hAnsi="Times New Roman;Times;serif"/>
          <w:sz w:val="22"/>
          <w:u w:val="single"/>
        </w:rPr>
        <w:t>litigation or proceeding</w:t>
      </w:r>
      <w:r>
        <w:rPr>
          <w:rFonts w:ascii="Aptos" w:hAnsi="Aptos"/>
          <w:sz w:val="24"/>
        </w:rPr>
        <w:t xml:space="preserve">” </w:t>
      </w:r>
      <w:r>
        <w:rPr>
          <w:rFonts w:ascii="Times New Roman;Times;serif" w:hAnsi="Times New Roman;Times;serif"/>
          <w:sz w:val="22"/>
        </w:rPr>
        <w:t>means any demand, claim, notice, suit, suit in equity, action, administrative action, investigation or inquiry whether brought by any Governmental Authority or private Person, or otherwise.</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6.9</w:t>
      </w:r>
      <w:bookmarkStart w:id="1938" w:name="_Toc236844361"/>
      <w:bookmarkStart w:id="1939" w:name="_Toc172896707"/>
      <w:bookmarkEnd w:id="1938"/>
      <w:bookmarkEnd w:id="1939"/>
      <w:r>
        <w:rPr>
          <w:rFonts w:ascii="Times New Roman;Times;serif" w:hAnsi="Times New Roman;Times;serif"/>
          <w:sz w:val="22"/>
          <w:u w:val="single"/>
        </w:rPr>
        <w:t>Locations</w:t>
      </w:r>
      <w:r>
        <w:rPr>
          <w:rFonts w:ascii="Times New Roman;Times;serif" w:hAnsi="Times New Roman;Times;serif"/>
          <w:sz w:val="22"/>
        </w:rPr>
        <w:t xml:space="preserve">.  As of the Sixth Amendment Effective Date, </w:t>
      </w:r>
      <w:r>
        <w:rPr>
          <w:rFonts w:ascii="Times New Roman;Times;serif" w:hAnsi="Times New Roman;Times;serif"/>
          <w:sz w:val="22"/>
          <w:u w:val="single"/>
        </w:rPr>
        <w:t>Schedule 6.9</w:t>
      </w:r>
      <w:r>
        <w:rPr>
          <w:rFonts w:ascii="Aptos" w:hAnsi="Aptos"/>
          <w:sz w:val="24"/>
        </w:rPr>
        <w:t xml:space="preserve"> </w:t>
      </w:r>
      <w:r>
        <w:rPr>
          <w:rFonts w:ascii="Times New Roman;Times;serif" w:hAnsi="Times New Roman;Times;serif"/>
          <w:sz w:val="22"/>
        </w:rPr>
        <w:t>hereto, sets forth (a) the locations the Companies have places of business or maintain their accounts receivable, (b) the location of each Company’s chief executive office and (c) each location owned by the Companies.</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6.10</w:t>
      </w:r>
      <w:bookmarkStart w:id="1940" w:name="_Toc236844362"/>
      <w:bookmarkStart w:id="1941" w:name="_Toc172896708"/>
      <w:bookmarkEnd w:id="1940"/>
      <w:bookmarkEnd w:id="1941"/>
      <w:r>
        <w:rPr>
          <w:rFonts w:ascii="Times New Roman;Times;serif" w:hAnsi="Times New Roman;Times;serif"/>
          <w:sz w:val="22"/>
          <w:u w:val="single"/>
        </w:rPr>
        <w:t>Continued Business</w:t>
      </w:r>
      <w:r>
        <w:rPr>
          <w:rFonts w:ascii="Times New Roman;Times;serif" w:hAnsi="Times New Roman;Times;serif"/>
          <w:sz w:val="22"/>
        </w:rPr>
        <w:t>.  Except as described in US Borrower’s 10-K, 10-Q or other public filings with the SEC, there exists no actual, pending, or, to each Borrower’s knowledge, any threatened termination, cancellation or limitation of, or any modification or change in the business relationship of any Company and any customer or supplier, or any group of customers or suppliers, which termination, cancellation or limitation would have a Material Adverse Effect, and there exists no present condition or state of facts or circumstances that would have a Material Adverse Effect or prevent a Company from conducting such business or the transactions contemplated by this Agreement in substantially the same manner in which it was previously conducted.</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6.11</w:t>
      </w:r>
      <w:bookmarkStart w:id="1942" w:name="_Toc236844363"/>
      <w:bookmarkStart w:id="1943" w:name="_Toc172896709"/>
      <w:bookmarkEnd w:id="1942"/>
      <w:bookmarkEnd w:id="1943"/>
      <w:r>
        <w:rPr>
          <w:rFonts w:ascii="Times New Roman;Times;serif" w:hAnsi="Times New Roman;Times;serif"/>
          <w:sz w:val="22"/>
          <w:u w:val="single"/>
        </w:rPr>
        <w:t>Employee Benefits Plans</w:t>
      </w:r>
      <w:r>
        <w:rPr>
          <w:rFonts w:ascii="Times New Roman;Times;serif" w:hAnsi="Times New Roman;Times;serif"/>
          <w:sz w:val="22"/>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(a)</w:t>
      </w:r>
      <w:r>
        <w:rPr>
          <w:rFonts w:ascii="Times New Roman;Times;serif" w:hAnsi="Times New Roman;Times;serif"/>
          <w:sz w:val="22"/>
          <w:u w:val="single"/>
        </w:rPr>
        <w:t>US Employee Benefit Plans</w:t>
      </w:r>
      <w:r>
        <w:rPr>
          <w:rFonts w:ascii="Times New Roman;Times;serif" w:hAnsi="Times New Roman;Times;serif"/>
          <w:sz w:val="22"/>
        </w:rPr>
        <w:t>.  </w:t>
      </w:r>
      <w:r>
        <w:rPr>
          <w:rFonts w:ascii="Times New Roman;Times;serif" w:hAnsi="Times New Roman;Times;serif"/>
          <w:sz w:val="22"/>
          <w:u w:val="single"/>
        </w:rPr>
        <w:t>Schedule 6.11</w:t>
      </w:r>
      <w:r>
        <w:rPr>
          <w:rFonts w:ascii="Aptos" w:hAnsi="Aptos"/>
          <w:sz w:val="24"/>
        </w:rPr>
        <w:t xml:space="preserve"> </w:t>
      </w:r>
      <w:r>
        <w:rPr>
          <w:rFonts w:ascii="Times New Roman;Times;serif" w:hAnsi="Times New Roman;Times;serif"/>
          <w:sz w:val="22"/>
        </w:rPr>
        <w:t xml:space="preserve">hereto identifies each ERISA Plan as of the Sixth Amendment Effective Date.  No ERISA Event that could reasonably be expected to result in a Material Adverse Effect has occurred or is reasonably expected to occur with respect to an ERISA Plan.  No Controlled Group member has failed to make a required installment or other required payment under Section 412(a) of the Code on or before the due date or within a reasonable time after such due date that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107</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could reasonably be expected to result in a Material Adverse Effect.  No Controlled Group member has failed to make contributions to an ERISA Plan that is a Multiemployer Plan in accordance with the applicable governing documents which is reasonably likely to result in a Material Adverse Effect.  No Multiemployer Plan has any accumulated funding deficiency (as defined in Sections 412(a) and 431(a) of the Code) that could reasonably be expected to result in a Material Adverse Effect.  Except as could not reasonably be expected to result in a Material Adverse Effect, with respect to each ERISA Plan (other than a Multiemployer Plan) that is intended to be qualified under Code Section 401(a), (i) the ERISA Plan and any associated trust operationally comply (or as soon as reasonably practicable are corrected to comply) with the applicable requirements of Code Section 401(a); (ii) the ERISA Plan and any associated trust have been amended to comply with all such requirements as currently in effect, other than those requirements for which a retroactive amendment can be made within the “remedial amendment period” available under Code Section 401(b) (as extended under Treasury Regulations and other Treasury pronouncements upon which taxpayers may rely); (iii) each ERISA Plan and any associated trust have received a favorable determination letter from the Internal Revenue Service stating that the ERISA Plan qualifies under Code Section 401(a), that the associated trust qualifies under Code Section 501(a) and, if applicable, that any cash or deferred arrangement under the ERISA Plan qualifies under Code Section 401(k), unless the ERISA Plan was first adopted at a time for which the above-described “remedial amendment period” has not yet expired; (iv) the ERISA Plan currently satisfies the requirements of Code Section 410(b), subject to any retroactive amendment that may be made within the above-described “remedial amendment period”; and (v) no contribution made to the ERISA Plan is subject to an excise tax under Code Section 4972.  With respect to any Pension Plan, the “accumulated benefit obligation” of Controlled Group members with respect to the Pension Plan (as determined in accordance with Statement of Accounting Standards No. 87, “Employers’ Accounting for Pensions”) does not exceed the fair market value of Pension Plan assets by an amount that would have a Material Adverse Effect.  No Borrower is or will be using “plan assets” (within the meaning of 29 CFR § 2510.3-101, as modified by Section 3(42) of ERISA) of one or more Benefit Plans in connection with the Loans, the Letters of Credit or the Commitments.</w:t>
      </w:r>
    </w:p>
    <w:p>
      <w:pPr>
        <w:pStyle w:val="TextBody"/>
        <w:bidi w:val="0"/>
        <w:spacing w:lineRule="auto" w:line="285" w:before="0" w:after="0"/>
        <w:ind w:left="0" w:right="0" w:hanging="0"/>
        <w:jc w:val="both"/>
        <w:rPr>
          <w:rFonts w:ascii="Aptos" w:hAnsi="Aptos"/>
          <w:sz w:val="24"/>
        </w:rPr>
      </w:pPr>
      <w:r>
        <w:rPr>
          <w:rFonts w:ascii="Times New Roman;Times;serif" w:hAnsi="Times New Roman;Times;serif"/>
          <w:sz w:val="22"/>
        </w:rPr>
        <w:t>(b)</w:t>
      </w:r>
      <w:r>
        <w:rPr>
          <w:rFonts w:ascii="Times New Roman;Times;serif" w:hAnsi="Times New Roman;Times;serif"/>
          <w:sz w:val="22"/>
          <w:u w:val="single"/>
        </w:rPr>
        <w:t>Foreign Pension Plan and Benefit Plans</w:t>
      </w:r>
      <w:r>
        <w:rPr>
          <w:rFonts w:ascii="Times New Roman;Times;serif" w:hAnsi="Times New Roman;Times;serif"/>
          <w:sz w:val="22"/>
        </w:rPr>
        <w:t xml:space="preserve">.  As of the Sixth Amendment Effective Date, </w:t>
      </w:r>
      <w:r>
        <w:rPr>
          <w:rFonts w:ascii="Times New Roman;Times;serif" w:hAnsi="Times New Roman;Times;serif"/>
          <w:sz w:val="22"/>
          <w:u w:val="single"/>
        </w:rPr>
        <w:t>Schedule 6.11</w:t>
      </w:r>
      <w:r>
        <w:rPr>
          <w:rFonts w:ascii="Aptos" w:hAnsi="Aptos"/>
          <w:sz w:val="24"/>
        </w:rPr>
        <w:t xml:space="preserve"> </w:t>
      </w:r>
      <w:r>
        <w:rPr>
          <w:rFonts w:ascii="Times New Roman;Times;serif" w:hAnsi="Times New Roman;Times;serif"/>
          <w:sz w:val="22"/>
        </w:rPr>
        <w:t>hereto lists all Foreign Benefit Plans and Foreign Pension Plans currently maintained or contributed to by US Borrower and any appropriate Foreign Subsidiaries.  The Foreign Pension Plans are duly registered under all applicable laws which require registration, except as could not reasonably be expected to result in a Material Adverse Effect.  US Borrower and any appropriate Foreign Subsidiaries have complied with and performed all of its obligations under and in respect of the Foreign Pension Plans and Foreign Benefit Plans under the terms thereof, any funding agreements and all applicable laws (including any fiduciary, funding, investment and administration obligations) except to the extent as would not reasonably be expected to have a Material Adverse Effect.  All employer and employee payments, contributions or premiums to be remitted, paid to or in respect of each Foreign Pension Plan or Foreign Benefit Plan have been paid in a timely fashion in accordance with the terms thereof, any funding agreement and all applicable laws except to the extent the failure to do so would not reasonably be expected to have a Material Adverse Effect.  There are no outstanding actions or suits concerning the assets of the Foreign Pension Plans or the Foreign Benefit Plans that could reasonably be expected to result in a Material Adverse Effect.  Each of the Foreign Pension Plans is fully funded on an ongoing basis as required by all laws applicable to such Foreign Pension Plans (using actuarial methods and assumptions as of the date of the valuations last filed with the applicable Governmental Authorities and that are consistent with generally accepted actuarial principles).</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6.12</w:t>
      </w:r>
      <w:bookmarkStart w:id="1944" w:name="_Toc236844364"/>
      <w:bookmarkStart w:id="1945" w:name="_Toc172896710"/>
      <w:bookmarkEnd w:id="1944"/>
      <w:bookmarkEnd w:id="1945"/>
      <w:r>
        <w:rPr>
          <w:rFonts w:ascii="Times New Roman;Times;serif" w:hAnsi="Times New Roman;Times;serif"/>
          <w:sz w:val="22"/>
          <w:u w:val="single"/>
        </w:rPr>
        <w:t>Consents or Approvals</w:t>
      </w:r>
      <w:r>
        <w:rPr>
          <w:rFonts w:ascii="Times New Roman;Times;serif" w:hAnsi="Times New Roman;Times;serif"/>
          <w:sz w:val="22"/>
        </w:rPr>
        <w:t>.  No consent, approval or authorization of, or filing, registration or qualification with, any Governmental Authority or any other Person is required to be obtained or completed by any Company in connection with the execution, delivery or performance of any of the Loan Documents that has not already been obtained or completed.</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108</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6.13</w:t>
      </w:r>
      <w:bookmarkStart w:id="1946" w:name="_Toc236844365"/>
      <w:bookmarkStart w:id="1947" w:name="_Toc172896711"/>
      <w:bookmarkEnd w:id="1946"/>
      <w:bookmarkEnd w:id="1947"/>
      <w:r>
        <w:rPr>
          <w:rFonts w:ascii="Times New Roman;Times;serif" w:hAnsi="Times New Roman;Times;serif"/>
          <w:sz w:val="22"/>
          <w:u w:val="single"/>
        </w:rPr>
        <w:t>Solvency</w:t>
      </w:r>
      <w:r>
        <w:rPr>
          <w:rFonts w:ascii="Times New Roman;Times;serif" w:hAnsi="Times New Roman;Times;serif"/>
          <w:sz w:val="22"/>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(a)</w:t>
      </w:r>
      <w:r>
        <w:rPr>
          <w:rFonts w:ascii="Times New Roman;Times;serif" w:hAnsi="Times New Roman;Times;serif"/>
          <w:sz w:val="22"/>
          <w:u w:val="single"/>
        </w:rPr>
        <w:t>US Borrower</w:t>
      </w:r>
      <w:r>
        <w:rPr>
          <w:rFonts w:ascii="Times New Roman;Times;serif" w:hAnsi="Times New Roman;Times;serif"/>
          <w:sz w:val="22"/>
        </w:rPr>
        <w:t>.  US Borrower has received consideration that is the reasonably equivalent value of the obligations and liabilities that US Borrower has incurred to Agent and the Lenders.  US Borrower is not insolvent as defined in any applicable state, federal or relevant foreign statute, nor will US Borrower be rendered insolvent by the execution and delivery of the Loan Documents to Agent and the Lenders.  US Borrower is not engaged or about to engage in any business or transaction for which the assets retained by it are or will be an unreasonably small amount of capital, taking into consideration the obligations to Agent and the Lenders incurred hereunder.  US Borrower does not intend to, nor does it believe that it will, incur debts beyond its ability to pay such debts as they mature.</w:t>
      </w:r>
    </w:p>
    <w:p>
      <w:pPr>
        <w:pStyle w:val="TextBody"/>
        <w:bidi w:val="0"/>
        <w:spacing w:lineRule="auto" w:line="285" w:before="0" w:after="0"/>
        <w:ind w:left="0" w:right="0" w:hanging="0"/>
        <w:jc w:val="both"/>
        <w:rPr>
          <w:rFonts w:ascii="Aptos" w:hAnsi="Aptos"/>
          <w:sz w:val="24"/>
        </w:rPr>
      </w:pPr>
      <w:r>
        <w:rPr>
          <w:rFonts w:ascii="Times New Roman;Times;serif" w:hAnsi="Times New Roman;Times;serif"/>
          <w:sz w:val="22"/>
        </w:rPr>
        <w:t>(b)</w:t>
      </w:r>
      <w:r>
        <w:rPr>
          <w:rFonts w:ascii="Times New Roman;Times;serif" w:hAnsi="Times New Roman;Times;serif"/>
          <w:sz w:val="22"/>
          <w:u w:val="single"/>
        </w:rPr>
        <w:t>Foreign Borrowers</w:t>
      </w:r>
      <w:r>
        <w:rPr>
          <w:rFonts w:ascii="Times New Roman;Times;serif" w:hAnsi="Times New Roman;Times;serif"/>
          <w:sz w:val="22"/>
        </w:rPr>
        <w:t>.  Each Foreign Borrower has received consideration that is the reasonable equivalent value of the obligations and liabilities that such Foreign Borrower has incurred to Agent and the Lenders.  The property of each Foreign Borrower is (i) sufficient, if disposed of at a fairly conducted sale under legal process, to enable payment of all its obligations due and accruing due, and (ii) at a fair valuation, greater than the total amount of liabilities, including contingent liabilities, of such Foreign Borrower.  No Foreign Borrower has ceased paying its current obligations in the ordinary course of business as they generally become due.  No Foreign Borrower is for any reason (and will not by reason of the execution and delivery of the Loan Documents) unable to meet its obligations as they generally become due.</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6.14</w:t>
      </w:r>
      <w:bookmarkStart w:id="1948" w:name="_Toc236844366"/>
      <w:bookmarkStart w:id="1949" w:name="_Toc172896712"/>
      <w:bookmarkEnd w:id="1948"/>
      <w:bookmarkEnd w:id="1949"/>
      <w:r>
        <w:rPr>
          <w:rFonts w:ascii="Times New Roman;Times;serif" w:hAnsi="Times New Roman;Times;serif"/>
          <w:sz w:val="22"/>
          <w:u w:val="single"/>
        </w:rPr>
        <w:t>Financial Statements</w:t>
      </w:r>
      <w:r>
        <w:rPr>
          <w:rFonts w:ascii="Times New Roman;Times;serif" w:hAnsi="Times New Roman;Times;serif"/>
          <w:sz w:val="22"/>
        </w:rPr>
        <w:t>.  The Consolidated financial statements of US Borrower for the fiscal year ended December 31, 2012, and the unaudited Consolidated financial statements of US Borrower for the fiscal quarter ended March 31, 2013, furnished to Agent and the Lenders, are true and complete in all material respects, to the best knowledge of the Companies, have been prepared in accordance with GAAP, except for the absence of footnotes and subject to year-end adjustments consistent with past practice, and fairly present in all material respects the financial condition of the Companies as of the dates of such financial statements and the results of their operations for the periods then ending.  Since the dates of such statements, there has been no material adverse change in any Company’s financial condition, properties or business or any change in any Company’s accounting procedures.</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6.15</w:t>
      </w:r>
      <w:bookmarkStart w:id="1950" w:name="_Toc236844367"/>
      <w:bookmarkStart w:id="1951" w:name="_Toc172896713"/>
      <w:bookmarkEnd w:id="1950"/>
      <w:bookmarkEnd w:id="1951"/>
      <w:r>
        <w:rPr>
          <w:rFonts w:ascii="Times New Roman;Times;serif" w:hAnsi="Times New Roman;Times;serif"/>
          <w:sz w:val="22"/>
          <w:u w:val="single"/>
        </w:rPr>
        <w:t>Regulations</w:t>
      </w:r>
      <w:r>
        <w:rPr>
          <w:rFonts w:ascii="Times New Roman;Times;serif" w:hAnsi="Times New Roman;Times;serif"/>
          <w:sz w:val="22"/>
        </w:rPr>
        <w:t>.  No Company is engaged principally or as one of its important activities, in the business of extending credit for the purpose of purchasing or carrying any “margin stock” (within the meaning of Regulation U of the FRB).  None of the proceeds of any Loan (or any conversion thereof) or Letter of Credit will be used to purchase or carry margin stock or extend credit to others to purchase or carry margin stock, in each case, in any manner that will violate, or be inconsistent with, the provisions of Regulation T, U or X of the FRB.</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6.16</w:t>
      </w:r>
      <w:bookmarkStart w:id="1952" w:name="_Toc236844368"/>
      <w:bookmarkStart w:id="1953" w:name="_Toc172896714"/>
      <w:bookmarkEnd w:id="1952"/>
      <w:bookmarkEnd w:id="1953"/>
      <w:r>
        <w:rPr>
          <w:rFonts w:ascii="Times New Roman;Times;serif" w:hAnsi="Times New Roman;Times;serif"/>
          <w:sz w:val="22"/>
          <w:u w:val="single"/>
        </w:rPr>
        <w:t>Material Agreements</w:t>
      </w:r>
      <w:r>
        <w:rPr>
          <w:rFonts w:ascii="Times New Roman;Times;serif" w:hAnsi="Times New Roman;Times;serif"/>
          <w:sz w:val="22"/>
        </w:rPr>
        <w:t xml:space="preserve">.  Except as disclosed on </w:t>
      </w:r>
      <w:r>
        <w:rPr>
          <w:rFonts w:ascii="Times New Roman;Times;serif" w:hAnsi="Times New Roman;Times;serif"/>
          <w:sz w:val="22"/>
          <w:u w:val="single"/>
        </w:rPr>
        <w:t>Schedule 6.16</w:t>
      </w:r>
      <w:r>
        <w:rPr>
          <w:rFonts w:ascii="Aptos" w:hAnsi="Aptos"/>
          <w:sz w:val="24"/>
        </w:rPr>
        <w:t xml:space="preserve"> </w:t>
      </w:r>
      <w:r>
        <w:rPr>
          <w:rFonts w:ascii="Times New Roman;Times;serif" w:hAnsi="Times New Roman;Times;serif"/>
          <w:sz w:val="22"/>
        </w:rPr>
        <w:t>hereto, as of the Sixth Amendment Effective Date, no Company is a party to any (a) debt instrument (excluding the Loan Documents); (b) lease (capital, operating or otherwise), whether as lessee or lessor thereunder; (c) contract, commitment, agreement, or other arrangement involving the purchase or sale of any inventory by it, or the license of any right to or by it; (d) contract, commitment, agreement, or other arrangement with any of its “Affiliates” (as such term is defined in the Exchange Act) other than a Company; (e) management or employment contract or contract for personal services with any of its Affiliates that is not otherwise terminable at will or on less than ninety (90) days’ notice without liability; (f) collective bargaining agreement; or (g) other contract, agreement, understanding, or arrangement with a third party; that, as to subsections (a) through (g), the breach or termination of which could reasonably be expected to have a Material Adverse Effect.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109</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6.17</w:t>
      </w:r>
      <w:bookmarkStart w:id="1954" w:name="_Toc236844369"/>
      <w:bookmarkStart w:id="1955" w:name="_Toc172896715"/>
      <w:bookmarkEnd w:id="1954"/>
      <w:bookmarkEnd w:id="1955"/>
      <w:r>
        <w:rPr>
          <w:rFonts w:ascii="Times New Roman;Times;serif" w:hAnsi="Times New Roman;Times;serif"/>
          <w:sz w:val="22"/>
          <w:u w:val="single"/>
        </w:rPr>
        <w:t>Intellectual Property</w:t>
      </w:r>
      <w:r>
        <w:rPr>
          <w:rFonts w:ascii="Times New Roman;Times;serif" w:hAnsi="Times New Roman;Times;serif"/>
          <w:sz w:val="22"/>
        </w:rPr>
        <w:t>.  Each Company owns, or has the right to use, all of the material patents, patent applications, industrial designs, designs, trademarks, service marks, copyrights and licenses, and rights with respect to the foregoing, necessary for the conduct of its business without any known conflict with the rights of others that could, individually or in the aggregate, reasonably be expected to cause a Material Adverse Effect.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6.18</w:t>
      </w:r>
      <w:bookmarkStart w:id="1956" w:name="_Toc236844370"/>
      <w:bookmarkStart w:id="1957" w:name="_Toc172896716"/>
      <w:bookmarkEnd w:id="1956"/>
      <w:bookmarkEnd w:id="1957"/>
      <w:r>
        <w:rPr>
          <w:rFonts w:ascii="Times New Roman;Times;serif" w:hAnsi="Times New Roman;Times;serif"/>
          <w:sz w:val="22"/>
          <w:u w:val="single"/>
        </w:rPr>
        <w:t>Insurance</w:t>
      </w:r>
      <w:r>
        <w:rPr>
          <w:rFonts w:ascii="Times New Roman;Times;serif" w:hAnsi="Times New Roman;Times;serif"/>
          <w:sz w:val="22"/>
        </w:rPr>
        <w:t>.  Each Company maintains with financially sound and reputable insurers insurance with coverage and limits as required by law and in accordance with sound business practices.  </w:t>
      </w:r>
      <w:r>
        <w:rPr>
          <w:rFonts w:ascii="Times New Roman;Times;serif" w:hAnsi="Times New Roman;Times;serif"/>
          <w:sz w:val="22"/>
          <w:u w:val="single"/>
        </w:rPr>
        <w:t>Schedule 6.18</w:t>
      </w:r>
      <w:r>
        <w:rPr>
          <w:rFonts w:ascii="Aptos" w:hAnsi="Aptos"/>
          <w:sz w:val="24"/>
        </w:rPr>
        <w:t xml:space="preserve"> </w:t>
      </w:r>
      <w:r>
        <w:rPr>
          <w:rFonts w:ascii="Times New Roman;Times;serif" w:hAnsi="Times New Roman;Times;serif"/>
          <w:sz w:val="22"/>
        </w:rPr>
        <w:t>hereto sets forth all insurance carried by the Companies on the Sixth Amendment Effective Date, setting forth in detail the amount and type of such insurance.</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6.19</w:t>
      </w:r>
      <w:bookmarkStart w:id="1958" w:name="_Toc236844371"/>
      <w:bookmarkStart w:id="1959" w:name="_Toc172896717"/>
      <w:bookmarkEnd w:id="1958"/>
      <w:bookmarkEnd w:id="1959"/>
      <w:r>
        <w:rPr>
          <w:rFonts w:ascii="Times New Roman;Times;serif" w:hAnsi="Times New Roman;Times;serif"/>
          <w:sz w:val="22"/>
          <w:u w:val="single"/>
        </w:rPr>
        <w:t>Deposit and Securities Accounts</w:t>
      </w:r>
      <w:r>
        <w:rPr>
          <w:rFonts w:ascii="Times New Roman;Times;serif" w:hAnsi="Times New Roman;Times;serif"/>
          <w:sz w:val="22"/>
        </w:rPr>
        <w:t>.  US Borrower has provided to Agent a list of all banks, other financial institutions and Securities Intermediaries at which US Borrower and any Domestic Guarantor of Payment maintain Deposit Accounts or Securities Accounts as of the Closing Date, which list correctly identifies the name, address and telephone number of each such financial institution or Securities Intermediary, the name in which the account is held, a description of the purpose of the account, and the complete account number therefor.</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6.20</w:t>
      </w:r>
      <w:bookmarkStart w:id="1960" w:name="_Toc236844372"/>
      <w:bookmarkStart w:id="1961" w:name="_Toc172896718"/>
      <w:bookmarkEnd w:id="1960"/>
      <w:bookmarkEnd w:id="1961"/>
      <w:r>
        <w:rPr>
          <w:rFonts w:ascii="Times New Roman;Times;serif" w:hAnsi="Times New Roman;Times;serif"/>
          <w:sz w:val="22"/>
          <w:u w:val="single"/>
        </w:rPr>
        <w:t>Accurate and Complete Statements</w:t>
      </w:r>
      <w:r>
        <w:rPr>
          <w:rFonts w:ascii="Times New Roman;Times;serif" w:hAnsi="Times New Roman;Times;serif"/>
          <w:sz w:val="22"/>
        </w:rPr>
        <w:t>.  Neither the Loan Documents nor any written statement made by any Company in connection with any of the Loan Documents (other than any projections, forecasts, other forward-looking information, budgets, estimates and information of a general economic or industry specific nature) concerning the Companies, taken together as a whole (including any supplements and updates thereto theretofore delivered) with all other information made available (taken in combination with the information contained in US Borrower’s filings with the SEC), when furnished, contained any untrue statement of a material fact or omitted to state a material fact necessary to make the statements contained therein or in the Loan Documents not misleading in light of the circumstances under which such statements are made (giving effect to all supplements and updates provided thereto).  There is no known fact that any Company has not disclosed to Agent and the Lenders that has or is more than likely to have a Material Adverse Effect.  As of the Sixth Amendment Effective Date, all of the information included in the Beneficial Ownership Certification is true and correct.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6.21</w:t>
      </w:r>
      <w:bookmarkStart w:id="1962" w:name="_Toc236844373"/>
      <w:bookmarkStart w:id="1963" w:name="_Toc172896719"/>
      <w:bookmarkEnd w:id="1962"/>
      <w:bookmarkEnd w:id="1963"/>
      <w:r>
        <w:rPr>
          <w:rFonts w:ascii="Times New Roman;Times;serif" w:hAnsi="Times New Roman;Times;serif"/>
          <w:sz w:val="22"/>
          <w:u w:val="single"/>
        </w:rPr>
        <w:t>Investment Company; Other Restrictions.</w:t>
      </w:r>
      <w:r>
        <w:rPr>
          <w:rFonts w:ascii="Aptos" w:hAnsi="Aptos"/>
          <w:sz w:val="24"/>
        </w:rPr>
        <w:t xml:space="preserve">  </w:t>
      </w:r>
      <w:r>
        <w:rPr>
          <w:rFonts w:ascii="Times New Roman;Times;serif" w:hAnsi="Times New Roman;Times;serif"/>
          <w:sz w:val="22"/>
        </w:rPr>
        <w:t>No Company is (a) an “investment company” or a company “controlled” by an “investment company” within the meaning of the Investment Company Act of 1940, as amended, or (b) subject to any foreign, federal, state or local statute or regulation limiting its ability to incur Indebtedness.</w:t>
      </w:r>
    </w:p>
    <w:p>
      <w:pPr>
        <w:pStyle w:val="TextBody"/>
        <w:bidi w:val="0"/>
        <w:spacing w:lineRule="auto" w:line="285" w:before="0" w:after="0"/>
        <w:ind w:left="0" w:right="0" w:hanging="0"/>
        <w:jc w:val="both"/>
        <w:rPr>
          <w:rFonts w:ascii="Aptos" w:hAnsi="Aptos"/>
          <w:sz w:val="24"/>
        </w:rPr>
      </w:pPr>
      <w:r>
        <w:rPr>
          <w:rFonts w:ascii="Times New Roman;Times;serif" w:hAnsi="Times New Roman;Times;serif"/>
          <w:sz w:val="22"/>
        </w:rPr>
        <w:t>Section 6.22</w:t>
      </w:r>
      <w:bookmarkStart w:id="1964" w:name="_Toc236844374"/>
      <w:bookmarkStart w:id="1965" w:name="_Toc172896720"/>
      <w:bookmarkEnd w:id="1964"/>
      <w:bookmarkEnd w:id="1965"/>
      <w:r>
        <w:rPr>
          <w:rFonts w:ascii="Times New Roman;Times;serif" w:hAnsi="Times New Roman;Times;serif"/>
          <w:sz w:val="22"/>
          <w:u w:val="single"/>
        </w:rPr>
        <w:t>Defaults</w:t>
      </w:r>
      <w:r>
        <w:rPr>
          <w:rFonts w:ascii="Times New Roman;Times;serif" w:hAnsi="Times New Roman;Times;serif"/>
          <w:sz w:val="22"/>
        </w:rPr>
        <w:t>.  No Default or Event of Default exists hereunder, nor will any begin to exist immediately after the execution and delivery hereof.</w:t>
      </w:r>
    </w:p>
    <w:p>
      <w:pPr>
        <w:pStyle w:val="TextBody"/>
        <w:bidi w:val="0"/>
        <w:spacing w:lineRule="auto" w:line="285"/>
        <w:ind w:left="0" w:right="0" w:hanging="0"/>
        <w:jc w:val="center"/>
        <w:rPr>
          <w:rFonts w:ascii="Aptos" w:hAnsi="Aptos"/>
          <w:sz w:val="24"/>
        </w:rPr>
      </w:pPr>
      <w:r>
        <w:rPr>
          <w:rFonts w:ascii="Times New Roman;Times;serif" w:hAnsi="Times New Roman;Times;serif"/>
          <w:caps/>
          <w:sz w:val="22"/>
        </w:rPr>
        <w:t>ARTICLE VII.</w:t>
      </w:r>
      <w:r>
        <w:rPr>
          <w:rFonts w:ascii="Aptos" w:hAnsi="Aptos"/>
          <w:caps/>
          <w:sz w:val="24"/>
        </w:rPr>
        <w:t xml:space="preserve"> </w:t>
      </w:r>
      <w:bookmarkStart w:id="1966" w:name="_Toc236844375"/>
      <w:bookmarkStart w:id="1967" w:name="_Toc172896721"/>
      <w:bookmarkEnd w:id="1966"/>
      <w:bookmarkEnd w:id="1967"/>
      <w:r>
        <w:rPr>
          <w:rFonts w:ascii="Times New Roman;Times;serif" w:hAnsi="Times New Roman;Times;serif"/>
          <w:caps/>
          <w:sz w:val="22"/>
        </w:rPr>
        <w:t>EVENTS OF DEFAULT</w:t>
      </w:r>
    </w:p>
    <w:p>
      <w:pPr>
        <w:pStyle w:val="TextBody"/>
        <w:bidi w:val="0"/>
        <w:spacing w:lineRule="auto" w:line="285" w:before="0" w:after="240"/>
        <w:ind w:left="0" w:right="0" w:firstLine="720"/>
        <w:jc w:val="both"/>
        <w:rPr>
          <w:rFonts w:ascii="Aptos" w:hAnsi="Aptos"/>
          <w:sz w:val="22"/>
        </w:rPr>
      </w:pPr>
      <w:r>
        <w:rPr>
          <w:rFonts w:ascii="Times New Roman;Times;serif" w:hAnsi="Times New Roman;Times;serif"/>
          <w:sz w:val="22"/>
        </w:rPr>
        <w:t>Any of the following specified events shall constitute an Event of Default (each an “</w:t>
      </w:r>
      <w:r>
        <w:rPr>
          <w:rFonts w:ascii="Times New Roman;Times;serif" w:hAnsi="Times New Roman;Times;serif"/>
          <w:sz w:val="22"/>
          <w:u w:val="single"/>
        </w:rPr>
        <w:t>Event of Default</w:t>
      </w:r>
      <w:r>
        <w:rPr>
          <w:rFonts w:ascii="Aptos" w:hAnsi="Aptos"/>
          <w:sz w:val="22"/>
        </w:rPr>
        <w:t>”</w:t>
      </w:r>
      <w:r>
        <w:rPr>
          <w:rFonts w:ascii="Times New Roman;Times;serif" w:hAnsi="Times New Roman;Times;serif"/>
          <w:sz w:val="22"/>
        </w:rPr>
        <w:t>) hereunder:</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7.1</w:t>
      </w:r>
      <w:bookmarkStart w:id="1968" w:name="_Toc236844376"/>
      <w:bookmarkStart w:id="1969" w:name="_Toc172896722"/>
      <w:bookmarkEnd w:id="1968"/>
      <w:bookmarkEnd w:id="1969"/>
      <w:r>
        <w:rPr>
          <w:rFonts w:ascii="Times New Roman;Times;serif" w:hAnsi="Times New Roman;Times;serif"/>
          <w:sz w:val="22"/>
          <w:u w:val="single"/>
        </w:rPr>
        <w:t>Payments</w:t>
      </w:r>
      <w:r>
        <w:rPr>
          <w:rFonts w:ascii="Times New Roman;Times;serif" w:hAnsi="Times New Roman;Times;serif"/>
          <w:sz w:val="22"/>
        </w:rPr>
        <w:t>.  If (a) the interest on any Loan, any commitment or other fee, or any other Obligation not listed in subpart (b) hereof, shall not be paid in full when due and payable or within five Business Days thereafter, or (b) the principal of any Loan or any obligation under any Letter of Credit shall not be paid in full when due and payable.</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7.2</w:t>
      </w:r>
      <w:bookmarkStart w:id="1970" w:name="_Toc236844377"/>
      <w:bookmarkStart w:id="1971" w:name="_Toc172896723"/>
      <w:bookmarkEnd w:id="1970"/>
      <w:bookmarkEnd w:id="1971"/>
      <w:r>
        <w:rPr>
          <w:rFonts w:ascii="Times New Roman;Times;serif" w:hAnsi="Times New Roman;Times;serif"/>
          <w:sz w:val="22"/>
          <w:u w:val="single"/>
        </w:rPr>
        <w:t>Special Covenants</w:t>
      </w:r>
      <w:r>
        <w:rPr>
          <w:rFonts w:ascii="Times New Roman;Times;serif" w:hAnsi="Times New Roman;Times;serif"/>
          <w:sz w:val="22"/>
        </w:rPr>
        <w:t xml:space="preserve">.  If any Company shall fail or omit to perform and observe </w:t>
      </w:r>
      <w:r>
        <w:rPr>
          <w:rFonts w:ascii="Times New Roman;Times;serif" w:hAnsi="Times New Roman;Times;serif"/>
          <w:sz w:val="22"/>
          <w:u w:val="single"/>
        </w:rPr>
        <w:t>Section 5.7</w:t>
      </w:r>
      <w:r>
        <w:rPr>
          <w:rFonts w:ascii="Times New Roman;Times;serif" w:hAnsi="Times New Roman;Times;serif"/>
          <w:sz w:val="22"/>
        </w:rPr>
        <w:t xml:space="preserve">, </w:t>
      </w:r>
      <w:r>
        <w:rPr>
          <w:rFonts w:ascii="Times New Roman;Times;serif" w:hAnsi="Times New Roman;Times;serif"/>
          <w:sz w:val="22"/>
          <w:u w:val="single"/>
        </w:rPr>
        <w:t>5.8</w:t>
      </w:r>
      <w:r>
        <w:rPr>
          <w:rFonts w:ascii="Times New Roman;Times;serif" w:hAnsi="Times New Roman;Times;serif"/>
          <w:sz w:val="22"/>
        </w:rPr>
        <w:t xml:space="preserve">, </w:t>
      </w:r>
      <w:r>
        <w:rPr>
          <w:rFonts w:ascii="Times New Roman;Times;serif" w:hAnsi="Times New Roman;Times;serif"/>
          <w:sz w:val="22"/>
          <w:u w:val="single"/>
        </w:rPr>
        <w:t>5.9</w:t>
      </w:r>
      <w:r>
        <w:rPr>
          <w:rFonts w:ascii="Times New Roman;Times;serif" w:hAnsi="Times New Roman;Times;serif"/>
          <w:sz w:val="22"/>
        </w:rPr>
        <w:t xml:space="preserve">, </w:t>
      </w:r>
      <w:r>
        <w:rPr>
          <w:rFonts w:ascii="Times New Roman;Times;serif" w:hAnsi="Times New Roman;Times;serif"/>
          <w:sz w:val="22"/>
          <w:u w:val="single"/>
        </w:rPr>
        <w:t>5.11</w:t>
      </w:r>
      <w:r>
        <w:rPr>
          <w:rFonts w:ascii="Times New Roman;Times;serif" w:hAnsi="Times New Roman;Times;serif"/>
          <w:sz w:val="22"/>
        </w:rPr>
        <w:t xml:space="preserve">, </w:t>
      </w:r>
      <w:r>
        <w:rPr>
          <w:rFonts w:ascii="Times New Roman;Times;serif" w:hAnsi="Times New Roman;Times;serif"/>
          <w:sz w:val="22"/>
          <w:u w:val="single"/>
        </w:rPr>
        <w:t>5.12</w:t>
      </w:r>
      <w:r>
        <w:rPr>
          <w:rFonts w:ascii="Times New Roman;Times;serif" w:hAnsi="Times New Roman;Times;serif"/>
          <w:sz w:val="22"/>
        </w:rPr>
        <w:t xml:space="preserve">, </w:t>
      </w:r>
      <w:r>
        <w:rPr>
          <w:rFonts w:ascii="Times New Roman;Times;serif" w:hAnsi="Times New Roman;Times;serif"/>
          <w:sz w:val="22"/>
          <w:u w:val="single"/>
        </w:rPr>
        <w:t>5.13</w:t>
      </w:r>
      <w:r>
        <w:rPr>
          <w:rFonts w:ascii="Aptos" w:hAnsi="Aptos"/>
          <w:sz w:val="24"/>
        </w:rPr>
        <w:t xml:space="preserve"> </w:t>
      </w:r>
      <w:r>
        <w:rPr>
          <w:rFonts w:ascii="Times New Roman;Times;serif" w:hAnsi="Times New Roman;Times;serif"/>
          <w:sz w:val="22"/>
        </w:rPr>
        <w:t xml:space="preserve">or </w:t>
      </w:r>
      <w:r>
        <w:rPr>
          <w:rFonts w:ascii="Times New Roman;Times;serif" w:hAnsi="Times New Roman;Times;serif"/>
          <w:sz w:val="22"/>
          <w:u w:val="single"/>
        </w:rPr>
        <w:t>5.15</w:t>
      </w:r>
      <w:r>
        <w:rPr>
          <w:rFonts w:ascii="Aptos" w:hAnsi="Aptos"/>
          <w:sz w:val="24"/>
        </w:rPr>
        <w:t xml:space="preserve"> </w:t>
      </w:r>
      <w:r>
        <w:rPr>
          <w:rFonts w:ascii="Times New Roman;Times;serif" w:hAnsi="Times New Roman;Times;serif"/>
          <w:sz w:val="22"/>
        </w:rPr>
        <w:t>hereof.</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110</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7.3</w:t>
      </w:r>
      <w:bookmarkStart w:id="1972" w:name="_Toc236844378"/>
      <w:bookmarkStart w:id="1973" w:name="_Toc172896724"/>
      <w:bookmarkEnd w:id="1972"/>
      <w:bookmarkEnd w:id="1973"/>
      <w:r>
        <w:rPr>
          <w:rFonts w:ascii="Times New Roman;Times;serif" w:hAnsi="Times New Roman;Times;serif"/>
          <w:sz w:val="22"/>
          <w:u w:val="single"/>
        </w:rPr>
        <w:t>Other Covenants</w:t>
      </w:r>
      <w:r>
        <w:rPr>
          <w:rFonts w:ascii="Times New Roman;Times;serif" w:hAnsi="Times New Roman;Times;serif"/>
          <w:sz w:val="22"/>
        </w:rPr>
        <w:t xml:space="preserve">.  If any Company shall fail or omit to perform and observe any agreement or other provision (other than those referred to in </w:t>
      </w:r>
      <w:r>
        <w:rPr>
          <w:rFonts w:ascii="Times New Roman;Times;serif" w:hAnsi="Times New Roman;Times;serif"/>
          <w:sz w:val="22"/>
          <w:u w:val="single"/>
        </w:rPr>
        <w:t>Section 7.1</w:t>
      </w:r>
      <w:r>
        <w:rPr>
          <w:rFonts w:ascii="Aptos" w:hAnsi="Aptos"/>
          <w:sz w:val="24"/>
        </w:rPr>
        <w:t xml:space="preserve"> </w:t>
      </w:r>
      <w:r>
        <w:rPr>
          <w:rFonts w:ascii="Times New Roman;Times;serif" w:hAnsi="Times New Roman;Times;serif"/>
          <w:sz w:val="22"/>
        </w:rPr>
        <w:t xml:space="preserve">or </w:t>
      </w:r>
      <w:r>
        <w:rPr>
          <w:rFonts w:ascii="Times New Roman;Times;serif" w:hAnsi="Times New Roman;Times;serif"/>
          <w:sz w:val="22"/>
          <w:u w:val="single"/>
        </w:rPr>
        <w:t>7.2</w:t>
      </w:r>
      <w:r>
        <w:rPr>
          <w:rFonts w:ascii="Aptos" w:hAnsi="Aptos"/>
          <w:sz w:val="24"/>
        </w:rPr>
        <w:t xml:space="preserve"> </w:t>
      </w:r>
      <w:r>
        <w:rPr>
          <w:rFonts w:ascii="Times New Roman;Times;serif" w:hAnsi="Times New Roman;Times;serif"/>
          <w:sz w:val="22"/>
        </w:rPr>
        <w:t>hereof) contained or referred to in this Agreement or any Loan Document that is on such Company’s part to be complied with, and that Default shall not have been fully corrected within thirty (30) days after the earlier of (a) any Financial Officer of such Company becomes aware of the occurrence thereof, or (b) the giving of written notice thereof to Administrative Borrower by Agent or the Required Lenders that the specified Default is to be remedied.</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7.4</w:t>
      </w:r>
      <w:bookmarkStart w:id="1974" w:name="_Toc236844379"/>
      <w:bookmarkStart w:id="1975" w:name="_Toc172896725"/>
      <w:bookmarkEnd w:id="1974"/>
      <w:bookmarkEnd w:id="1975"/>
      <w:r>
        <w:rPr>
          <w:rFonts w:ascii="Times New Roman;Times;serif" w:hAnsi="Times New Roman;Times;serif"/>
          <w:sz w:val="22"/>
          <w:u w:val="single"/>
        </w:rPr>
        <w:t>Representations and Warranties</w:t>
      </w:r>
      <w:r>
        <w:rPr>
          <w:rFonts w:ascii="Times New Roman;Times;serif" w:hAnsi="Times New Roman;Times;serif"/>
          <w:sz w:val="22"/>
        </w:rPr>
        <w:t>.  If any representation, warranty or statement made in or pursuant to this Agreement, any other Loan Document or any other material information furnished by any Company to Agent or the Lenders, or any thereof, shall be false or erroneous in any material respect.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7.5</w:t>
      </w:r>
      <w:bookmarkStart w:id="1976" w:name="_Toc236844380"/>
      <w:bookmarkStart w:id="1977" w:name="_Toc172896726"/>
      <w:bookmarkEnd w:id="1976"/>
      <w:bookmarkEnd w:id="1977"/>
      <w:r>
        <w:rPr>
          <w:rFonts w:ascii="Times New Roman;Times;serif" w:hAnsi="Times New Roman;Times;serif"/>
          <w:sz w:val="22"/>
          <w:u w:val="single"/>
        </w:rPr>
        <w:t>Cross Default</w:t>
      </w:r>
      <w:r>
        <w:rPr>
          <w:rFonts w:ascii="Times New Roman;Times;serif" w:hAnsi="Times New Roman;Times;serif"/>
          <w:sz w:val="22"/>
        </w:rPr>
        <w:t>.  If any Company shall default (a) in the payment of principal or interest due and owing under any Material Indebtedness Agreement beyond any period of grace provided with respect thereto or (b) in the performance or observance of any other provision, term or condition contained in any Material Indebtedness Agreement under which such obligation is created, if the effect of such default is to allow the acceleration of the maturity of such Indebtedness or to permit the holder thereof to cause such Indebtedness to become due prior to its stated maturity (other than (x) any event that permits holders of any Permitted Convertible Indebtedness to convert such Indebtedness or (y) the conversion of any Permitted Convertible Indebtedness, in either case, into common stock of the US Borrower (or other securities or property following a merger event, reclassification or other change of the common stock of the US Borrower), cash or a combination thereof).</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7.6</w:t>
      </w:r>
      <w:bookmarkStart w:id="1978" w:name="_Toc236844381"/>
      <w:bookmarkStart w:id="1979" w:name="_Toc172896727"/>
      <w:bookmarkEnd w:id="1978"/>
      <w:bookmarkEnd w:id="1979"/>
      <w:r>
        <w:rPr>
          <w:rFonts w:ascii="Times New Roman;Times;serif" w:hAnsi="Times New Roman;Times;serif"/>
          <w:sz w:val="22"/>
          <w:u w:val="single"/>
        </w:rPr>
        <w:t>ERISA Default</w:t>
      </w:r>
      <w:r>
        <w:rPr>
          <w:rFonts w:ascii="Times New Roman;Times;serif" w:hAnsi="Times New Roman;Times;serif"/>
          <w:sz w:val="22"/>
        </w:rPr>
        <w:t>.  The occurrence of one or more ERISA Events that the Required Lenders determine could reasonably be expected to have a Material Adverse Effect.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7.7</w:t>
      </w:r>
      <w:bookmarkStart w:id="1980" w:name="_Toc236844382"/>
      <w:bookmarkStart w:id="1981" w:name="_Toc172896728"/>
      <w:bookmarkEnd w:id="1980"/>
      <w:bookmarkEnd w:id="1981"/>
      <w:r>
        <w:rPr>
          <w:rFonts w:ascii="Times New Roman;Times;serif" w:hAnsi="Times New Roman;Times;serif"/>
          <w:sz w:val="22"/>
          <w:u w:val="single"/>
        </w:rPr>
        <w:t>Change in Control</w:t>
      </w:r>
      <w:r>
        <w:rPr>
          <w:rFonts w:ascii="Times New Roman;Times;serif" w:hAnsi="Times New Roman;Times;serif"/>
          <w:sz w:val="22"/>
        </w:rPr>
        <w:t>.  If any Change in Control shall occur.</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7.8</w:t>
      </w:r>
      <w:bookmarkStart w:id="1982" w:name="_Toc236844383"/>
      <w:bookmarkStart w:id="1983" w:name="_Toc172896729"/>
      <w:bookmarkEnd w:id="1982"/>
      <w:bookmarkEnd w:id="1983"/>
      <w:r>
        <w:rPr>
          <w:rFonts w:ascii="Times New Roman;Times;serif" w:hAnsi="Times New Roman;Times;serif"/>
          <w:sz w:val="22"/>
          <w:u w:val="single"/>
        </w:rPr>
        <w:t>Judgments</w:t>
      </w:r>
      <w:r>
        <w:rPr>
          <w:rFonts w:ascii="Times New Roman;Times;serif" w:hAnsi="Times New Roman;Times;serif"/>
          <w:sz w:val="22"/>
        </w:rPr>
        <w:t>.  There is entered against any Company:</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 xml:space="preserve">(a)a final judgment or order for the payment of money by a court of competent jurisdiction, that remains unpaid or unstayed and undischarged for a period (during which execution shall not be effectively stayed) of sixty (60) days after the date on which the right to appeal has expired;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that such occurrence shall constitute an Event of Default only if the aggregate of all such judgments for all such Companies shall exceed Twenty Million Dollars ($20,000,000) (less any amount that will be covered by the proceeds of insurance and is not subject to dispute by the insurance provider); or</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(b)any one or more non-monetary final judgments that are not covered by insurance, or, if covered by insurance, for which the insurance company has not agreed to or acknowledged coverage, and that, in either case, the Required Lenders reasonably determine have, or could be expected to have, individually or in the aggregate, a Material Adverse Effect and, in either case, (i) enforcement proceedings are commenced by the prevailing party or any creditor upon such judgment or order, or (ii) there is a period of thirty (30) consecutive days during which a stay of enforcement of such judgment, by reason of a pending appeal or otherwise, is not in effect.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7.9</w:t>
      </w:r>
      <w:bookmarkStart w:id="1984" w:name="_Toc236844384"/>
      <w:bookmarkStart w:id="1985" w:name="_Toc172896730"/>
      <w:bookmarkEnd w:id="1984"/>
      <w:bookmarkEnd w:id="1985"/>
      <w:r>
        <w:rPr>
          <w:rFonts w:ascii="Times New Roman;Times;serif" w:hAnsi="Times New Roman;Times;serif"/>
          <w:sz w:val="22"/>
          <w:u w:val="single"/>
        </w:rPr>
        <w:t>Security</w:t>
      </w:r>
      <w:r>
        <w:rPr>
          <w:rFonts w:ascii="Times New Roman;Times;serif" w:hAnsi="Times New Roman;Times;serif"/>
          <w:sz w:val="22"/>
        </w:rPr>
        <w:t xml:space="preserve">.  If any Lien granted in this Agreement or any other Loan Document in favor of Agent, for the benefit of the Secured Parties, shall be determined to be (a) void, voidable or invalid, or is subordinated or not otherwise given the priority contemplated by this Agreement with respect to any material amount of Collateral and Borrowers have (or the appropriate Credit Party has) failed to promptly execute appropriate documents to correct such matters, or (b) unperfected as to any material amount of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111</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Collateral (as determined by Agent, in its reasonable discretion) and Borrowers have (or the appropriate Credit Party has) failed to promptly execute appropriate documents to correct such matters.</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7.10</w:t>
      </w:r>
      <w:bookmarkStart w:id="1986" w:name="_Toc236844385"/>
      <w:bookmarkStart w:id="1987" w:name="_Toc172896731"/>
      <w:bookmarkEnd w:id="1986"/>
      <w:bookmarkEnd w:id="1987"/>
      <w:r>
        <w:rPr>
          <w:rFonts w:ascii="Times New Roman;Times;serif" w:hAnsi="Times New Roman;Times;serif"/>
          <w:sz w:val="22"/>
          <w:u w:val="single"/>
        </w:rPr>
        <w:t>Validity of Loan Documents</w:t>
      </w:r>
      <w:r>
        <w:rPr>
          <w:rFonts w:ascii="Times New Roman;Times;serif" w:hAnsi="Times New Roman;Times;serif"/>
          <w:sz w:val="22"/>
        </w:rPr>
        <w:t>.  If (a) any material provision, in the reasonable opinion of Agent, of any Loan Document shall at any time cease to be valid, binding and enforceable against any Credit Party; (b) the validity, binding effect or enforceability of any Loan Document against any Credit Party shall be contested by any Credit Party; (c) any Credit Party shall deny that it has any or further liability or obligation under any Loan Document; or (d) any Loan Document shall be terminated, invalidated or set aside, or be declared ineffective or inoperative or in any way cease to give or provide to Agent and the Lenders the benefits purported to be created thereby.</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7.11</w:t>
      </w:r>
      <w:bookmarkStart w:id="1988" w:name="_Toc236844386"/>
      <w:bookmarkStart w:id="1989" w:name="_Toc172896732"/>
      <w:bookmarkEnd w:id="1988"/>
      <w:bookmarkEnd w:id="1989"/>
      <w:r>
        <w:rPr>
          <w:rFonts w:ascii="Times New Roman;Times;serif" w:hAnsi="Times New Roman;Times;serif"/>
          <w:sz w:val="22"/>
          <w:u w:val="single"/>
        </w:rPr>
        <w:t>Insolvency Events</w:t>
      </w:r>
      <w:r>
        <w:rPr>
          <w:rFonts w:ascii="Times New Roman;Times;serif" w:hAnsi="Times New Roman;Times;serif"/>
          <w:sz w:val="22"/>
        </w:rPr>
        <w:t>.  If any Credit Party shall:</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(a)generally not pay its debts as such debts become due;</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(b)make a general assignment for the benefit of creditors;</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(c)apply for or consent to the appointment of an interim receiver, a receiver, a receiver and manager, an administrator, sequestrator, monitor, a custodian, a trustee, an interim trustee, liquidator, agent or other similar official of all or a substantial part of its assets or of such Credit Party;</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(d)be adjudicated a debtor or insolvent or have entered against it an order for relief under any Debtor Relief Laws, in any applicable jurisdiction, now or hereafter existing, as any of the foregoing may be amended from time to time, or other applicable statute for jurisdictions outside of the United States, as the case may be;</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(e)file a voluntary petition under the Bankruptcy Code or seek relief under any other Debtor Relief Laws in any jurisdiction outside of the United States, or file a proposal or notice of intention to file such petition;</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(f)have an involuntary proceeding under the Bankruptcy Code filed against it and the same shall not be controverted within ten (10) days, or shall continue undismissed for a period of sixty (60) days from commencement of such proceeding or case;</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(g)file a petition, an answer, an application or a proposal seeking reorganization or an arrangement with creditors or seeking to take advantage of any other Debtor Relief Law, or admit (by answer, by default or otherwise) the material allegations of a petition filed against it in any proceeding under any Debtor Relief Law;</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(h)suffer or permit to continue unstayed and in effect for sixty (60) consecutive days any judgment, decree or order entered by a court of competent jurisdiction, that approves a petition or an application or a proposal seeking its reorganization or appoints an interim receiver, a receiver and manager, an administrator, custodian, trustee, interim trustee or liquidator of all or a substantial part of its assets, or of such Credit Party;</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(i)have an administrative receiver appointed over the whole or substantially the whole of its assets, or of such Credit Party; or</w:t>
      </w:r>
    </w:p>
    <w:p>
      <w:pPr>
        <w:pStyle w:val="TextBody"/>
        <w:bidi w:val="0"/>
        <w:spacing w:lineRule="auto" w:line="285"/>
        <w:ind w:left="0" w:right="0" w:hanging="0"/>
        <w:jc w:val="both"/>
        <w:rPr>
          <w:rFonts w:ascii="Times New Roman;Times;serif" w:hAnsi="Times New Roman;Times;serif"/>
          <w:sz w:val="22"/>
        </w:rPr>
      </w:pPr>
      <w:r>
        <w:rPr>
          <w:rFonts w:ascii="Times New Roman;Times;serif" w:hAnsi="Times New Roman;Times;serif"/>
          <w:sz w:val="22"/>
        </w:rPr>
        <w:t>(j)have a moratorium declared in respect of any of its Indebtedness, or any analogous procedure or step is taken in any jurisdiction.</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112</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ind w:left="0" w:right="0" w:hanging="0"/>
        <w:jc w:val="center"/>
        <w:rPr>
          <w:rFonts w:ascii="Aptos" w:hAnsi="Aptos"/>
          <w:sz w:val="24"/>
        </w:rPr>
      </w:pPr>
      <w:r>
        <w:rPr>
          <w:rFonts w:ascii="Times New Roman;Times;serif" w:hAnsi="Times New Roman;Times;serif"/>
          <w:caps/>
          <w:sz w:val="22"/>
        </w:rPr>
        <w:t>ARTICLE VIII.</w:t>
      </w:r>
      <w:r>
        <w:rPr>
          <w:rFonts w:ascii="Aptos" w:hAnsi="Aptos"/>
          <w:caps/>
          <w:sz w:val="24"/>
        </w:rPr>
        <w:t xml:space="preserve"> </w:t>
      </w:r>
      <w:bookmarkStart w:id="1990" w:name="_Toc236844387"/>
      <w:bookmarkStart w:id="1991" w:name="_Toc172896733"/>
      <w:bookmarkEnd w:id="1990"/>
      <w:bookmarkEnd w:id="1991"/>
      <w:r>
        <w:rPr>
          <w:rFonts w:ascii="Times New Roman;Times;serif" w:hAnsi="Times New Roman;Times;serif"/>
          <w:caps/>
          <w:sz w:val="22"/>
        </w:rPr>
        <w:t>REMEDIES UPON DEFAULT</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Notwithstanding any contrary provision or inference herein or elsewhere:</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8.1</w:t>
      </w:r>
      <w:bookmarkStart w:id="1992" w:name="_Toc236844388"/>
      <w:bookmarkStart w:id="1993" w:name="_Toc172896734"/>
      <w:bookmarkEnd w:id="1992"/>
      <w:bookmarkEnd w:id="1993"/>
      <w:r>
        <w:rPr>
          <w:rFonts w:ascii="Times New Roman;Times;serif" w:hAnsi="Times New Roman;Times;serif"/>
          <w:sz w:val="22"/>
          <w:u w:val="single"/>
        </w:rPr>
        <w:t>Optional Defaults</w:t>
      </w:r>
      <w:r>
        <w:rPr>
          <w:rFonts w:ascii="Times New Roman;Times;serif" w:hAnsi="Times New Roman;Times;serif"/>
          <w:sz w:val="22"/>
        </w:rPr>
        <w:t xml:space="preserve">.  If any Event of Default referred to in </w:t>
      </w:r>
      <w:r>
        <w:rPr>
          <w:rFonts w:ascii="Times New Roman;Times;serif" w:hAnsi="Times New Roman;Times;serif"/>
          <w:sz w:val="22"/>
          <w:u w:val="single"/>
        </w:rPr>
        <w:t>Section 7.1</w:t>
      </w:r>
      <w:r>
        <w:rPr>
          <w:rFonts w:ascii="Times New Roman;Times;serif" w:hAnsi="Times New Roman;Times;serif"/>
          <w:sz w:val="22"/>
        </w:rPr>
        <w:t xml:space="preserve">, </w:t>
      </w:r>
      <w:r>
        <w:rPr>
          <w:rFonts w:ascii="Times New Roman;Times;serif" w:hAnsi="Times New Roman;Times;serif"/>
          <w:sz w:val="22"/>
          <w:u w:val="single"/>
        </w:rPr>
        <w:t>7.2</w:t>
      </w:r>
      <w:r>
        <w:rPr>
          <w:rFonts w:ascii="Times New Roman;Times;serif" w:hAnsi="Times New Roman;Times;serif"/>
          <w:sz w:val="22"/>
        </w:rPr>
        <w:t xml:space="preserve">, </w:t>
      </w:r>
      <w:r>
        <w:rPr>
          <w:rFonts w:ascii="Times New Roman;Times;serif" w:hAnsi="Times New Roman;Times;serif"/>
          <w:sz w:val="22"/>
          <w:u w:val="single"/>
        </w:rPr>
        <w:t>7.3</w:t>
      </w:r>
      <w:r>
        <w:rPr>
          <w:rFonts w:ascii="Times New Roman;Times;serif" w:hAnsi="Times New Roman;Times;serif"/>
          <w:sz w:val="22"/>
        </w:rPr>
        <w:t xml:space="preserve">, </w:t>
      </w:r>
      <w:r>
        <w:rPr>
          <w:rFonts w:ascii="Times New Roman;Times;serif" w:hAnsi="Times New Roman;Times;serif"/>
          <w:sz w:val="22"/>
          <w:u w:val="single"/>
        </w:rPr>
        <w:t>7.4</w:t>
      </w:r>
      <w:r>
        <w:rPr>
          <w:rFonts w:ascii="Times New Roman;Times;serif" w:hAnsi="Times New Roman;Times;serif"/>
          <w:sz w:val="22"/>
        </w:rPr>
        <w:t xml:space="preserve">, </w:t>
      </w:r>
      <w:r>
        <w:rPr>
          <w:rFonts w:ascii="Times New Roman;Times;serif" w:hAnsi="Times New Roman;Times;serif"/>
          <w:sz w:val="22"/>
          <w:u w:val="single"/>
        </w:rPr>
        <w:t>7.5</w:t>
      </w:r>
      <w:r>
        <w:rPr>
          <w:rFonts w:ascii="Times New Roman;Times;serif" w:hAnsi="Times New Roman;Times;serif"/>
          <w:sz w:val="22"/>
        </w:rPr>
        <w:t xml:space="preserve">, </w:t>
      </w:r>
      <w:r>
        <w:rPr>
          <w:rFonts w:ascii="Times New Roman;Times;serif" w:hAnsi="Times New Roman;Times;serif"/>
          <w:sz w:val="22"/>
          <w:u w:val="single"/>
        </w:rPr>
        <w:t>7.6</w:t>
      </w:r>
      <w:r>
        <w:rPr>
          <w:rFonts w:ascii="Times New Roman;Times;serif" w:hAnsi="Times New Roman;Times;serif"/>
          <w:sz w:val="22"/>
        </w:rPr>
        <w:t xml:space="preserve">, </w:t>
      </w:r>
      <w:r>
        <w:rPr>
          <w:rFonts w:ascii="Times New Roman;Times;serif" w:hAnsi="Times New Roman;Times;serif"/>
          <w:sz w:val="22"/>
          <w:u w:val="single"/>
        </w:rPr>
        <w:t>7.7</w:t>
      </w:r>
      <w:r>
        <w:rPr>
          <w:rFonts w:ascii="Times New Roman;Times;serif" w:hAnsi="Times New Roman;Times;serif"/>
          <w:sz w:val="22"/>
        </w:rPr>
        <w:t xml:space="preserve">, </w:t>
      </w:r>
      <w:r>
        <w:rPr>
          <w:rFonts w:ascii="Times New Roman;Times;serif" w:hAnsi="Times New Roman;Times;serif"/>
          <w:sz w:val="22"/>
          <w:u w:val="single"/>
        </w:rPr>
        <w:t>7.8</w:t>
      </w:r>
      <w:r>
        <w:rPr>
          <w:rFonts w:ascii="Times New Roman;Times;serif" w:hAnsi="Times New Roman;Times;serif"/>
          <w:sz w:val="22"/>
        </w:rPr>
        <w:t xml:space="preserve">, </w:t>
      </w:r>
      <w:r>
        <w:rPr>
          <w:rFonts w:ascii="Times New Roman;Times;serif" w:hAnsi="Times New Roman;Times;serif"/>
          <w:sz w:val="22"/>
          <w:u w:val="single"/>
        </w:rPr>
        <w:t>7.9</w:t>
      </w:r>
      <w:r>
        <w:rPr>
          <w:rFonts w:ascii="Aptos" w:hAnsi="Aptos"/>
          <w:sz w:val="24"/>
        </w:rPr>
        <w:t xml:space="preserve"> </w:t>
      </w:r>
      <w:r>
        <w:rPr>
          <w:rFonts w:ascii="Times New Roman;Times;serif" w:hAnsi="Times New Roman;Times;serif"/>
          <w:sz w:val="22"/>
        </w:rPr>
        <w:t xml:space="preserve">or </w:t>
      </w:r>
      <w:r>
        <w:rPr>
          <w:rFonts w:ascii="Times New Roman;Times;serif" w:hAnsi="Times New Roman;Times;serif"/>
          <w:sz w:val="22"/>
          <w:u w:val="single"/>
        </w:rPr>
        <w:t>7.10</w:t>
      </w:r>
      <w:r>
        <w:rPr>
          <w:rFonts w:ascii="Aptos" w:hAnsi="Aptos"/>
          <w:sz w:val="24"/>
        </w:rPr>
        <w:t xml:space="preserve"> </w:t>
      </w:r>
      <w:r>
        <w:rPr>
          <w:rFonts w:ascii="Times New Roman;Times;serif" w:hAnsi="Times New Roman;Times;serif"/>
          <w:sz w:val="22"/>
        </w:rPr>
        <w:t>hereof shall occur, Agent may, with the consent of the Required Lenders, and shall, at the written request of the Required Lenders, give written notice to Borrowers to:</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(a)terminate the Commitment, if not previously terminated, and, immediately upon such election, the obligations of the Lenders, and each thereof, to make any further Loan, and the obligation of the Fronting Lender to issue any Letter of Credit, immediately shall be terminated; and/or</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(b)accelerate the maturity of all of the Obligations (if the Obligations are not already due and payable), whereupon all of the Obligations shall become and thereafter be immediately due and payable in full without any presentment or demand and without any further or other notice of any kind, all of which are hereby waived by each Borrower.</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8.2</w:t>
      </w:r>
      <w:bookmarkStart w:id="1994" w:name="_Toc236844389"/>
      <w:bookmarkStart w:id="1995" w:name="_Toc172896735"/>
      <w:bookmarkEnd w:id="1994"/>
      <w:bookmarkEnd w:id="1995"/>
      <w:r>
        <w:rPr>
          <w:rFonts w:ascii="Times New Roman;Times;serif" w:hAnsi="Times New Roman;Times;serif"/>
          <w:sz w:val="22"/>
          <w:u w:val="single"/>
        </w:rPr>
        <w:t>Automatic Defaults</w:t>
      </w:r>
      <w:r>
        <w:rPr>
          <w:rFonts w:ascii="Times New Roman;Times;serif" w:hAnsi="Times New Roman;Times;serif"/>
          <w:sz w:val="22"/>
        </w:rPr>
        <w:t xml:space="preserve">.  If any Event of Default referred to in </w:t>
      </w:r>
      <w:r>
        <w:rPr>
          <w:rFonts w:ascii="Times New Roman;Times;serif" w:hAnsi="Times New Roman;Times;serif"/>
          <w:sz w:val="22"/>
          <w:u w:val="single"/>
        </w:rPr>
        <w:t>Section 7.11</w:t>
      </w:r>
      <w:r>
        <w:rPr>
          <w:rFonts w:ascii="Aptos" w:hAnsi="Aptos"/>
          <w:sz w:val="24"/>
        </w:rPr>
        <w:t xml:space="preserve"> </w:t>
      </w:r>
      <w:r>
        <w:rPr>
          <w:rFonts w:ascii="Times New Roman;Times;serif" w:hAnsi="Times New Roman;Times;serif"/>
          <w:sz w:val="22"/>
        </w:rPr>
        <w:t>hereof shall occur:</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(a)all of the Commitment shall automatically and immediately terminate, if not previously terminated, and no Lender thereafter shall be under any obligation to grant any further Loan, nor shall the Fronting Lender be obligated to issue any Letter of Credit; and</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(b)the principal of and interest then outstanding on all of the Loans, and all of the other Obligations, shall thereupon become and thereafter be immediately due and payable in full (if the Obligations are not already due and payable), all without any presentment, demand or notice of any kind, which are hereby waived by each Borrower.</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8.3</w:t>
      </w:r>
      <w:bookmarkStart w:id="1996" w:name="_Toc236844390"/>
      <w:bookmarkStart w:id="1997" w:name="_Toc172896736"/>
      <w:bookmarkEnd w:id="1996"/>
      <w:bookmarkEnd w:id="1997"/>
      <w:r>
        <w:rPr>
          <w:rFonts w:ascii="Times New Roman;Times;serif" w:hAnsi="Times New Roman;Times;serif"/>
          <w:sz w:val="22"/>
          <w:u w:val="single"/>
        </w:rPr>
        <w:t>Letters of Credit</w:t>
      </w:r>
      <w:r>
        <w:rPr>
          <w:rFonts w:ascii="Times New Roman;Times;serif" w:hAnsi="Times New Roman;Times;serif"/>
          <w:sz w:val="22"/>
        </w:rPr>
        <w:t xml:space="preserve">.  If the maturity of the Obligations shall be accelerated pursuant to </w:t>
      </w:r>
      <w:r>
        <w:rPr>
          <w:rFonts w:ascii="Times New Roman;Times;serif" w:hAnsi="Times New Roman;Times;serif"/>
          <w:sz w:val="22"/>
          <w:u w:val="single"/>
        </w:rPr>
        <w:t>Section 8.1</w:t>
      </w:r>
      <w:r>
        <w:rPr>
          <w:rFonts w:ascii="Aptos" w:hAnsi="Aptos"/>
          <w:sz w:val="24"/>
        </w:rPr>
        <w:t xml:space="preserve"> </w:t>
      </w:r>
      <w:r>
        <w:rPr>
          <w:rFonts w:ascii="Times New Roman;Times;serif" w:hAnsi="Times New Roman;Times;serif"/>
          <w:sz w:val="22"/>
        </w:rPr>
        <w:t xml:space="preserve">or </w:t>
      </w:r>
      <w:r>
        <w:rPr>
          <w:rFonts w:ascii="Times New Roman;Times;serif" w:hAnsi="Times New Roman;Times;serif"/>
          <w:sz w:val="22"/>
          <w:u w:val="single"/>
        </w:rPr>
        <w:t>8.2</w:t>
      </w:r>
      <w:r>
        <w:rPr>
          <w:rFonts w:ascii="Aptos" w:hAnsi="Aptos"/>
          <w:sz w:val="24"/>
        </w:rPr>
        <w:t xml:space="preserve"> </w:t>
      </w:r>
      <w:r>
        <w:rPr>
          <w:rFonts w:ascii="Times New Roman;Times;serif" w:hAnsi="Times New Roman;Times;serif"/>
          <w:sz w:val="22"/>
        </w:rPr>
        <w:t>hereof, Borrowers shall immediately deposit with Agent, as security for the obligations of Borrowers and any Guarantor of Payment to reimburse Agent and the Lenders for any then outstanding Letters of Credit, cash equal to the aggregate undrawn balance of any then outstanding Letters of Credit.  Agent and the Lenders are hereby authorized, at their option, to deduct any and all such amounts from any deposit balances then owing by any Lender (or any affiliate of such Lender) to or for the credit or account of US Borrower or any Domestic Guarantor of Payment, as security for the obligations of the appropriate Borrower and any Guarantor of Payment to reimburse Agent and the Lenders for any then outstanding Letters of Credit.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8.4</w:t>
      </w:r>
      <w:bookmarkStart w:id="1998" w:name="_Toc236844391"/>
      <w:bookmarkStart w:id="1999" w:name="_Toc172896737"/>
      <w:bookmarkEnd w:id="1998"/>
      <w:bookmarkEnd w:id="1999"/>
      <w:r>
        <w:rPr>
          <w:rFonts w:ascii="Times New Roman;Times;serif" w:hAnsi="Times New Roman;Times;serif"/>
          <w:sz w:val="22"/>
          <w:u w:val="single"/>
        </w:rPr>
        <w:t>Offsets</w:t>
      </w:r>
      <w:r>
        <w:rPr>
          <w:rFonts w:ascii="Times New Roman;Times;serif" w:hAnsi="Times New Roman;Times;serif"/>
          <w:sz w:val="22"/>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 xml:space="preserve">(a)If there shall occur or exist any Event of Default referred to in </w:t>
      </w:r>
      <w:r>
        <w:rPr>
          <w:rFonts w:ascii="Times New Roman;Times;serif" w:hAnsi="Times New Roman;Times;serif"/>
          <w:sz w:val="22"/>
          <w:u w:val="single"/>
        </w:rPr>
        <w:t>Section 7.11</w:t>
      </w:r>
      <w:r>
        <w:rPr>
          <w:rFonts w:ascii="Aptos" w:hAnsi="Aptos"/>
          <w:sz w:val="24"/>
        </w:rPr>
        <w:t xml:space="preserve"> </w:t>
      </w:r>
      <w:r>
        <w:rPr>
          <w:rFonts w:ascii="Times New Roman;Times;serif" w:hAnsi="Times New Roman;Times;serif"/>
          <w:sz w:val="22"/>
        </w:rPr>
        <w:t xml:space="preserve">hereof or if the maturity of the Obligations is accelerated pursuant to </w:t>
      </w:r>
      <w:r>
        <w:rPr>
          <w:rFonts w:ascii="Times New Roman;Times;serif" w:hAnsi="Times New Roman;Times;serif"/>
          <w:sz w:val="22"/>
          <w:u w:val="single"/>
        </w:rPr>
        <w:t>Section 8.1</w:t>
      </w:r>
      <w:r>
        <w:rPr>
          <w:rFonts w:ascii="Aptos" w:hAnsi="Aptos"/>
          <w:sz w:val="24"/>
        </w:rPr>
        <w:t xml:space="preserve"> </w:t>
      </w:r>
      <w:r>
        <w:rPr>
          <w:rFonts w:ascii="Times New Roman;Times;serif" w:hAnsi="Times New Roman;Times;serif"/>
          <w:sz w:val="22"/>
        </w:rPr>
        <w:t xml:space="preserve">or </w:t>
      </w:r>
      <w:r>
        <w:rPr>
          <w:rFonts w:ascii="Times New Roman;Times;serif" w:hAnsi="Times New Roman;Times;serif"/>
          <w:sz w:val="22"/>
          <w:u w:val="single"/>
        </w:rPr>
        <w:t>8.2</w:t>
      </w:r>
      <w:r>
        <w:rPr>
          <w:rFonts w:ascii="Aptos" w:hAnsi="Aptos"/>
          <w:sz w:val="24"/>
        </w:rPr>
        <w:t xml:space="preserve"> </w:t>
      </w:r>
      <w:r>
        <w:rPr>
          <w:rFonts w:ascii="Times New Roman;Times;serif" w:hAnsi="Times New Roman;Times;serif"/>
          <w:sz w:val="22"/>
        </w:rPr>
        <w:t xml:space="preserve">hereof, each Lender shall have the right at any time, after obtaining the prior written consent of the Agent, to set off against, and to appropriate and apply toward the payment of, any and all of the Obligations then owing by US Borrower or a Guarantor of Payment to such Lender, or any Foreign Borrower with respect to Obligations of a Foreign Borrower (including, without limitation, any participation purchased or to be purchased pursuant to </w:t>
      </w:r>
      <w:r>
        <w:rPr>
          <w:rFonts w:ascii="Times New Roman;Times;serif" w:hAnsi="Times New Roman;Times;serif"/>
          <w:sz w:val="22"/>
          <w:u w:val="single"/>
        </w:rPr>
        <w:t>Section 2.2(b)</w:t>
      </w:r>
      <w:r>
        <w:rPr>
          <w:rFonts w:ascii="Times New Roman;Times;serif" w:hAnsi="Times New Roman;Times;serif"/>
          <w:sz w:val="22"/>
        </w:rPr>
        <w:t xml:space="preserve">, </w:t>
      </w:r>
      <w:r>
        <w:rPr>
          <w:rFonts w:ascii="Times New Roman;Times;serif" w:hAnsi="Times New Roman;Times;serif"/>
          <w:sz w:val="22"/>
          <w:u w:val="single"/>
        </w:rPr>
        <w:t>2.2(c)</w:t>
      </w:r>
      <w:r>
        <w:rPr>
          <w:rFonts w:ascii="Aptos" w:hAnsi="Aptos"/>
          <w:sz w:val="24"/>
        </w:rPr>
        <w:t xml:space="preserve"> </w:t>
      </w:r>
      <w:r>
        <w:rPr>
          <w:rFonts w:ascii="Times New Roman;Times;serif" w:hAnsi="Times New Roman;Times;serif"/>
          <w:sz w:val="22"/>
        </w:rPr>
        <w:t xml:space="preserve">or </w:t>
      </w:r>
      <w:r>
        <w:rPr>
          <w:rFonts w:ascii="Times New Roman;Times;serif" w:hAnsi="Times New Roman;Times;serif"/>
          <w:sz w:val="22"/>
          <w:u w:val="single"/>
        </w:rPr>
        <w:t>8.5</w:t>
      </w:r>
      <w:r>
        <w:rPr>
          <w:rFonts w:ascii="Aptos" w:hAnsi="Aptos"/>
          <w:sz w:val="24"/>
        </w:rPr>
        <w:t xml:space="preserve"> </w:t>
      </w:r>
      <w:r>
        <w:rPr>
          <w:rFonts w:ascii="Times New Roman;Times;serif" w:hAnsi="Times New Roman;Times;serif"/>
          <w:sz w:val="22"/>
        </w:rPr>
        <w:t xml:space="preserve">hereof), whether or not the same shall then have matured, any and all deposit (general or special) balances and all other indebtedness then held or owing by such Lender (including, without limitation, by branches and agencies or any affiliate of such Lender, wherever located) to or for the credit or account of US Borrower or a Guarantor of Payment, or any Foreign Borrower with respect to such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113</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deposit balances and indebtedness of a Foreign Borrower, all without notice to or demand upon any Borrower or any other Person, all such notices and demands being hereby expressly waived by each Borrower.</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(b)Notwithstanding anything in this Agreement to the contrary, if a Lender acts as a Securities Intermediary or a depository institution for a Credit Party, and the applicable Securities Accounts or Deposit Accounts of such Credit Party with such Lender (or an affiliate of a Lender) are not subject to a Control Agreement, then such Lender agrees that such accounts are subject to the Lien of Agent (to the extent granted pursuant to the Security Documents) and it will not set off against or appropriate toward the payment of, any Indebtedness owing to such Lender that does not constitute Obligations (other than Customary Setoffs with respect to such Deposit Accounts or Securities Accounts).</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8.5</w:t>
      </w:r>
      <w:bookmarkStart w:id="2000" w:name="_Toc236844392"/>
      <w:bookmarkStart w:id="2001" w:name="_Toc172896738"/>
      <w:bookmarkEnd w:id="2000"/>
      <w:bookmarkEnd w:id="2001"/>
      <w:r>
        <w:rPr>
          <w:rFonts w:ascii="Times New Roman;Times;serif" w:hAnsi="Times New Roman;Times;serif"/>
          <w:sz w:val="22"/>
          <w:u w:val="single"/>
        </w:rPr>
        <w:t>Equalization Provisions</w:t>
      </w:r>
      <w:r>
        <w:rPr>
          <w:rFonts w:ascii="Times New Roman;Times;serif" w:hAnsi="Times New Roman;Times;serif"/>
          <w:sz w:val="22"/>
        </w:rPr>
        <w:t xml:space="preserve">.  Each Lender agrees with the other Lenders that if it, at any time, shall obtain any Advantage over the other Lenders or any thereof in respect of the Obligations (except as to Swing Loans and Letters of Credit prior to Agent’s giving of notice to participate and except under </w:t>
      </w:r>
      <w:r>
        <w:rPr>
          <w:rFonts w:ascii="Times New Roman;Times;serif" w:hAnsi="Times New Roman;Times;serif"/>
          <w:sz w:val="22"/>
          <w:u w:val="single"/>
        </w:rPr>
        <w:t>Article III</w:t>
      </w:r>
      <w:r>
        <w:rPr>
          <w:rFonts w:ascii="Aptos" w:hAnsi="Aptos"/>
          <w:sz w:val="24"/>
        </w:rPr>
        <w:t xml:space="preserve"> </w:t>
      </w:r>
      <w:r>
        <w:rPr>
          <w:rFonts w:ascii="Times New Roman;Times;serif" w:hAnsi="Times New Roman;Times;serif"/>
          <w:sz w:val="22"/>
        </w:rPr>
        <w:t>hereof), it shall purchase from the other Lenders, for cash and at par, such additional participation in the Obligations as shall be necessary to nullify the Advantage.  If any such Advantage resulting in the purchase of an additional participation as aforesaid shall be recovered in whole or in part from the Lender receiving the Advantage, each such purchase shall be rescinded, and the purchase price restored (but without interest unless the Lender receiving the Advantage is required to pay interest on the Advantage to the Person recovering the Advantage from such Lender) ratably to the extent of the recovery.  Each Lender further agrees with the other Lenders that:</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(a)if it at any time shall receive any payment for or on behalf of any Borrower on any Indebtedness owing by any Borrower (or through any Guarantor of Payment) pursuant to this Agreement (whether by voluntary payment, by realization upon security, by reason of offset of any deposit or other indebtedness, by counterclaim or cross-action, by the enforcement of any right under any Loan Document, or otherwise); or</w:t>
      </w:r>
    </w:p>
    <w:p>
      <w:pPr>
        <w:pStyle w:val="TextBody"/>
        <w:bidi w:val="0"/>
        <w:spacing w:lineRule="auto" w:line="285"/>
        <w:ind w:left="0" w:right="0" w:hanging="0"/>
        <w:jc w:val="both"/>
        <w:rPr>
          <w:rFonts w:ascii="Times New Roman;Times;serif" w:hAnsi="Times New Roman;Times;serif"/>
          <w:sz w:val="22"/>
        </w:rPr>
      </w:pPr>
      <w:r>
        <w:rPr>
          <w:rFonts w:ascii="Times New Roman;Times;serif" w:hAnsi="Times New Roman;Times;serif"/>
          <w:sz w:val="22"/>
        </w:rPr>
        <w:t>(b)if any Lender (or affiliate of a Lender) (i) maintains Deposit Accounts or Securities Account of any Borrower or any Domestic Subsidiary, and (ii) exercises a right of offset or takes other action against such Deposit Accounts or Securities Accounts;</w:t>
      </w:r>
    </w:p>
    <w:p>
      <w:pPr>
        <w:pStyle w:val="TextBody"/>
        <w:bidi w:val="0"/>
        <w:spacing w:lineRule="auto" w:line="285" w:before="0" w:after="240"/>
        <w:ind w:left="0" w:right="0" w:hanging="0"/>
        <w:jc w:val="both"/>
        <w:rPr>
          <w:rFonts w:ascii="Aptos" w:hAnsi="Aptos"/>
          <w:sz w:val="22"/>
        </w:rPr>
      </w:pPr>
      <w:r>
        <w:rPr>
          <w:rFonts w:ascii="Times New Roman;Times;serif" w:hAnsi="Times New Roman;Times;serif"/>
          <w:sz w:val="22"/>
        </w:rPr>
        <w:t xml:space="preserve">then such Lender will apply all such payments (other than Customary Setoffs with respect to the Deposit Accounts or Securities Accounts referenced in subpart (b) above) first to any and all Obligations owing by Borrowers to that Lender (including, without limitation, any participation purchased or to be purchased pursuant to this </w:t>
      </w:r>
      <w:r>
        <w:rPr>
          <w:rFonts w:ascii="Times New Roman;Times;serif" w:hAnsi="Times New Roman;Times;serif"/>
          <w:sz w:val="22"/>
          <w:u w:val="single"/>
        </w:rPr>
        <w:t>Section 8.5</w:t>
      </w:r>
      <w:r>
        <w:rPr>
          <w:rFonts w:ascii="Aptos" w:hAnsi="Aptos"/>
          <w:sz w:val="22"/>
        </w:rPr>
        <w:t xml:space="preserve"> </w:t>
      </w:r>
      <w:r>
        <w:rPr>
          <w:rFonts w:ascii="Times New Roman;Times;serif" w:hAnsi="Times New Roman;Times;serif"/>
          <w:sz w:val="22"/>
        </w:rPr>
        <w:t xml:space="preserve">or any other section of this Agreement), and to the extent not prohibited by law, to the remainder of the Obligations (and the Secured Obligations in accordance with </w:t>
      </w:r>
      <w:r>
        <w:rPr>
          <w:rFonts w:ascii="Times New Roman;Times;serif" w:hAnsi="Times New Roman;Times;serif"/>
          <w:sz w:val="22"/>
          <w:u w:val="single"/>
        </w:rPr>
        <w:t>Section 8.6</w:t>
      </w:r>
      <w:r>
        <w:rPr>
          <w:rFonts w:ascii="Aptos" w:hAnsi="Aptos"/>
          <w:sz w:val="22"/>
        </w:rPr>
        <w:t xml:space="preserve"> </w:t>
      </w:r>
      <w:r>
        <w:rPr>
          <w:rFonts w:ascii="Times New Roman;Times;serif" w:hAnsi="Times New Roman;Times;serif"/>
          <w:sz w:val="22"/>
        </w:rPr>
        <w:t xml:space="preserve">hereof).  Each Credit Party agrees that any Lender so purchasing a participation from the other Lenders or any thereof pursuant to this </w:t>
      </w:r>
      <w:r>
        <w:rPr>
          <w:rFonts w:ascii="Times New Roman;Times;serif" w:hAnsi="Times New Roman;Times;serif"/>
          <w:sz w:val="22"/>
          <w:u w:val="single"/>
        </w:rPr>
        <w:t>Section 8.5</w:t>
      </w:r>
      <w:r>
        <w:rPr>
          <w:rFonts w:ascii="Times New Roman;Times;serif" w:hAnsi="Times New Roman;Times;serif"/>
          <w:sz w:val="22"/>
        </w:rPr>
        <w:t>, or exercising rights under this provision, may exercise all of its rights of payment (including the right of set-off) with respect to such participation or otherwise as fully as if such Lender were a direct creditor of such Credit Party in the amount of such participation.</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8.6</w:t>
      </w:r>
      <w:bookmarkStart w:id="2002" w:name="_Toc236844393"/>
      <w:bookmarkStart w:id="2003" w:name="_Toc172896739"/>
      <w:bookmarkEnd w:id="2002"/>
      <w:bookmarkEnd w:id="2003"/>
      <w:r>
        <w:rPr>
          <w:rFonts w:ascii="Times New Roman;Times;serif" w:hAnsi="Times New Roman;Times;serif"/>
          <w:sz w:val="22"/>
          <w:u w:val="single"/>
        </w:rPr>
        <w:t>Other Remedies</w:t>
      </w:r>
      <w:r>
        <w:rPr>
          <w:rFonts w:ascii="Times New Roman;Times;serif" w:hAnsi="Times New Roman;Times;serif"/>
          <w:sz w:val="22"/>
        </w:rPr>
        <w:t xml:space="preserve">.  The remedies in this </w:t>
      </w:r>
      <w:r>
        <w:rPr>
          <w:rFonts w:ascii="Times New Roman;Times;serif" w:hAnsi="Times New Roman;Times;serif"/>
          <w:sz w:val="22"/>
          <w:u w:val="single"/>
        </w:rPr>
        <w:t>Article VIII</w:t>
      </w:r>
      <w:r>
        <w:rPr>
          <w:rFonts w:ascii="Aptos" w:hAnsi="Aptos"/>
          <w:sz w:val="24"/>
        </w:rPr>
        <w:t xml:space="preserve"> </w:t>
      </w:r>
      <w:r>
        <w:rPr>
          <w:rFonts w:ascii="Times New Roman;Times;serif" w:hAnsi="Times New Roman;Times;serif"/>
          <w:sz w:val="22"/>
        </w:rPr>
        <w:t xml:space="preserve">are in addition to, not in limitation of, any other right, power, privilege, or remedy, either in law, in equity, or otherwise, to which the Lenders may be entitled.  Agent shall exercise the rights under this </w:t>
      </w:r>
      <w:r>
        <w:rPr>
          <w:rFonts w:ascii="Times New Roman;Times;serif" w:hAnsi="Times New Roman;Times;serif"/>
          <w:sz w:val="22"/>
          <w:u w:val="single"/>
        </w:rPr>
        <w:t>Article VIII</w:t>
      </w:r>
      <w:r>
        <w:rPr>
          <w:rFonts w:ascii="Aptos" w:hAnsi="Aptos"/>
          <w:sz w:val="24"/>
        </w:rPr>
        <w:t xml:space="preserve"> </w:t>
      </w:r>
      <w:r>
        <w:rPr>
          <w:rFonts w:ascii="Times New Roman;Times;serif" w:hAnsi="Times New Roman;Times;serif"/>
          <w:sz w:val="22"/>
        </w:rPr>
        <w:t>and all other collection efforts on behalf of the Lenders and no Lender shall act independently with respect thereto, except as otherwise specifically set forth in this Agreement.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114</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8.7</w:t>
      </w:r>
      <w:bookmarkStart w:id="2004" w:name="_Toc236844394"/>
      <w:bookmarkStart w:id="2005" w:name="_Toc172896740"/>
      <w:bookmarkEnd w:id="2004"/>
      <w:bookmarkEnd w:id="2005"/>
      <w:r>
        <w:rPr>
          <w:rFonts w:ascii="Times New Roman;Times;serif" w:hAnsi="Times New Roman;Times;serif"/>
          <w:sz w:val="22"/>
          <w:u w:val="single"/>
        </w:rPr>
        <w:t>Application of Proceeds</w:t>
      </w:r>
      <w:r>
        <w:rPr>
          <w:rFonts w:ascii="Times New Roman;Times;serif" w:hAnsi="Times New Roman;Times;serif"/>
          <w:sz w:val="22"/>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(a)</w:t>
      </w:r>
      <w:r>
        <w:rPr>
          <w:rFonts w:ascii="Times New Roman;Times;serif" w:hAnsi="Times New Roman;Times;serif"/>
          <w:sz w:val="22"/>
          <w:u w:val="single"/>
        </w:rPr>
        <w:t>Payments Prior to Exercise of Remedies</w:t>
      </w:r>
      <w:r>
        <w:rPr>
          <w:rFonts w:ascii="Times New Roman;Times;serif" w:hAnsi="Times New Roman;Times;serif"/>
          <w:sz w:val="22"/>
        </w:rPr>
        <w:t xml:space="preserve">.  Prior to the exercise by Agent, on behalf of the Lenders, of remedies under this Agreement or the other Loan Documents, all monies received by Agent shall be applied, unless otherwise required by the terms of the other Loan Documents or by applicable law, with respect to payments received in connection with the Revolving Credit Commitment, to the Revolving Lenders;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 xml:space="preserve">that Agent shall have the right at all times to apply any payment received from US Borrower first to the payment of all obligations (to the extent not paid by Borrowers) incurred by Agent pursuant to </w:t>
      </w:r>
      <w:r>
        <w:rPr>
          <w:rFonts w:ascii="Times New Roman;Times;serif" w:hAnsi="Times New Roman;Times;serif"/>
          <w:sz w:val="22"/>
          <w:u w:val="single"/>
        </w:rPr>
        <w:t>Section 11.5</w:t>
      </w:r>
      <w:r>
        <w:rPr>
          <w:rFonts w:ascii="Aptos" w:hAnsi="Aptos"/>
          <w:sz w:val="24"/>
        </w:rPr>
        <w:t xml:space="preserve"> </w:t>
      </w:r>
      <w:r>
        <w:rPr>
          <w:rFonts w:ascii="Times New Roman;Times;serif" w:hAnsi="Times New Roman;Times;serif"/>
          <w:sz w:val="22"/>
        </w:rPr>
        <w:t>hereof and to the payment of Related Expenses.</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(b)</w:t>
      </w:r>
      <w:r>
        <w:rPr>
          <w:rFonts w:ascii="Times New Roman;Times;serif" w:hAnsi="Times New Roman;Times;serif"/>
          <w:sz w:val="22"/>
          <w:u w:val="single"/>
        </w:rPr>
        <w:t>Payments Subsequent to Exercise of Remedies</w:t>
      </w:r>
      <w:r>
        <w:rPr>
          <w:rFonts w:ascii="Times New Roman;Times;serif" w:hAnsi="Times New Roman;Times;serif"/>
          <w:sz w:val="22"/>
        </w:rPr>
        <w:t>.  After the exercise by Agent or the Required Lenders of remedies under this Agreement or the other Loan Documents, all monies received by Agent shall be applied, unless otherwise required by the terms of the other Loan Documents or by applicable law, as follows:</w:t>
      </w:r>
    </w:p>
    <w:p>
      <w:pPr>
        <w:pStyle w:val="TextBody"/>
        <w:bidi w:val="0"/>
        <w:spacing w:lineRule="auto" w:line="285" w:before="0" w:after="240"/>
        <w:ind w:left="720" w:right="0" w:hanging="0"/>
        <w:jc w:val="both"/>
        <w:rPr>
          <w:rFonts w:ascii="Times New Roman;Times;serif" w:hAnsi="Times New Roman;Times;serif"/>
          <w:sz w:val="22"/>
        </w:rPr>
      </w:pPr>
      <w:r>
        <w:rPr>
          <w:rFonts w:ascii="Times New Roman;Times;serif" w:hAnsi="Times New Roman;Times;serif"/>
          <w:sz w:val="22"/>
        </w:rPr>
        <w:t>(i)with respect to:</w:t>
      </w:r>
    </w:p>
    <w:p>
      <w:pPr>
        <w:pStyle w:val="TextBody"/>
        <w:bidi w:val="0"/>
        <w:spacing w:lineRule="auto" w:line="285" w:before="0" w:after="240"/>
        <w:ind w:left="1440" w:right="0" w:hanging="0"/>
        <w:jc w:val="both"/>
        <w:rPr>
          <w:rFonts w:ascii="Aptos" w:hAnsi="Aptos"/>
          <w:sz w:val="24"/>
        </w:rPr>
      </w:pPr>
      <w:r>
        <w:rPr>
          <w:rFonts w:ascii="Times New Roman;Times;serif" w:hAnsi="Times New Roman;Times;serif"/>
          <w:sz w:val="24"/>
        </w:rPr>
        <w:t>(A)</w:t>
      </w:r>
      <w:r>
        <w:rPr>
          <w:rFonts w:ascii="Times New Roman;Times;serif" w:hAnsi="Times New Roman;Times;serif"/>
          <w:sz w:val="22"/>
        </w:rPr>
        <w:t>payments from assets of Companies organized in the United States (or a state thereof), (1) first, to the Obligations (and Secured Obligations if such payments are from proceeds of Collateral) of US Borrower, and (2) second, to the Obligations (and Secured Obligations if such payments are from proceeds of Collateral) of any other Borrowers, in each case applied in accordance with the Waterfall;</w:t>
      </w:r>
    </w:p>
    <w:p>
      <w:pPr>
        <w:pStyle w:val="TextBody"/>
        <w:bidi w:val="0"/>
        <w:spacing w:lineRule="auto" w:line="285" w:before="0" w:after="240"/>
        <w:ind w:left="1440" w:right="0" w:hanging="0"/>
        <w:jc w:val="both"/>
        <w:rPr>
          <w:rFonts w:ascii="Aptos" w:hAnsi="Aptos"/>
          <w:sz w:val="24"/>
        </w:rPr>
      </w:pPr>
      <w:r>
        <w:rPr>
          <w:rFonts w:ascii="Times New Roman;Times;serif" w:hAnsi="Times New Roman;Times;serif"/>
          <w:sz w:val="24"/>
        </w:rPr>
        <w:t>(B)</w:t>
      </w:r>
      <w:r>
        <w:rPr>
          <w:rFonts w:ascii="Times New Roman;Times;serif" w:hAnsi="Times New Roman;Times;serif"/>
          <w:sz w:val="22"/>
        </w:rPr>
        <w:t>payments from assets of Companies that are not organized in the United States (or a state thereof), to the Obligations (and Secured Obligations if such payments are from proceeds of Collateral) of the Foreign Borrowers, applied in accordance with the Waterfall; and</w:t>
      </w:r>
    </w:p>
    <w:p>
      <w:pPr>
        <w:pStyle w:val="TextBody"/>
        <w:bidi w:val="0"/>
        <w:spacing w:lineRule="auto" w:line="285" w:before="0" w:after="0"/>
        <w:ind w:left="1440" w:right="0" w:hanging="0"/>
        <w:jc w:val="both"/>
        <w:rPr>
          <w:rFonts w:ascii="Aptos" w:hAnsi="Aptos"/>
          <w:sz w:val="24"/>
        </w:rPr>
      </w:pPr>
      <w:r>
        <w:rPr>
          <w:rFonts w:ascii="Times New Roman;Times;serif" w:hAnsi="Times New Roman;Times;serif"/>
          <w:sz w:val="24"/>
        </w:rPr>
        <w:t>(C)</w:t>
      </w:r>
      <w:r>
        <w:rPr>
          <w:rFonts w:ascii="Times New Roman;Times;serif" w:hAnsi="Times New Roman;Times;serif"/>
          <w:sz w:val="22"/>
        </w:rPr>
        <w:t>any other payments, in accordance with the Waterfall; and</w:t>
      </w:r>
    </w:p>
    <w:p>
      <w:pPr>
        <w:pStyle w:val="TextBody"/>
        <w:bidi w:val="0"/>
        <w:spacing w:lineRule="auto" w:line="285" w:before="0" w:after="240"/>
        <w:ind w:left="720" w:right="0" w:hanging="0"/>
        <w:jc w:val="both"/>
        <w:rPr>
          <w:rFonts w:ascii="Aptos" w:hAnsi="Aptos"/>
          <w:sz w:val="24"/>
        </w:rPr>
      </w:pPr>
      <w:r>
        <w:rPr>
          <w:rFonts w:ascii="Times New Roman;Times;serif" w:hAnsi="Times New Roman;Times;serif"/>
          <w:sz w:val="22"/>
        </w:rPr>
        <w:t>(ii)in accordance with the following priority (the “</w:t>
      </w:r>
      <w:r>
        <w:rPr>
          <w:rFonts w:ascii="Times New Roman;Times;serif" w:hAnsi="Times New Roman;Times;serif"/>
          <w:sz w:val="22"/>
          <w:u w:val="single"/>
        </w:rPr>
        <w:t>Waterfall</w:t>
      </w:r>
      <w:r>
        <w:rPr>
          <w:rFonts w:ascii="Aptos" w:hAnsi="Aptos"/>
          <w:sz w:val="24"/>
        </w:rPr>
        <w:t>”</w:t>
      </w:r>
      <w:r>
        <w:rPr>
          <w:rFonts w:ascii="Times New Roman;Times;serif" w:hAnsi="Times New Roman;Times;serif"/>
          <w:sz w:val="22"/>
        </w:rPr>
        <w:t>):</w:t>
      </w:r>
    </w:p>
    <w:p>
      <w:pPr>
        <w:pStyle w:val="TextBody"/>
        <w:bidi w:val="0"/>
        <w:spacing w:lineRule="auto" w:line="285" w:before="0" w:after="240"/>
        <w:ind w:left="1440" w:right="0" w:hanging="0"/>
        <w:jc w:val="both"/>
        <w:rPr>
          <w:rFonts w:ascii="Aptos" w:hAnsi="Aptos"/>
          <w:sz w:val="24"/>
        </w:rPr>
      </w:pPr>
      <w:r>
        <w:rPr>
          <w:rFonts w:ascii="Times New Roman;Times;serif" w:hAnsi="Times New Roman;Times;serif"/>
          <w:sz w:val="24"/>
        </w:rPr>
        <w:t>(A)</w:t>
      </w:r>
      <w:r>
        <w:rPr>
          <w:rFonts w:ascii="Times New Roman;Times;serif" w:hAnsi="Times New Roman;Times;serif"/>
          <w:sz w:val="22"/>
        </w:rPr>
        <w:t xml:space="preserve">first, to the extent incurred in connection with obligations payable by a specific Borrower, to the payment of all obligations (to the extent not paid by Borrowers) incurred by Agent pursuant to </w:t>
      </w:r>
      <w:r>
        <w:rPr>
          <w:rFonts w:ascii="Times New Roman;Times;serif" w:hAnsi="Times New Roman;Times;serif"/>
          <w:sz w:val="22"/>
          <w:u w:val="single"/>
        </w:rPr>
        <w:t>Section 11.5</w:t>
      </w:r>
      <w:r>
        <w:rPr>
          <w:rFonts w:ascii="Aptos" w:hAnsi="Aptos"/>
          <w:sz w:val="24"/>
        </w:rPr>
        <w:t xml:space="preserve"> </w:t>
      </w:r>
      <w:r>
        <w:rPr>
          <w:rFonts w:ascii="Times New Roman;Times;serif" w:hAnsi="Times New Roman;Times;serif"/>
          <w:sz w:val="22"/>
        </w:rPr>
        <w:t>hereof and to the payment of Related Expenses;</w:t>
      </w:r>
    </w:p>
    <w:p>
      <w:pPr>
        <w:pStyle w:val="TextBody"/>
        <w:bidi w:val="0"/>
        <w:spacing w:lineRule="auto" w:line="285" w:before="0" w:after="240"/>
        <w:ind w:left="1440" w:right="0" w:hanging="0"/>
        <w:jc w:val="both"/>
        <w:rPr>
          <w:rFonts w:ascii="Aptos" w:hAnsi="Aptos"/>
          <w:sz w:val="24"/>
        </w:rPr>
      </w:pPr>
      <w:r>
        <w:rPr>
          <w:rFonts w:ascii="Times New Roman;Times;serif" w:hAnsi="Times New Roman;Times;serif"/>
          <w:sz w:val="24"/>
        </w:rPr>
        <w:t>(B)</w:t>
      </w:r>
      <w:r>
        <w:rPr>
          <w:rFonts w:ascii="Times New Roman;Times;serif" w:hAnsi="Times New Roman;Times;serif"/>
          <w:sz w:val="22"/>
        </w:rPr>
        <w:t>second, to the extent incurred in connection with the obligations payable by a specific Borrower, to the payment pro rata of (1) interest then accrued and payable on the outstanding Loans, (2) any fees then accrued and payable to Agent, and (3) any fees then accrued and payable to the Fronting Lender or the holders of the Letter of Credit Commitment in respect of the Letter of Credit Exposure;</w:t>
      </w:r>
    </w:p>
    <w:p>
      <w:pPr>
        <w:pStyle w:val="TextBody"/>
        <w:bidi w:val="0"/>
        <w:spacing w:lineRule="auto" w:line="285" w:before="0" w:after="240"/>
        <w:ind w:left="1440" w:right="0" w:hanging="0"/>
        <w:jc w:val="both"/>
        <w:rPr>
          <w:rFonts w:ascii="Aptos" w:hAnsi="Aptos"/>
          <w:sz w:val="24"/>
        </w:rPr>
      </w:pPr>
      <w:r>
        <w:rPr>
          <w:rFonts w:ascii="Times New Roman;Times;serif" w:hAnsi="Times New Roman;Times;serif"/>
          <w:sz w:val="24"/>
        </w:rPr>
        <w:t>(C)</w:t>
      </w:r>
      <w:r>
        <w:rPr>
          <w:rFonts w:ascii="Times New Roman;Times;serif" w:hAnsi="Times New Roman;Times;serif"/>
          <w:sz w:val="22"/>
        </w:rPr>
        <w:t xml:space="preserve">third, for payment of (1) principal outstanding on the Loans and the Letter of Credit Exposure, on a pro rata basis to the Lenders, based upon each such Lender’s Commitment Percentage,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 xml:space="preserve">that the amounts payable in respect of the Letter of Credit Exposure shall be held and applied by Agent as security for the reimbursement obligations in respect thereof, and, if any Letter of Credit shall expire without being drawn, then the amount with respect to such Letter of Credit shall be distributed to the Lenders, on a pro rata basis in accordance with this subsection (C), (2) the Indebtedness under any Secured Hedge Agreement, such amount to be based upon the net termination obligation of Borrowers under such Secured Hedge Agreement, and (3) the Bank Product Obligations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115</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1440" w:right="0" w:hanging="0"/>
        <w:jc w:val="both"/>
        <w:rPr>
          <w:rFonts w:ascii="Times New Roman;Times;serif" w:hAnsi="Times New Roman;Times;serif"/>
          <w:sz w:val="22"/>
        </w:rPr>
      </w:pPr>
      <w:r>
        <w:rPr>
          <w:rFonts w:ascii="Times New Roman;Times;serif" w:hAnsi="Times New Roman;Times;serif"/>
          <w:sz w:val="22"/>
        </w:rPr>
        <w:t>owing to a Lender (or an entity that is an affiliate of a then existing Lender) under Bank Product Agreements; with such payment to be pro rata among (1), (2) and (3) of this subsection (C); and</w:t>
      </w:r>
    </w:p>
    <w:p>
      <w:pPr>
        <w:pStyle w:val="TextBody"/>
        <w:bidi w:val="0"/>
        <w:spacing w:lineRule="auto" w:line="285" w:before="0" w:after="0"/>
        <w:ind w:left="1440" w:right="0" w:hanging="0"/>
        <w:jc w:val="both"/>
        <w:rPr>
          <w:rFonts w:ascii="Aptos" w:hAnsi="Aptos"/>
          <w:sz w:val="24"/>
        </w:rPr>
      </w:pPr>
      <w:r>
        <w:rPr>
          <w:rFonts w:ascii="Times New Roman;Times;serif" w:hAnsi="Times New Roman;Times;serif"/>
          <w:sz w:val="24"/>
        </w:rPr>
        <w:t>(D)</w:t>
      </w:r>
      <w:r>
        <w:rPr>
          <w:rFonts w:ascii="Times New Roman;Times;serif" w:hAnsi="Times New Roman;Times;serif"/>
          <w:sz w:val="22"/>
        </w:rPr>
        <w:t>finally, any remaining surplus after all of the Secured Obligations have been paid in full, to Administrative Borrower for distribution to the appropriate Borrowers, or to whomsoever shall be lawfully entitled thereto.</w:t>
      </w:r>
    </w:p>
    <w:p>
      <w:pPr>
        <w:pStyle w:val="TextBody"/>
        <w:bidi w:val="0"/>
        <w:spacing w:lineRule="auto" w:line="285"/>
        <w:ind w:left="0" w:right="0" w:hanging="0"/>
        <w:jc w:val="center"/>
        <w:rPr>
          <w:rFonts w:ascii="Aptos" w:hAnsi="Aptos"/>
          <w:sz w:val="24"/>
        </w:rPr>
      </w:pPr>
      <w:r>
        <w:rPr>
          <w:rFonts w:ascii="Times New Roman;Times;serif" w:hAnsi="Times New Roman;Times;serif"/>
          <w:caps/>
          <w:sz w:val="22"/>
        </w:rPr>
        <w:t>ARTICLE IX.</w:t>
      </w:r>
      <w:r>
        <w:rPr>
          <w:rFonts w:ascii="Aptos" w:hAnsi="Aptos"/>
          <w:caps/>
          <w:sz w:val="24"/>
        </w:rPr>
        <w:t xml:space="preserve"> </w:t>
      </w:r>
      <w:bookmarkStart w:id="2006" w:name="_Toc236844395"/>
      <w:bookmarkStart w:id="2007" w:name="_Toc172896741"/>
      <w:bookmarkEnd w:id="2006"/>
      <w:bookmarkEnd w:id="2007"/>
      <w:r>
        <w:rPr>
          <w:rFonts w:ascii="Times New Roman;Times;serif" w:hAnsi="Times New Roman;Times;serif"/>
          <w:caps/>
          <w:sz w:val="22"/>
        </w:rPr>
        <w:t>THE AGENT</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The Lenders authorize Wells Fargo and Wells Fargo hereby agrees to act as agent for the Lenders in respect of this Agreement upon the terms and conditions set forth elsewhere in this Agreement, and upon the following terms and conditions:</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9.1</w:t>
      </w:r>
      <w:bookmarkStart w:id="2008" w:name="_Toc236844396"/>
      <w:bookmarkStart w:id="2009" w:name="_Toc172896742"/>
      <w:bookmarkEnd w:id="2008"/>
      <w:bookmarkEnd w:id="2009"/>
      <w:r>
        <w:rPr>
          <w:rFonts w:ascii="Times New Roman;Times;serif" w:hAnsi="Times New Roman;Times;serif"/>
          <w:sz w:val="22"/>
          <w:u w:val="single"/>
        </w:rPr>
        <w:t>Appointment and Authorization</w:t>
      </w:r>
      <w:r>
        <w:rPr>
          <w:rFonts w:ascii="Times New Roman;Times;serif" w:hAnsi="Times New Roman;Times;serif"/>
          <w:sz w:val="22"/>
        </w:rPr>
        <w:t>.  Each Lender hereby irrevocably appoints Wells Fargo as Agent hereunder and authorizes Agent to take such action as agent on its behalf and to exercise such powers hereunder as are delegated to Agent by the terms hereof, together with such powers as are reasonably incidental thereto, including, without limitation, to execute Additional Foreign Borrower Assumption Agreements on behalf of the Lenders, and to execute various Loan Documents pertaining to the Foreign Borrower and Foreign Guarantors of Payment on behalf of the Lenders.  Neither Agent nor any of its affiliates, directors, officers, attorneys or employees shall (a) be liable for any action taken or omitted to be taken by it or them hereunder or in connection herewith, except for its or their own gross negligence or willful misconduct (as determined by a court of competent jurisdiction), or be responsible in any manner to any of the Lenders for the effectiveness, enforceability, genuineness, validity or due execution of this Agreement or any other Loan Documents, (b) be under any obligation to any Lender to ascertain or to inquire as to the performance or observance of any of the terms, covenants or conditions hereof or thereof on the part of Borrowers or any other Company, or the financial condition of Borrowers or any other Company, or (c) be liable to any of the Companies for consequential damages resulting from any breach of contract, tort or other wrong in connection with the negotiation, documentation, administration or collection of the Loans or Letters of Credit or any of the Loan Documents.  Notwithstanding any provision to the contrary contained in this Agreement or in any other Loan Document, Agent shall not have any duty or responsibility except those expressly set forth herein, nor shall Agent have or be deemed to have any fiduciary relationship with any Lender or participant, and no implied covenants, functions, responsibilities, duties, obligations or liabilities shall be read into this Agreement or any other Loan Document or otherwise exist against Agent.  Without limiting the generality of the foregoing sentence, the use of the term “agent” herein and in other Loan Documents with reference to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9.2</w:t>
      </w:r>
      <w:bookmarkStart w:id="2010" w:name="_Toc236844397"/>
      <w:bookmarkStart w:id="2011" w:name="_Toc172896743"/>
      <w:bookmarkEnd w:id="2010"/>
      <w:bookmarkEnd w:id="2011"/>
      <w:r>
        <w:rPr>
          <w:rFonts w:ascii="Times New Roman;Times;serif" w:hAnsi="Times New Roman;Times;serif"/>
          <w:sz w:val="22"/>
          <w:u w:val="single"/>
        </w:rPr>
        <w:t>Note Holders</w:t>
      </w:r>
      <w:r>
        <w:rPr>
          <w:rFonts w:ascii="Times New Roman;Times;serif" w:hAnsi="Times New Roman;Times;serif"/>
          <w:sz w:val="22"/>
        </w:rPr>
        <w:t>.  Agent may treat the payee of any Note as the holder thereof (or, if there is no Note, the holder of the interest as reflected on the books and records of Agent) until written notice of transfer shall have been filed with Agent, signed by such payee and in form satisfactory to Agent.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9.3</w:t>
      </w:r>
      <w:bookmarkStart w:id="2012" w:name="_Toc236844398"/>
      <w:bookmarkStart w:id="2013" w:name="_Toc172896744"/>
      <w:bookmarkEnd w:id="2012"/>
      <w:bookmarkEnd w:id="2013"/>
      <w:r>
        <w:rPr>
          <w:rFonts w:ascii="Times New Roman;Times;serif" w:hAnsi="Times New Roman;Times;serif"/>
          <w:sz w:val="22"/>
          <w:u w:val="single"/>
        </w:rPr>
        <w:t>Consultation With Counsel</w:t>
      </w:r>
      <w:r>
        <w:rPr>
          <w:rFonts w:ascii="Times New Roman;Times;serif" w:hAnsi="Times New Roman;Times;serif"/>
          <w:sz w:val="22"/>
        </w:rPr>
        <w:t>.  Agent may consult with legal counsel selected by Agent and shall not be liable for any action taken or suffered in good faith by Agent in accordance with the opinion of such counsel.</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9.4</w:t>
      </w:r>
      <w:bookmarkStart w:id="2014" w:name="_Toc236844399"/>
      <w:bookmarkStart w:id="2015" w:name="_Toc172896745"/>
      <w:bookmarkEnd w:id="2014"/>
      <w:bookmarkEnd w:id="2015"/>
      <w:r>
        <w:rPr>
          <w:rFonts w:ascii="Times New Roman;Times;serif" w:hAnsi="Times New Roman;Times;serif"/>
          <w:sz w:val="22"/>
          <w:u w:val="single"/>
        </w:rPr>
        <w:t>Documents</w:t>
      </w:r>
      <w:r>
        <w:rPr>
          <w:rFonts w:ascii="Times New Roman;Times;serif" w:hAnsi="Times New Roman;Times;serif"/>
          <w:sz w:val="22"/>
        </w:rPr>
        <w:t xml:space="preserve">.  Agent shall not be under any duty to examine into or pass upon the validity, effectiveness, genuineness or value of any Loan Document or any other Related Writing furnished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116</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pursuant hereto or in connection herewith or the value of any collateral obtained hereunder, and Agent shall be entitled to assume that the same are valid, effective and genuine and what they purport to be.</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9.5</w:t>
      </w:r>
      <w:bookmarkStart w:id="2016" w:name="_Toc236844400"/>
      <w:bookmarkStart w:id="2017" w:name="_Toc172896746"/>
      <w:bookmarkEnd w:id="2016"/>
      <w:bookmarkEnd w:id="2017"/>
      <w:r>
        <w:rPr>
          <w:rFonts w:ascii="Times New Roman;Times;serif" w:hAnsi="Times New Roman;Times;serif"/>
          <w:sz w:val="22"/>
          <w:u w:val="single"/>
        </w:rPr>
        <w:t>Agent and Affiliates</w:t>
      </w:r>
      <w:r>
        <w:rPr>
          <w:rFonts w:ascii="Times New Roman;Times;serif" w:hAnsi="Times New Roman;Times;serif"/>
          <w:sz w:val="22"/>
        </w:rPr>
        <w:t>.  Wells Fargo and its affiliates may make loans to, issue letters of credit for the account of, accept deposits from, acquire equity interests in and generally engage in any kind of banking, trust, financial advisory, underwriting or other business with the Companies and Affiliates as though Wells Fargo were not Agent hereunder and without notice to or consent of any Lender.  Each Lender acknowledges that, pursuant to such activities, Wells Fargo or its affiliates may receive information regarding any Company or any Affiliate (including information that may be subject to confidentiality obligations in favor of such Company or such Affiliate) and acknowledge that Agent shall be under no obligation to provide such information to other Lenders.  With respect to Loans and Letters of Credit (if any), Wells Fargo and its affiliates shall have the same rights and powers under this Agreement as any other Lender and may exercise the same as though Wells Fargo were not Agent, and the terms “Lender” and “Lenders” include Wells Fargo and its affiliates, to the extent applicable, in their individual capacities.</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9.6</w:t>
      </w:r>
      <w:bookmarkStart w:id="2018" w:name="_Toc236844401"/>
      <w:bookmarkStart w:id="2019" w:name="_Toc172896747"/>
      <w:bookmarkEnd w:id="2018"/>
      <w:bookmarkEnd w:id="2019"/>
      <w:r>
        <w:rPr>
          <w:rFonts w:ascii="Times New Roman;Times;serif" w:hAnsi="Times New Roman;Times;serif"/>
          <w:sz w:val="22"/>
          <w:u w:val="single"/>
        </w:rPr>
        <w:t>Knowledge or Notice of Default</w:t>
      </w:r>
      <w:r>
        <w:rPr>
          <w:rFonts w:ascii="Times New Roman;Times;serif" w:hAnsi="Times New Roman;Times;serif"/>
          <w:sz w:val="22"/>
        </w:rPr>
        <w:t xml:space="preserve">.  Agent shall not be deemed to have knowledge or notice of the occurrence of any Default or Event of Default unless Agent has received written notice from a Lender or Administrative Borrower referring to this Agreement, describing such Default or Event of Default and stating that such notice is a “notice of default”. In the event that Agent receives such a notice, Agent shall give notice thereof to the Lenders. Agent shall take such action with respect to such Default or Event of Default as shall be reasonably directed by the Required Lenders (or, if so specified by this Agreement, all Lenders);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that, unless and until Agent shall have received such directions, Agent may (but shall not be obligated to) take such action, or refrain from taking such action, with respect to such Default or Event of Default as it shall deem advisable, in its discretion, for the protection of the interests of the Lenders.</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9.7</w:t>
      </w:r>
      <w:bookmarkStart w:id="2020" w:name="_Toc236844402"/>
      <w:bookmarkStart w:id="2021" w:name="_Toc172896748"/>
      <w:bookmarkEnd w:id="2020"/>
      <w:bookmarkEnd w:id="2021"/>
      <w:r>
        <w:rPr>
          <w:rFonts w:ascii="Times New Roman;Times;serif" w:hAnsi="Times New Roman;Times;serif"/>
          <w:sz w:val="22"/>
          <w:u w:val="single"/>
        </w:rPr>
        <w:t>Action by Agent</w:t>
      </w:r>
      <w:r>
        <w:rPr>
          <w:rFonts w:ascii="Times New Roman;Times;serif" w:hAnsi="Times New Roman;Times;serif"/>
          <w:sz w:val="22"/>
        </w:rPr>
        <w:t xml:space="preserve">.  Subject to the other terms and conditions hereof, so long as Agent shall be entitled, pursuant to </w:t>
      </w:r>
      <w:r>
        <w:rPr>
          <w:rFonts w:ascii="Times New Roman;Times;serif" w:hAnsi="Times New Roman;Times;serif"/>
          <w:sz w:val="22"/>
          <w:u w:val="single"/>
        </w:rPr>
        <w:t>Section 9.6</w:t>
      </w:r>
      <w:r>
        <w:rPr>
          <w:rFonts w:ascii="Aptos" w:hAnsi="Aptos"/>
          <w:sz w:val="24"/>
        </w:rPr>
        <w:t xml:space="preserve"> </w:t>
      </w:r>
      <w:r>
        <w:rPr>
          <w:rFonts w:ascii="Times New Roman;Times;serif" w:hAnsi="Times New Roman;Times;serif"/>
          <w:sz w:val="22"/>
        </w:rPr>
        <w:t>hereof, to assume that no Default or Event of Default shall have occurred and be continuing, Agent shall be entitled to use its discretion with respect to exercising or refraining from exercising any rights that may be vested in it by, or with respect to taking or refraining from taking any action or actions that it may be able to take under or in respect of, this Agreement.  Agent shall incur no liability under or in respect of this Agreement by acting upon any notice, certificate, warranty or other paper or instrument believed by it to be genuine or authentic or to be signed by the proper party or parties, or with respect to anything that it may do or refrain from doing in the reasonable exercise of its judgment, or that may seem to it to be necessary or desirable in the premises.  Without limiting the foregoing, no Lender shall have any right of action whatsoever against Agent as a result of Agent’s acting or refraining from acting hereunder in accordance with the instructions of the Required Lenders.</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9.8</w:t>
      </w:r>
      <w:bookmarkStart w:id="2022" w:name="_Toc236844403"/>
      <w:bookmarkStart w:id="2023" w:name="_Toc172896749"/>
      <w:bookmarkEnd w:id="2022"/>
      <w:bookmarkEnd w:id="2023"/>
      <w:r>
        <w:rPr>
          <w:rFonts w:ascii="Times New Roman;Times;serif" w:hAnsi="Times New Roman;Times;serif"/>
          <w:sz w:val="22"/>
          <w:u w:val="single"/>
        </w:rPr>
        <w:t>Release of Collateral or Guarantor of Payment</w:t>
      </w:r>
      <w:r>
        <w:rPr>
          <w:rFonts w:ascii="Times New Roman;Times;serif" w:hAnsi="Times New Roman;Times;serif"/>
          <w:sz w:val="22"/>
        </w:rPr>
        <w:t xml:space="preserve">.  In the event of a merger, sale of assets or other transaction permitted pursuant to </w:t>
      </w:r>
      <w:r>
        <w:rPr>
          <w:rFonts w:ascii="Times New Roman;Times;serif" w:hAnsi="Times New Roman;Times;serif"/>
          <w:sz w:val="22"/>
          <w:u w:val="single"/>
        </w:rPr>
        <w:t>Section 5.12</w:t>
      </w:r>
      <w:r>
        <w:rPr>
          <w:rFonts w:ascii="Aptos" w:hAnsi="Aptos"/>
          <w:sz w:val="24"/>
        </w:rPr>
        <w:t xml:space="preserve"> </w:t>
      </w:r>
      <w:r>
        <w:rPr>
          <w:rFonts w:ascii="Times New Roman;Times;serif" w:hAnsi="Times New Roman;Times;serif"/>
          <w:sz w:val="22"/>
        </w:rPr>
        <w:t xml:space="preserve">hereof or otherwise permitted pursuant to this Agreement, and so long as there is no Default or Event of Default existing, Agent, at the request and expense of US Borrower, is hereby authorized by the Lenders to (a) release such Collateral from this Agreement or any other Loan Document;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 xml:space="preserve">that the release of all or substantially all of the Collateral shall be subject to </w:t>
      </w:r>
      <w:r>
        <w:rPr>
          <w:rFonts w:ascii="Times New Roman;Times;serif" w:hAnsi="Times New Roman;Times;serif"/>
          <w:sz w:val="22"/>
          <w:u w:val="single"/>
        </w:rPr>
        <w:t>Section 11.3(b)(i)(E)</w:t>
      </w:r>
      <w:r>
        <w:rPr>
          <w:rFonts w:ascii="Aptos" w:hAnsi="Aptos"/>
          <w:sz w:val="24"/>
        </w:rPr>
        <w:t xml:space="preserve"> </w:t>
      </w:r>
      <w:r>
        <w:rPr>
          <w:rFonts w:ascii="Times New Roman;Times;serif" w:hAnsi="Times New Roman;Times;serif"/>
          <w:sz w:val="22"/>
        </w:rPr>
        <w:t xml:space="preserve">and </w:t>
      </w:r>
      <w:r>
        <w:rPr>
          <w:rFonts w:ascii="Times New Roman;Times;serif" w:hAnsi="Times New Roman;Times;serif"/>
          <w:sz w:val="22"/>
          <w:u w:val="single"/>
        </w:rPr>
        <w:t>(G)</w:t>
      </w:r>
      <w:r>
        <w:rPr>
          <w:rFonts w:ascii="Times New Roman;Times;serif" w:hAnsi="Times New Roman;Times;serif"/>
          <w:sz w:val="22"/>
        </w:rPr>
        <w:t xml:space="preserve">, (b) release a Guarantor of Payment or Foreign Borrower in connection with such permitted transfer or event;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 xml:space="preserve">that the release of a Guarantor of Payment shall be subject to </w:t>
      </w:r>
      <w:r>
        <w:rPr>
          <w:rFonts w:ascii="Times New Roman;Times;serif" w:hAnsi="Times New Roman;Times;serif"/>
          <w:sz w:val="22"/>
          <w:u w:val="single"/>
        </w:rPr>
        <w:t>Section 11.3(b)(i)(E)</w:t>
      </w:r>
      <w:r>
        <w:rPr>
          <w:rFonts w:ascii="Times New Roman;Times;serif" w:hAnsi="Times New Roman;Times;serif"/>
          <w:sz w:val="22"/>
        </w:rPr>
        <w:t xml:space="preserve">, and (c) duly assign, transfer and deliver to the affected Person (without recourse and without any representation or warranty) such Collateral as is then (or has been) so transferred or released and as may be in possession of Agent and has not theretofore been released pursuant to this Agreement;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 xml:space="preserve">that the release of all or substantially all of the Collateral shall be subject to </w:t>
      </w:r>
      <w:r>
        <w:rPr>
          <w:rFonts w:ascii="Times New Roman;Times;serif" w:hAnsi="Times New Roman;Times;serif"/>
          <w:sz w:val="22"/>
          <w:u w:val="single"/>
        </w:rPr>
        <w:t>Section 11.3(b)(i)(G)</w:t>
      </w:r>
      <w:r>
        <w:rPr>
          <w:rFonts w:ascii="Times New Roman;Times;serif" w:hAnsi="Times New Roman;Times;serif"/>
          <w:sz w:val="22"/>
        </w:rPr>
        <w:t xml:space="preserve">.  In the case of any sale, transfer or disposal of any property constituting Collateral in a Permitted Factoring Transaction, the Liens created by any of the Collateral Documents on such property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117</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shall be automatically released without need for further action by any person and each Lender hereby authorizes Agent to enter into such Lien releases and intercreditor arrangements in connection with any Permitted Factoring Transaction as it deems reasonably necessary or appropriate.</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9.9</w:t>
      </w:r>
      <w:bookmarkStart w:id="2024" w:name="_Toc236844404"/>
      <w:bookmarkStart w:id="2025" w:name="_Toc172896750"/>
      <w:bookmarkEnd w:id="2024"/>
      <w:bookmarkEnd w:id="2025"/>
      <w:r>
        <w:rPr>
          <w:rFonts w:ascii="Times New Roman;Times;serif" w:hAnsi="Times New Roman;Times;serif"/>
          <w:sz w:val="22"/>
          <w:u w:val="single"/>
        </w:rPr>
        <w:t>Delegation of Duties</w:t>
      </w:r>
      <w:r>
        <w:rPr>
          <w:rFonts w:ascii="Times New Roman;Times;serif" w:hAnsi="Times New Roman;Times;serif"/>
          <w:sz w:val="22"/>
        </w:rPr>
        <w:t>.  Agent may execute any of its duties under this Agreement or any other Loan Document by or through agents, employees or attorneys-in-fact and shall be entitled to advice of counsel and other consultants or experts concerning all matters pertaining to such duties.  Agent shall not be responsible for the negligence or misconduct of any agent or attorney-in-fact that it selects in the absence of gross negligence or willful misconduct, as determined by a court of competent jurisdiction.</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9.10</w:t>
      </w:r>
      <w:bookmarkStart w:id="2026" w:name="_Toc236844405"/>
      <w:bookmarkStart w:id="2027" w:name="_Toc172896751"/>
      <w:bookmarkEnd w:id="2026"/>
      <w:bookmarkEnd w:id="2027"/>
      <w:r>
        <w:rPr>
          <w:rFonts w:ascii="Times New Roman;Times;serif" w:hAnsi="Times New Roman;Times;serif"/>
          <w:sz w:val="22"/>
          <w:u w:val="single"/>
        </w:rPr>
        <w:t>Indemnification of Agent</w:t>
      </w:r>
      <w:r>
        <w:rPr>
          <w:rFonts w:ascii="Times New Roman;Times;serif" w:hAnsi="Times New Roman;Times;serif"/>
          <w:sz w:val="22"/>
        </w:rPr>
        <w:t xml:space="preserve">.  The Lenders agree to indemnify Agent (to the extent not reimbursed by Borrowers) ratably, according to their respective Commitment Percentages, from and against any and all liabilities, obligations, losses, damages, penalties, actions, judgments, suits, costs, expenses (including attorneys’ fees and expenses) or disbursements of any kind or nature whatsoever that may be imposed on, incurred by or asserted against Agent in its capacity as agent in any way relating to or arising out of this Agreement or any Loan Document or any action taken or omitted by Agent with respect to this Agreement or any Loan Document;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 xml:space="preserve">that no Lender shall be liable for any portion of such liabilities, obligations, losses, damages, penalties, actions, judgments, suits, costs, expenses (including attorneys’ fees and expenses) or disbursements resulting from Agent’s gross negligence or willful misconduct as determined by a court of competent jurisdiction, or from any action taken or omitted by Agent in any capacity other than as agent under this Agreement or any other Loan Document.  No action taken in accordance with the directions of the Required Lenders shall be deemed to constitute gross negligence or willful misconduct for purposes of this </w:t>
      </w:r>
      <w:r>
        <w:rPr>
          <w:rFonts w:ascii="Times New Roman;Times;serif" w:hAnsi="Times New Roman;Times;serif"/>
          <w:sz w:val="22"/>
          <w:u w:val="single"/>
        </w:rPr>
        <w:t>Section 9.10</w:t>
      </w:r>
      <w:r>
        <w:rPr>
          <w:rFonts w:ascii="Times New Roman;Times;serif" w:hAnsi="Times New Roman;Times;serif"/>
          <w:sz w:val="22"/>
        </w:rPr>
        <w:t xml:space="preserve">.  The undertaking in this </w:t>
      </w:r>
      <w:r>
        <w:rPr>
          <w:rFonts w:ascii="Times New Roman;Times;serif" w:hAnsi="Times New Roman;Times;serif"/>
          <w:sz w:val="22"/>
          <w:u w:val="single"/>
        </w:rPr>
        <w:t>Section 9.10</w:t>
      </w:r>
      <w:r>
        <w:rPr>
          <w:rFonts w:ascii="Aptos" w:hAnsi="Aptos"/>
          <w:sz w:val="24"/>
        </w:rPr>
        <w:t xml:space="preserve"> </w:t>
      </w:r>
      <w:r>
        <w:rPr>
          <w:rFonts w:ascii="Times New Roman;Times;serif" w:hAnsi="Times New Roman;Times;serif"/>
          <w:sz w:val="22"/>
        </w:rPr>
        <w:t>shall survive repayment of the Loans, cancellation of the Notes, if any, expiration or termination of the Letters of Credit, termination of the Commitment, any foreclosure under, or modification, release or discharge of, any or all of the Loan Documents, termination of this Agreement and the resignation or replacement of Agent.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9.11</w:t>
      </w:r>
      <w:bookmarkStart w:id="2028" w:name="_Toc236844406"/>
      <w:bookmarkStart w:id="2029" w:name="_Toc172896752"/>
      <w:bookmarkEnd w:id="2028"/>
      <w:bookmarkEnd w:id="2029"/>
      <w:r>
        <w:rPr>
          <w:rFonts w:ascii="Times New Roman;Times;serif" w:hAnsi="Times New Roman;Times;serif"/>
          <w:sz w:val="22"/>
          <w:u w:val="single"/>
        </w:rPr>
        <w:t>Successor Agent</w:t>
      </w:r>
      <w:r>
        <w:rPr>
          <w:rFonts w:ascii="Times New Roman;Times;serif" w:hAnsi="Times New Roman;Times;serif"/>
          <w:sz w:val="22"/>
        </w:rPr>
        <w:t xml:space="preserve">.  Agent may resign as agent hereunder by giving not fewer than thirty (30) days prior written notice to Administrative Borrower and the Lenders.  If Agent shall resign under this Agreement, then either (a) the Required Lenders shall appoint from among the Lenders a successor agent for the Lenders (with the consent of Administrative Borrower so long as an Event of Default does not exist and which consent shall not be unreasonably withheld), or (b) if a successor agent shall not be so appointed and approved within the thirty (30) day period following Agent’s notice to the Lenders of its resignation, then Agent shall appoint a successor agent that shall serve as agent until such time as the Required Lenders appoint a successor agent.  If no successor agent has accepted appointment as Agent by the date that is thirty (30) days following a retiring Agent’s notice of resignation, the retiring Agent’s resignation shall nevertheless thereupon become effective, and the Lenders shall assume and perform all of the duties of Agent hereunder until such time, if any, as the Required Lenders appoint a successor agent as provided for above.  Upon its appointment, such successor agent shall succeed to the rights, powers and duties as agent, and the term “Agent” means such successor effective upon its appointment, and the former agent’s rights, powers and duties as agent shall be terminated without any other or further act or deed on the part of such former agent or any of the parties to this Agreement.  After any retiring Agent’s resignation as Agent, the provisions of this </w:t>
      </w:r>
      <w:r>
        <w:rPr>
          <w:rFonts w:ascii="Times New Roman;Times;serif" w:hAnsi="Times New Roman;Times;serif"/>
          <w:sz w:val="22"/>
          <w:u w:val="single"/>
        </w:rPr>
        <w:t>Article IX</w:t>
      </w:r>
      <w:r>
        <w:rPr>
          <w:rFonts w:ascii="Aptos" w:hAnsi="Aptos"/>
          <w:sz w:val="24"/>
        </w:rPr>
        <w:t xml:space="preserve"> </w:t>
      </w:r>
      <w:r>
        <w:rPr>
          <w:rFonts w:ascii="Times New Roman;Times;serif" w:hAnsi="Times New Roman;Times;serif"/>
          <w:sz w:val="22"/>
        </w:rPr>
        <w:t>shall inure to its benefit as to any actions taken or omitted to be taken by it while it was Agent under this Agreement and the other Loan Documents.</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9.12</w:t>
      </w:r>
      <w:bookmarkStart w:id="2030" w:name="_Toc236844407"/>
      <w:bookmarkStart w:id="2031" w:name="_Toc172896753"/>
      <w:bookmarkEnd w:id="2030"/>
      <w:bookmarkEnd w:id="2031"/>
      <w:r>
        <w:rPr>
          <w:rFonts w:ascii="Times New Roman;Times;serif" w:hAnsi="Times New Roman;Times;serif"/>
          <w:sz w:val="22"/>
          <w:u w:val="single"/>
        </w:rPr>
        <w:t>Fronting Lender</w:t>
      </w:r>
      <w:r>
        <w:rPr>
          <w:rFonts w:ascii="Times New Roman;Times;serif" w:hAnsi="Times New Roman;Times;serif"/>
          <w:sz w:val="22"/>
        </w:rPr>
        <w:t xml:space="preserve">.  The Fronting Lender shall act on behalf of the Lenders with respect to any Letters of Credit issued by the Fronting Lender and the documents associated therewith.  The Fronting Lender shall have all of the benefits and immunities (a) provided to Agent in this </w:t>
      </w:r>
      <w:r>
        <w:rPr>
          <w:rFonts w:ascii="Times New Roman;Times;serif" w:hAnsi="Times New Roman;Times;serif"/>
          <w:sz w:val="22"/>
          <w:u w:val="single"/>
        </w:rPr>
        <w:t>Article IX</w:t>
      </w:r>
      <w:r>
        <w:rPr>
          <w:rFonts w:ascii="Aptos" w:hAnsi="Aptos"/>
          <w:sz w:val="24"/>
        </w:rPr>
        <w:t xml:space="preserve"> </w:t>
      </w:r>
      <w:r>
        <w:rPr>
          <w:rFonts w:ascii="Times New Roman;Times;serif" w:hAnsi="Times New Roman;Times;serif"/>
          <w:sz w:val="22"/>
        </w:rPr>
        <w:t xml:space="preserve">with respect to any acts taken or omissions suffered by the Fronting Lender in connection with the Letters of Credit and the applications and agreements for letters of credit pertaining to such Letters of Credit as fully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118</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 xml:space="preserve">as if the term “Agent”, as used in this </w:t>
      </w:r>
      <w:r>
        <w:rPr>
          <w:rFonts w:ascii="Times New Roman;Times;serif" w:hAnsi="Times New Roman;Times;serif"/>
          <w:sz w:val="22"/>
          <w:u w:val="single"/>
        </w:rPr>
        <w:t>Article IX</w:t>
      </w:r>
      <w:r>
        <w:rPr>
          <w:rFonts w:ascii="Times New Roman;Times;serif" w:hAnsi="Times New Roman;Times;serif"/>
          <w:sz w:val="22"/>
        </w:rPr>
        <w:t>, included the Fronting Lender with respect to such acts or omissions, and (b) as additionally provided in this Agreement with respect to the Fronting Lender.</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9.13</w:t>
      </w:r>
      <w:bookmarkStart w:id="2032" w:name="_Toc236844408"/>
      <w:bookmarkStart w:id="2033" w:name="_Toc172896754"/>
      <w:bookmarkEnd w:id="2032"/>
      <w:bookmarkEnd w:id="2033"/>
      <w:r>
        <w:rPr>
          <w:rFonts w:ascii="Times New Roman;Times;serif" w:hAnsi="Times New Roman;Times;serif"/>
          <w:sz w:val="22"/>
          <w:u w:val="single"/>
        </w:rPr>
        <w:t>Swing Line Lender</w:t>
      </w:r>
      <w:r>
        <w:rPr>
          <w:rFonts w:ascii="Times New Roman;Times;serif" w:hAnsi="Times New Roman;Times;serif"/>
          <w:sz w:val="22"/>
        </w:rPr>
        <w:t xml:space="preserve">.  The Swing Line Lender shall act on behalf of the Lenders with respect to any Swing Loans.  The Swing Line Lender shall have all of the benefits and immunities (a) provided to Agent in this </w:t>
      </w:r>
      <w:r>
        <w:rPr>
          <w:rFonts w:ascii="Times New Roman;Times;serif" w:hAnsi="Times New Roman;Times;serif"/>
          <w:sz w:val="22"/>
          <w:u w:val="single"/>
        </w:rPr>
        <w:t>Article IX</w:t>
      </w:r>
      <w:r>
        <w:rPr>
          <w:rFonts w:ascii="Aptos" w:hAnsi="Aptos"/>
          <w:sz w:val="24"/>
        </w:rPr>
        <w:t xml:space="preserve"> </w:t>
      </w:r>
      <w:r>
        <w:rPr>
          <w:rFonts w:ascii="Times New Roman;Times;serif" w:hAnsi="Times New Roman;Times;serif"/>
          <w:sz w:val="22"/>
        </w:rPr>
        <w:t xml:space="preserve">with respect to any acts taken or omissions suffered by the Swing Line Lender in connection with the Swing Loans as fully as if the term “Agent”, as used in this </w:t>
      </w:r>
      <w:r>
        <w:rPr>
          <w:rFonts w:ascii="Times New Roman;Times;serif" w:hAnsi="Times New Roman;Times;serif"/>
          <w:sz w:val="22"/>
          <w:u w:val="single"/>
        </w:rPr>
        <w:t>Article IX</w:t>
      </w:r>
      <w:r>
        <w:rPr>
          <w:rFonts w:ascii="Times New Roman;Times;serif" w:hAnsi="Times New Roman;Times;serif"/>
          <w:sz w:val="22"/>
        </w:rPr>
        <w:t>, included the Swing Line Lender with respect to such acts or omissions, and (b) as additionally provided in this Agreement with respect to the Swing Line Lender.</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9.14</w:t>
      </w:r>
      <w:bookmarkStart w:id="2034" w:name="_Toc236844409"/>
      <w:bookmarkStart w:id="2035" w:name="_Toc172896755"/>
      <w:bookmarkEnd w:id="2034"/>
      <w:bookmarkEnd w:id="2035"/>
      <w:r>
        <w:rPr>
          <w:rFonts w:ascii="Times New Roman;Times;serif" w:hAnsi="Times New Roman;Times;serif"/>
          <w:sz w:val="22"/>
          <w:u w:val="single"/>
        </w:rPr>
        <w:t>Agent May File Proofs of Claim</w:t>
      </w:r>
      <w:r>
        <w:rPr>
          <w:rFonts w:ascii="Times New Roman;Times;serif" w:hAnsi="Times New Roman;Times;serif"/>
          <w:sz w:val="22"/>
        </w:rPr>
        <w:t>.  In case of the pendency of any receivership, insolvency, liquidation, bankruptcy, reorganization, arrangement, adjustment, composition or other judicial proceeding relative to any Credit Party, (a) Agent (irrespective of whether the principal of any Loan shall then be due and payable as herein expressed or by declaration or otherwise and irrespective of whether Agent shall have made any demand on any Borrower) shall be entitled and empowered, by intervention in such proceeding or otherwise, to (i)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Agent (including any claim for the reasonable compensation, expenses, disbursements and advances of the Lenders and Agent and their respective agents and counsel and all other amounts due the Lenders and Agent) allowed in such judicial proceedings, and (ii) collect and receive any monies or other property payable or deliverable on any such claims and to distribute the same; and (b) any custodian, receiver, assignee, trustee, liquidator, sequestrator or other similar official in any such judicial proceeding is hereby authorized by each Lender to make such payments to Agent and, in the event that Agent shall consent to the making of such payments directly to the Lenders, to pay to Agent any amount due for the reasonable compensation, expenses, disbursements and advances of Agent and its agents and counsel, and any other amounts due Agent.  Nothing contained herein shall be deemed to authorize Agent to authorize or consent to or accept or adopt on behalf of any Lender any plan of reorganization, arrangement, adjustment or composition affecting the Obligations or the rights of any Lender or to authorize Agent to vote in respect of the claim of any Lender in any such proceeding.</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9.15</w:t>
      </w:r>
      <w:bookmarkStart w:id="2036" w:name="_Toc236844410"/>
      <w:bookmarkStart w:id="2037" w:name="_Toc172896756"/>
      <w:bookmarkEnd w:id="2036"/>
      <w:bookmarkEnd w:id="2037"/>
      <w:r>
        <w:rPr>
          <w:rFonts w:ascii="Times New Roman;Times;serif" w:hAnsi="Times New Roman;Times;serif"/>
          <w:sz w:val="22"/>
          <w:u w:val="single"/>
        </w:rPr>
        <w:t>No Reliance on Agent’s Customer Identification Program</w:t>
      </w:r>
      <w:r>
        <w:rPr>
          <w:rFonts w:ascii="Times New Roman;Times;serif" w:hAnsi="Times New Roman;Times;serif"/>
          <w:sz w:val="22"/>
        </w:rPr>
        <w:t>.  Each Lender acknowledges and agrees that neither such Lender, nor any of its affiliates, participants or assignees, may rely on Agent to carry out such Lender’s or its affiliate’s, participant’s or assignee’s customer identification program, or other obligations required or imposed under or pursuant to the Patriot Act or the regulations thereunder, including the regulations contained in 31 CFR 103.121 (as hereafter amended or replaced, the “</w:t>
      </w:r>
      <w:r>
        <w:rPr>
          <w:rFonts w:ascii="Times New Roman;Times;serif" w:hAnsi="Times New Roman;Times;serif"/>
          <w:sz w:val="22"/>
          <w:u w:val="single"/>
        </w:rPr>
        <w:t>CIP Regulations</w:t>
      </w:r>
      <w:r>
        <w:rPr>
          <w:rFonts w:ascii="Aptos" w:hAnsi="Aptos"/>
          <w:sz w:val="24"/>
        </w:rPr>
        <w:t>”</w:t>
      </w:r>
      <w:r>
        <w:rPr>
          <w:rFonts w:ascii="Times New Roman;Times;serif" w:hAnsi="Times New Roman;Times;serif"/>
          <w:sz w:val="22"/>
        </w:rPr>
        <w:t>), or any other anti-terrorism law, including any programs involving any of the following items relating to or in connection with Borrowers, their respective Affiliates or agents, the Loan Documents or the transactions hereunder:  (a) any identity verification procedures, (b) any record keeping, (c) any comparisons with government lists, (d) any customer notices or (e) any other procedures required under the CIP Regulations or such other laws.</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9.16</w:t>
      </w:r>
      <w:bookmarkStart w:id="2038" w:name="_Toc236844411"/>
      <w:bookmarkStart w:id="2039" w:name="_Toc172896757"/>
      <w:bookmarkEnd w:id="2038"/>
      <w:bookmarkEnd w:id="2039"/>
      <w:r>
        <w:rPr>
          <w:rFonts w:ascii="Times New Roman;Times;serif" w:hAnsi="Times New Roman;Times;serif"/>
          <w:sz w:val="22"/>
          <w:u w:val="single"/>
        </w:rPr>
        <w:t>Other Agents</w:t>
      </w:r>
      <w:r>
        <w:rPr>
          <w:rFonts w:ascii="Times New Roman;Times;serif" w:hAnsi="Times New Roman;Times;serif"/>
          <w:sz w:val="22"/>
        </w:rPr>
        <w:t>.  Agent shall have the continuing right from time to time to designate one or more Lenders (or its or their affiliates) as “syndication agent”, “co-syndication agent”, “documentation agent”, “co-documentation agent”, “book runner”, “lead arranger”, “arrangers” or other designations for purposes hereof, but (a) any such designation shall have no substantive effect, and (b) any such Lender and its affiliates shall have no additional powers, duties, responsibilities or liabilities as a result thereof.</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119</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9.17</w:t>
      </w:r>
      <w:bookmarkStart w:id="2040" w:name="_Toc236844412"/>
      <w:bookmarkStart w:id="2041" w:name="_Toc172896758"/>
      <w:bookmarkEnd w:id="2040"/>
      <w:bookmarkEnd w:id="2041"/>
      <w:r>
        <w:rPr>
          <w:rFonts w:ascii="Times New Roman;Times;serif" w:hAnsi="Times New Roman;Times;serif"/>
          <w:sz w:val="22"/>
          <w:u w:val="single"/>
        </w:rPr>
        <w:t>Erroneous Payments</w:t>
      </w:r>
      <w:r>
        <w:rPr>
          <w:rFonts w:ascii="Times New Roman;Times;serif" w:hAnsi="Times New Roman;Times;serif"/>
          <w:sz w:val="22"/>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(a)Each Lender, each Fronting Lender, each other Secured Party and any other party hereto hereby severally agrees that if (i) the Agent notifies (which such notice shall be conclusive absent manifest error) such Lender or Fronting Lender or any other Secured Party (or the Lender Affiliate of a Secured Party) or any other Person that has received funds from the Agent or any of its Affiliates, either for its own account or on behalf of a Lender, Fronting Lender or other Secured Party (each such recipient, a “</w:t>
      </w:r>
      <w:r>
        <w:rPr>
          <w:rFonts w:ascii="Times New Roman;Times;serif" w:hAnsi="Times New Roman;Times;serif"/>
          <w:sz w:val="22"/>
          <w:u w:val="single"/>
        </w:rPr>
        <w:t>Payment Recipient</w:t>
      </w:r>
      <w:r>
        <w:rPr>
          <w:rFonts w:ascii="Aptos" w:hAnsi="Aptos"/>
          <w:sz w:val="24"/>
        </w:rPr>
        <w:t>”</w:t>
      </w:r>
      <w:r>
        <w:rPr>
          <w:rFonts w:ascii="Times New Roman;Times;serif" w:hAnsi="Times New Roman;Times;serif"/>
          <w:sz w:val="22"/>
        </w:rPr>
        <w:t xml:space="preserve">) that the Agent has determined in its sole discretion that any funds received by such Payment Recipient were erroneously transmitted to, or otherwise erroneously or mistakenly received by, such Payment Recipient (whether or not known to such Payment Recipient) or (ii) any Payment Recipient receives any payment from the Agent (or any of its Affiliates) (x) that is in a different amount than, or on a different date from, that specified in a notice of payment, prepayment or repayment sent by the Agent (or any of its Affiliates) with respect to such payment, prepayment or repayment, as applicable, (y) that was not preceded or accompanied by a notice of payment, prepayment or repayment sent by the Agent (or any of its Affiliates) with respect to such payment, prepayment or repayment, as applicable, or (z) that such Payment Recipient otherwise becomes aware was transmitted or received in error or by mistake (in whole or in part) then, in each case, an error in payment shall be presumed to have been made (any such amounts specified in clauses (i) or (ii) of this </w:t>
      </w:r>
      <w:r>
        <w:rPr>
          <w:rFonts w:ascii="Times New Roman;Times;serif" w:hAnsi="Times New Roman;Times;serif"/>
          <w:sz w:val="22"/>
          <w:u w:val="single"/>
        </w:rPr>
        <w:t>Section 9.17(a),</w:t>
      </w:r>
      <w:r>
        <w:rPr>
          <w:rFonts w:ascii="Aptos" w:hAnsi="Aptos"/>
          <w:sz w:val="24"/>
        </w:rPr>
        <w:t xml:space="preserve"> </w:t>
      </w:r>
      <w:r>
        <w:rPr>
          <w:rFonts w:ascii="Times New Roman;Times;serif" w:hAnsi="Times New Roman;Times;serif"/>
          <w:sz w:val="22"/>
        </w:rPr>
        <w:t>whether received as a payment, prepayment or repayment of principal, interest, fees, distribution or otherwise; individually and collectively, an “</w:t>
      </w:r>
      <w:r>
        <w:rPr>
          <w:rFonts w:ascii="Times New Roman;Times;serif" w:hAnsi="Times New Roman;Times;serif"/>
          <w:sz w:val="22"/>
          <w:u w:val="single"/>
        </w:rPr>
        <w:t>Erroneous Payment</w:t>
      </w:r>
      <w:r>
        <w:rPr>
          <w:rFonts w:ascii="Aptos" w:hAnsi="Aptos"/>
          <w:sz w:val="24"/>
        </w:rPr>
        <w:t>”</w:t>
      </w:r>
      <w:r>
        <w:rPr>
          <w:rFonts w:ascii="Times New Roman;Times;serif" w:hAnsi="Times New Roman;Times;serif"/>
          <w:sz w:val="22"/>
        </w:rPr>
        <w:t xml:space="preserve">), then, in each case, such Payment Recipient is deemed to have knowledge of such error at the time of its receipt of such Erroneous Payment;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that nothing in this Section shall require the Agent to provide any of the notices specified in clauses (i) or (ii) above. Each Payment Recipient agrees that it shall not assert any right or claim to any Erroneous Payment, and hereby waives any claim, counterclaim, defense or right of set-off or recoupment with respect to any demand, claim or counterclaim by the Agent for the return of any Erroneous Payments, including without limitation waiver of any defense based on “discharge for value” or any similar doctrine.</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(b)Without limiting the immediately preceding clause (a), each Payment Recipient agrees that, in the case of clause (a)(ii) above, it shall promptly notify the Agent in writing of such occurrence.</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(c)In the case of either clause (a)(i) or (a)(ii) above, such Erroneous Payment shall at all times remain the property of the Agent and shall be segregated by the Payment Recipient and held in trust for the benefit of the Agent, and upon demand from the Agent such Payment Recipient shall (or, shall cause any Person who received any portion of an Erroneous Payment on its behalf to), promptly, but in all events no later than one Business Day thereafter, return to the Agent the amount of any such Erroneous Payment (or portion thereof) as to which such a demand was made in same day funds and in the currency so received, together with interest thereon in respect of each day from and including the date such Erroneous Payment (or portion thereof) was received by such Payment Recipient to the date such amount is repaid to the Agent at the greater of the Overnight Rate.</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(d)In the event that an Erroneous Payment (or portion thereof) is not recovered by the Agent for any reason, after demand therefor by the Agent in accordance with immediately preceding clause (c), from any Lender that is a Payment Recipient or an Affiliate of a Payment Recipient (such unrecovered amount as to such Lender, an “</w:t>
      </w:r>
      <w:r>
        <w:rPr>
          <w:rFonts w:ascii="Times New Roman;Times;serif" w:hAnsi="Times New Roman;Times;serif"/>
          <w:sz w:val="22"/>
          <w:u w:val="single"/>
        </w:rPr>
        <w:t>Erroneous Payment Return Deficiency</w:t>
      </w:r>
      <w:r>
        <w:rPr>
          <w:rFonts w:ascii="Aptos" w:hAnsi="Aptos"/>
          <w:sz w:val="24"/>
        </w:rPr>
        <w:t>”</w:t>
      </w:r>
      <w:r>
        <w:rPr>
          <w:rFonts w:ascii="Times New Roman;Times;serif" w:hAnsi="Times New Roman;Times;serif"/>
          <w:sz w:val="22"/>
        </w:rPr>
        <w:t>), then at the sole discretion of the Agent and upon the Agent’s written notice to such Lender (i) such Lender shall be deemed to have made a cashless assignment of the full face amount of the portion of its Loans (but not its Commitments) of the relevant Class with respect to which such Erroneous Payment was made (the “</w:t>
      </w:r>
      <w:r>
        <w:rPr>
          <w:rFonts w:ascii="Times New Roman;Times;serif" w:hAnsi="Times New Roman;Times;serif"/>
          <w:sz w:val="22"/>
          <w:u w:val="single"/>
        </w:rPr>
        <w:t>Erroneous Payment Impacted Class</w:t>
      </w:r>
      <w:r>
        <w:rPr>
          <w:rFonts w:ascii="Aptos" w:hAnsi="Aptos"/>
          <w:sz w:val="24"/>
        </w:rPr>
        <w:t>”</w:t>
      </w:r>
      <w:r>
        <w:rPr>
          <w:rFonts w:ascii="Times New Roman;Times;serif" w:hAnsi="Times New Roman;Times;serif"/>
          <w:sz w:val="22"/>
        </w:rPr>
        <w:t>) to the Agent or, at the option of the Agent, the Agent’s applicable lending affiliate in an amount that is equal to the Erroneous Payment Return Deficiency (or such lesser amount as the Agent may specify) (such assignment of the Loans (but not Commitments) of the Erroneous Payment Impacted Class, the “</w:t>
      </w:r>
      <w:r>
        <w:rPr>
          <w:rFonts w:ascii="Times New Roman;Times;serif" w:hAnsi="Times New Roman;Times;serif"/>
          <w:sz w:val="22"/>
          <w:u w:val="single"/>
        </w:rPr>
        <w:t>Erroneous Payment Deficiency Assignment</w:t>
      </w:r>
      <w:r>
        <w:rPr>
          <w:rFonts w:ascii="Aptos" w:hAnsi="Aptos"/>
          <w:sz w:val="24"/>
        </w:rPr>
        <w:t>”</w:t>
      </w:r>
      <w:r>
        <w:rPr>
          <w:rFonts w:ascii="Times New Roman;Times;serif" w:hAnsi="Times New Roman;Times;serif"/>
          <w:sz w:val="22"/>
        </w:rPr>
        <w:t xml:space="preserve">) plus any accrued and unpaid interest on such assigned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120</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 xml:space="preserve">amount, without further consent or approval of any party hereto and without any payment by the Agent or its applicable lending affiliate as the assignee of such Erroneous Payment Deficiency Assignment.  Without limitation of its rights hereunder, the Agent may cancel any Erroneous Payment Deficiency Assignment at any time by written notice to the applicable assigning Lender and upon such revocation all of the Loans assigned pursuant to such Erroneous Payment Deficiency Assignment shall be reassigned to such Lender without any requirement for payment or other consideration.  The parties hereto acknowledge and agree that (1) any assignment contemplated in this clause (d) shall be made without any requirement for any payment or other consideration paid by the applicable assignee or received by the assignor, (2) the provisions of this clause (d) shall govern in the event of any conflict with the terms and conditions of </w:t>
      </w:r>
      <w:r>
        <w:rPr>
          <w:rFonts w:ascii="Times New Roman;Times;serif" w:hAnsi="Times New Roman;Times;serif"/>
          <w:sz w:val="22"/>
          <w:u w:val="single"/>
        </w:rPr>
        <w:t>Section 11.10</w:t>
      </w:r>
      <w:r>
        <w:rPr>
          <w:rFonts w:ascii="Aptos" w:hAnsi="Aptos"/>
          <w:sz w:val="24"/>
        </w:rPr>
        <w:t xml:space="preserve"> </w:t>
      </w:r>
      <w:r>
        <w:rPr>
          <w:rFonts w:ascii="Times New Roman;Times;serif" w:hAnsi="Times New Roman;Times;serif"/>
          <w:sz w:val="22"/>
        </w:rPr>
        <w:t>and (3) the Agent may reflect such assignments in the Register without further consent or action by any other Person.</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 xml:space="preserve">(e)Each party hereto hereby agrees that (x) in the event an Erroneous Payment (or portion thereof) is not recovered from any Payment Recipient that has received such Erroneous Payment (or portion thereof) for any reason, the Agent (1) shall be subrogated to all the rights of such Payment Recipient with respect to such amount and (2) is authorized to set off, net and apply any and all amounts at any time owing to such Payment Recipient under any Loan Document, or otherwise payable or distributable by the Agent to such Payment Recipient from any source, against any amount due to the Agent under this </w:t>
      </w:r>
      <w:r>
        <w:rPr>
          <w:rFonts w:ascii="Times New Roman;Times;serif" w:hAnsi="Times New Roman;Times;serif"/>
          <w:sz w:val="22"/>
          <w:u w:val="single"/>
        </w:rPr>
        <w:t>Section 9.17</w:t>
      </w:r>
      <w:r>
        <w:rPr>
          <w:rFonts w:ascii="Aptos" w:hAnsi="Aptos"/>
          <w:sz w:val="24"/>
        </w:rPr>
        <w:t xml:space="preserve"> </w:t>
      </w:r>
      <w:r>
        <w:rPr>
          <w:rFonts w:ascii="Times New Roman;Times;serif" w:hAnsi="Times New Roman;Times;serif"/>
          <w:sz w:val="22"/>
        </w:rPr>
        <w:t>or under the indemnification provisions of this Agreement, (y) the receipt of an Erroneous Payment by a Payment Recipient shall not for the purpose of this Agreement be treated as a payment, prepayment, repayment, discharge or other satisfaction of any Obligations owed by the Borrowers or any other Credit Party, except, in each case, to the extent such Erroneous Payment is, and solely with respect to the amount of such Erroneous Payment that is, comprised of funds received by the Agent from the Borrowers or any other Credit Party for the purpose of making a payment on the Obligations and (z) 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 xml:space="preserve">(f)Each party’s obligations under this </w:t>
      </w:r>
      <w:r>
        <w:rPr>
          <w:rFonts w:ascii="Times New Roman;Times;serif" w:hAnsi="Times New Roman;Times;serif"/>
          <w:sz w:val="22"/>
          <w:u w:val="single"/>
        </w:rPr>
        <w:t>Section 9.17</w:t>
      </w:r>
      <w:r>
        <w:rPr>
          <w:rFonts w:ascii="Aptos" w:hAnsi="Aptos"/>
          <w:sz w:val="24"/>
        </w:rPr>
        <w:t xml:space="preserve"> </w:t>
      </w:r>
      <w:r>
        <w:rPr>
          <w:rFonts w:ascii="Times New Roman;Times;serif" w:hAnsi="Times New Roman;Times;serif"/>
          <w:sz w:val="22"/>
        </w:rPr>
        <w:t>shall survive the resignation or replacement of the Agent or any transfer of right or obligations by, or the replacement of, a Lender, the termination of the Commitments or the repayment, satisfaction or discharge of all Obligations (or any portion thereof) under any Loan Document.</w:t>
      </w:r>
    </w:p>
    <w:p>
      <w:pPr>
        <w:pStyle w:val="TextBody"/>
        <w:bidi w:val="0"/>
        <w:spacing w:lineRule="auto" w:line="285" w:before="0" w:after="0"/>
        <w:ind w:left="0" w:right="0" w:hanging="0"/>
        <w:jc w:val="both"/>
        <w:rPr>
          <w:rFonts w:ascii="Aptos" w:hAnsi="Aptos"/>
          <w:sz w:val="24"/>
        </w:rPr>
      </w:pPr>
      <w:r>
        <w:rPr>
          <w:rFonts w:ascii="Times New Roman;Times;serif" w:hAnsi="Times New Roman;Times;serif"/>
          <w:sz w:val="22"/>
        </w:rPr>
        <w:t xml:space="preserve">(g)Nothing in this </w:t>
      </w:r>
      <w:r>
        <w:rPr>
          <w:rFonts w:ascii="Times New Roman;Times;serif" w:hAnsi="Times New Roman;Times;serif"/>
          <w:sz w:val="22"/>
          <w:u w:val="single"/>
        </w:rPr>
        <w:t>Section 9.17</w:t>
      </w:r>
      <w:r>
        <w:rPr>
          <w:rFonts w:ascii="Aptos" w:hAnsi="Aptos"/>
          <w:sz w:val="24"/>
        </w:rPr>
        <w:t xml:space="preserve"> </w:t>
      </w:r>
      <w:r>
        <w:rPr>
          <w:rFonts w:ascii="Times New Roman;Times;serif" w:hAnsi="Times New Roman;Times;serif"/>
          <w:sz w:val="22"/>
        </w:rPr>
        <w:t>will constitute a waiver or release of any claim of any party hereunder arising from any Payment Recipient’s receipt of an Erroneous Payment.</w:t>
      </w:r>
    </w:p>
    <w:p>
      <w:pPr>
        <w:pStyle w:val="TextBody"/>
        <w:bidi w:val="0"/>
        <w:spacing w:lineRule="auto" w:line="285" w:before="0" w:after="240"/>
        <w:ind w:left="0" w:right="0" w:hanging="0"/>
        <w:jc w:val="center"/>
        <w:rPr>
          <w:rFonts w:ascii="Aptos" w:hAnsi="Aptos"/>
          <w:sz w:val="24"/>
        </w:rPr>
      </w:pPr>
      <w:r>
        <w:rPr>
          <w:rFonts w:ascii="Times New Roman;Times;serif" w:hAnsi="Times New Roman;Times;serif"/>
          <w:caps/>
          <w:sz w:val="22"/>
        </w:rPr>
        <w:t>ARTICLE X.</w:t>
      </w:r>
      <w:r>
        <w:rPr>
          <w:rFonts w:ascii="Aptos" w:hAnsi="Aptos"/>
          <w:caps/>
          <w:sz w:val="24"/>
        </w:rPr>
        <w:t xml:space="preserve"> </w:t>
      </w:r>
      <w:bookmarkStart w:id="2042" w:name="_Toc236844413"/>
      <w:bookmarkStart w:id="2043" w:name="_Toc172896759"/>
      <w:bookmarkEnd w:id="2042"/>
      <w:bookmarkEnd w:id="2043"/>
      <w:r>
        <w:rPr>
          <w:rFonts w:ascii="Times New Roman;Times;serif" w:hAnsi="Times New Roman;Times;serif"/>
          <w:caps/>
          <w:sz w:val="22"/>
        </w:rPr>
        <w:t>GUARANTY</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10.1</w:t>
      </w:r>
      <w:bookmarkStart w:id="2044" w:name="_Toc236844414"/>
      <w:bookmarkStart w:id="2045" w:name="_Toc172896760"/>
      <w:bookmarkEnd w:id="2044"/>
      <w:bookmarkEnd w:id="2045"/>
      <w:r>
        <w:rPr>
          <w:rFonts w:ascii="Times New Roman;Times;serif" w:hAnsi="Times New Roman;Times;serif"/>
          <w:sz w:val="22"/>
          <w:u w:val="single"/>
        </w:rPr>
        <w:t>The Guaranty</w:t>
      </w:r>
      <w:r>
        <w:rPr>
          <w:rFonts w:ascii="Times New Roman;Times;serif" w:hAnsi="Times New Roman;Times;serif"/>
          <w:sz w:val="22"/>
        </w:rPr>
        <w:t>.  US Borrower hereby guarantees to Agent, for the benefit of the Secured Parties, as a primary obligor and not as a surety, the prompt payment of the Secured Obligations owing by each other Borrower in full when due (whether at stated maturity, as a mandatory prepayment, by acceleration, as a mandatory cash collateralization or otherwise) strictly in accordance with the terms thereof.  US Borrower hereby further agrees that, if any of the Secured Obligations are not paid in full when due (whether at stated maturity, as a mandatory prepayment, by acceleration, as a mandatory cash collateralization or otherwise), US Borrower will promptly pay the same, without any demand or notice whatsoever, and that, in the case of any extension of time of payment or renewal of any of the Secured Obligations, the same will be promptly paid in full when due (whether at extended maturity, as a mandatory prepayment, by acceleration, as a mandatory cash collateralization or otherwise) in accordance with the terms of such extension or renewal.</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121</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10.2</w:t>
      </w:r>
      <w:bookmarkStart w:id="2046" w:name="_Toc236844415"/>
      <w:bookmarkStart w:id="2047" w:name="_Toc172896761"/>
      <w:bookmarkEnd w:id="2046"/>
      <w:bookmarkEnd w:id="2047"/>
      <w:r>
        <w:rPr>
          <w:rFonts w:ascii="Times New Roman;Times;serif" w:hAnsi="Times New Roman;Times;serif"/>
          <w:sz w:val="22"/>
          <w:u w:val="single"/>
        </w:rPr>
        <w:t>Obligations Unconditional</w:t>
      </w:r>
      <w:r>
        <w:rPr>
          <w:rFonts w:ascii="Times New Roman;Times;serif" w:hAnsi="Times New Roman;Times;serif"/>
          <w:sz w:val="22"/>
        </w:rPr>
        <w:t xml:space="preserve">.  The obligations of US Borrower under </w:t>
      </w:r>
      <w:r>
        <w:rPr>
          <w:rFonts w:ascii="Times New Roman;Times;serif" w:hAnsi="Times New Roman;Times;serif"/>
          <w:sz w:val="22"/>
          <w:u w:val="single"/>
        </w:rPr>
        <w:t>Section 10.1</w:t>
      </w:r>
      <w:r>
        <w:rPr>
          <w:rFonts w:ascii="Aptos" w:hAnsi="Aptos"/>
          <w:sz w:val="24"/>
        </w:rPr>
        <w:t xml:space="preserve"> </w:t>
      </w:r>
      <w:r>
        <w:rPr>
          <w:rFonts w:ascii="Times New Roman;Times;serif" w:hAnsi="Times New Roman;Times;serif"/>
          <w:sz w:val="22"/>
        </w:rPr>
        <w:t xml:space="preserve">hereof are absolute and unconditional, irrespective of the value, genuineness, validity, regularity or enforceability of any of the Loan Documents, or any other agreement or instrument referred to therein, or any substitution, release, impairment or exchange of any other guarantee of or security for any of the Secured Obligations, and, to the fullest extent permitted by applicable law, irrespective of any other circumstance whatsoever which might otherwise constitute a legal or equitable discharge or defense of a surety or guarantor, it being the intent of this </w:t>
      </w:r>
      <w:r>
        <w:rPr>
          <w:rFonts w:ascii="Times New Roman;Times;serif" w:hAnsi="Times New Roman;Times;serif"/>
          <w:sz w:val="22"/>
          <w:u w:val="single"/>
        </w:rPr>
        <w:t>Section 10.2</w:t>
      </w:r>
      <w:r>
        <w:rPr>
          <w:rFonts w:ascii="Aptos" w:hAnsi="Aptos"/>
          <w:sz w:val="24"/>
        </w:rPr>
        <w:t xml:space="preserve"> </w:t>
      </w:r>
      <w:r>
        <w:rPr>
          <w:rFonts w:ascii="Times New Roman;Times;serif" w:hAnsi="Times New Roman;Times;serif"/>
          <w:sz w:val="22"/>
        </w:rPr>
        <w:t xml:space="preserve">that the obligations of US Borrower hereunder, as a Guarantor, shall be absolute and unconditional under any and all circumstances.  US Borrower agrees that it shall have no right of subrogation, indemnity, reimbursement or contribution against any other Borrower or any other Guarantor of Payment for amounts paid under this </w:t>
      </w:r>
      <w:r>
        <w:rPr>
          <w:rFonts w:ascii="Times New Roman;Times;serif" w:hAnsi="Times New Roman;Times;serif"/>
          <w:sz w:val="22"/>
          <w:u w:val="single"/>
        </w:rPr>
        <w:t>Article X</w:t>
      </w:r>
      <w:r>
        <w:rPr>
          <w:rFonts w:ascii="Aptos" w:hAnsi="Aptos"/>
          <w:sz w:val="24"/>
        </w:rPr>
        <w:t xml:space="preserve"> </w:t>
      </w:r>
      <w:r>
        <w:rPr>
          <w:rFonts w:ascii="Times New Roman;Times;serif" w:hAnsi="Times New Roman;Times;serif"/>
          <w:sz w:val="22"/>
        </w:rPr>
        <w:t>until such time as the Secured Obligations have been irrevocably paid in full (other than (i) contingent obligations which by their terms survive the termination of this Agreement and (ii) Secured Hedge Obligations or obligations and liabilities under Bank Product Agreements, in each case as to which arrangements satisfactory to the applicable Secured Party shall have been made).  Without limiting the generality of the foregoing, it is agreed that, to the fullest extent permitted by law, the occurrence of any one or more of the following shall not alter or impair the liability of US Borrower as a Guarantor hereunder, which shall remain absolute and unconditional as described above:</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(a)at any time or from time to time, without notice to any Guarantor, the time for any performance of or compliance with any of the Secured Obligations shall be extended, or such performance or compliance shall be waived;</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(b)any of the acts mentioned in any of the provisions of any of the Loan Documents or any other agreement or instrument referred to in the Loan Documents shall be done or omitted;</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(c)the maturity of any of the Secured Obligations shall be accelerated, or any of the Secured Obligations shall be modified, supplemented or amended in any respect, or any right under any of the Loan Documents, or any other agreement or instrument referred to in the Loan Documents shall be waived or any other guarantee of any of the Secured Obligations or any security therefor shall be released, impaired or exchanged in whole or in part or otherwise dealt with;</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(d)any Lien granted to, or in favor of, Agent, for the benefit of the Secured Parties, as security for any of the Secured Obligations shall fail to attach or be perfected; or</w:t>
      </w:r>
    </w:p>
    <w:p>
      <w:pPr>
        <w:pStyle w:val="TextBody"/>
        <w:bidi w:val="0"/>
        <w:spacing w:lineRule="auto" w:line="285"/>
        <w:ind w:left="0" w:right="0" w:hanging="0"/>
        <w:jc w:val="both"/>
        <w:rPr>
          <w:rFonts w:ascii="Times New Roman;Times;serif" w:hAnsi="Times New Roman;Times;serif"/>
          <w:sz w:val="22"/>
        </w:rPr>
      </w:pPr>
      <w:r>
        <w:rPr>
          <w:rFonts w:ascii="Times New Roman;Times;serif" w:hAnsi="Times New Roman;Times;serif"/>
          <w:sz w:val="22"/>
        </w:rPr>
        <w:t>(e)any of the Secured Obligations shall be determined to be void or voidable (including, without limitation, for the benefit of any creditor of any Guarantor) or shall be subordinated to the claims of any Person (including, without limitation, any creditor of any Guarantor).</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With respect to its obligations hereunder, US Borrower hereby expressly waives diligence, presentment, demand of payment, protest and all notices whatsoever, and any requirement that Agent or any Lender exhaust any right, power or remedy or proceed against any Person under any of the Loan Documents or any other agreement or instrument referred to in the Loan Documents, or against any other Person under any other guarantee of, or security for, any of the Secured Obligations.</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10.3</w:t>
      </w:r>
      <w:bookmarkStart w:id="2048" w:name="_Toc236844416"/>
      <w:bookmarkStart w:id="2049" w:name="_Toc172896762"/>
      <w:bookmarkEnd w:id="2048"/>
      <w:bookmarkEnd w:id="2049"/>
      <w:r>
        <w:rPr>
          <w:rFonts w:ascii="Times New Roman;Times;serif" w:hAnsi="Times New Roman;Times;serif"/>
          <w:sz w:val="22"/>
          <w:u w:val="single"/>
        </w:rPr>
        <w:t>Reinstatement</w:t>
      </w:r>
      <w:r>
        <w:rPr>
          <w:rFonts w:ascii="Times New Roman;Times;serif" w:hAnsi="Times New Roman;Times;serif"/>
          <w:sz w:val="22"/>
        </w:rPr>
        <w:t xml:space="preserve">.  The obligations of US Borrower under this </w:t>
      </w:r>
      <w:r>
        <w:rPr>
          <w:rFonts w:ascii="Times New Roman;Times;serif" w:hAnsi="Times New Roman;Times;serif"/>
          <w:sz w:val="22"/>
          <w:u w:val="single"/>
        </w:rPr>
        <w:t>Article X</w:t>
      </w:r>
      <w:r>
        <w:rPr>
          <w:rFonts w:ascii="Aptos" w:hAnsi="Aptos"/>
          <w:sz w:val="24"/>
        </w:rPr>
        <w:t xml:space="preserve"> </w:t>
      </w:r>
      <w:r>
        <w:rPr>
          <w:rFonts w:ascii="Times New Roman;Times;serif" w:hAnsi="Times New Roman;Times;serif"/>
          <w:sz w:val="22"/>
        </w:rPr>
        <w:t xml:space="preserve">shall be automatically reinstated if and to the extent that, for any reason, any payment by or on behalf of any Person in respect of the Secured Obligations is rescinded or must be otherwise restored by any holder of any of the Secured Obligations, whether as a result of any proceedings under any Debtor Relief Laws or otherwise, and US Borrower agrees that it will indemnify Agent and each Lender on demand for all reasonable costs and expenses (including, without limitation, reasonable fees and expenses of counsel) incurred by Agent or such Lender in connection with such rescission or restoration, including any such reasonable costs and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122</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expenses incurred in defending against any claim alleging that such payment constituted a preference, fraudulent transfer or similar payment under any Debtor Relief Laws.</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10.4</w:t>
      </w:r>
      <w:bookmarkStart w:id="2050" w:name="_Toc236844417"/>
      <w:bookmarkStart w:id="2051" w:name="_Toc172896763"/>
      <w:bookmarkEnd w:id="2050"/>
      <w:bookmarkEnd w:id="2051"/>
      <w:r>
        <w:rPr>
          <w:rFonts w:ascii="Times New Roman;Times;serif" w:hAnsi="Times New Roman;Times;serif"/>
          <w:sz w:val="22"/>
          <w:u w:val="single"/>
        </w:rPr>
        <w:t>Certain Additional Waivers</w:t>
      </w:r>
      <w:r>
        <w:rPr>
          <w:rFonts w:ascii="Times New Roman;Times;serif" w:hAnsi="Times New Roman;Times;serif"/>
          <w:sz w:val="22"/>
        </w:rPr>
        <w:t xml:space="preserve">.  US Borrower agrees that US Borrower shall have no right of recourse to security for the Secured Obligations, except through the exercise of rights of subrogation pursuant to </w:t>
      </w:r>
      <w:r>
        <w:rPr>
          <w:rFonts w:ascii="Times New Roman;Times;serif" w:hAnsi="Times New Roman;Times;serif"/>
          <w:sz w:val="22"/>
          <w:u w:val="single"/>
        </w:rPr>
        <w:t>Section 10.2</w:t>
      </w:r>
      <w:r>
        <w:rPr>
          <w:rFonts w:ascii="Aptos" w:hAnsi="Aptos"/>
          <w:sz w:val="24"/>
        </w:rPr>
        <w:t xml:space="preserve"> </w:t>
      </w:r>
      <w:r>
        <w:rPr>
          <w:rFonts w:ascii="Times New Roman;Times;serif" w:hAnsi="Times New Roman;Times;serif"/>
          <w:sz w:val="22"/>
        </w:rPr>
        <w:t xml:space="preserve">hereof and through the exercise of rights of contribution pursuant to </w:t>
      </w:r>
      <w:r>
        <w:rPr>
          <w:rFonts w:ascii="Times New Roman;Times;serif" w:hAnsi="Times New Roman;Times;serif"/>
          <w:sz w:val="22"/>
          <w:u w:val="single"/>
        </w:rPr>
        <w:t>Section 11.6</w:t>
      </w:r>
      <w:r>
        <w:rPr>
          <w:rFonts w:ascii="Aptos" w:hAnsi="Aptos"/>
          <w:sz w:val="24"/>
        </w:rPr>
        <w:t xml:space="preserve"> </w:t>
      </w:r>
      <w:r>
        <w:rPr>
          <w:rFonts w:ascii="Times New Roman;Times;serif" w:hAnsi="Times New Roman;Times;serif"/>
          <w:sz w:val="22"/>
        </w:rPr>
        <w:t>hereof.</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10.5</w:t>
      </w:r>
      <w:bookmarkStart w:id="2052" w:name="_Toc236844418"/>
      <w:bookmarkStart w:id="2053" w:name="_Toc172896764"/>
      <w:bookmarkEnd w:id="2052"/>
      <w:bookmarkEnd w:id="2053"/>
      <w:r>
        <w:rPr>
          <w:rFonts w:ascii="Times New Roman;Times;serif" w:hAnsi="Times New Roman;Times;serif"/>
          <w:sz w:val="22"/>
          <w:u w:val="single"/>
        </w:rPr>
        <w:t>Remedies</w:t>
      </w:r>
      <w:r>
        <w:rPr>
          <w:rFonts w:ascii="Times New Roman;Times;serif" w:hAnsi="Times New Roman;Times;serif"/>
          <w:sz w:val="22"/>
        </w:rPr>
        <w:t xml:space="preserve">.  US Borrower agrees that, to the fullest extent permitted by law, as between US Borrower, on the one hand, and Agent, on behalf of the Lenders, on the other hand, the Obligations may be declared to be forthwith due and payable as provided in </w:t>
      </w:r>
      <w:r>
        <w:rPr>
          <w:rFonts w:ascii="Times New Roman;Times;serif" w:hAnsi="Times New Roman;Times;serif"/>
          <w:sz w:val="22"/>
          <w:u w:val="single"/>
        </w:rPr>
        <w:t>Section 8.1</w:t>
      </w:r>
      <w:r>
        <w:rPr>
          <w:rFonts w:ascii="Aptos" w:hAnsi="Aptos"/>
          <w:sz w:val="24"/>
        </w:rPr>
        <w:t xml:space="preserve"> </w:t>
      </w:r>
      <w:r>
        <w:rPr>
          <w:rFonts w:ascii="Times New Roman;Times;serif" w:hAnsi="Times New Roman;Times;serif"/>
          <w:sz w:val="22"/>
        </w:rPr>
        <w:t xml:space="preserve">or </w:t>
      </w:r>
      <w:r>
        <w:rPr>
          <w:rFonts w:ascii="Times New Roman;Times;serif" w:hAnsi="Times New Roman;Times;serif"/>
          <w:sz w:val="22"/>
          <w:u w:val="single"/>
        </w:rPr>
        <w:t>8.2</w:t>
      </w:r>
      <w:r>
        <w:rPr>
          <w:rFonts w:ascii="Aptos" w:hAnsi="Aptos"/>
          <w:sz w:val="24"/>
        </w:rPr>
        <w:t xml:space="preserve"> </w:t>
      </w:r>
      <w:r>
        <w:rPr>
          <w:rFonts w:ascii="Times New Roman;Times;serif" w:hAnsi="Times New Roman;Times;serif"/>
          <w:sz w:val="22"/>
        </w:rPr>
        <w:t xml:space="preserve">hereof (and shall be deemed to have become automatically due and payable in the circumstances provided in such </w:t>
      </w:r>
      <w:r>
        <w:rPr>
          <w:rFonts w:ascii="Times New Roman;Times;serif" w:hAnsi="Times New Roman;Times;serif"/>
          <w:sz w:val="22"/>
          <w:u w:val="single"/>
        </w:rPr>
        <w:t>Sections 8.1</w:t>
      </w:r>
      <w:r>
        <w:rPr>
          <w:rFonts w:ascii="Aptos" w:hAnsi="Aptos"/>
          <w:sz w:val="24"/>
        </w:rPr>
        <w:t xml:space="preserve"> </w:t>
      </w:r>
      <w:r>
        <w:rPr>
          <w:rFonts w:ascii="Times New Roman;Times;serif" w:hAnsi="Times New Roman;Times;serif"/>
          <w:sz w:val="22"/>
        </w:rPr>
        <w:t xml:space="preserve">and </w:t>
      </w:r>
      <w:r>
        <w:rPr>
          <w:rFonts w:ascii="Times New Roman;Times;serif" w:hAnsi="Times New Roman;Times;serif"/>
          <w:sz w:val="22"/>
          <w:u w:val="single"/>
        </w:rPr>
        <w:t>8.2</w:t>
      </w:r>
      <w:r>
        <w:rPr>
          <w:rFonts w:ascii="Times New Roman;Times;serif" w:hAnsi="Times New Roman;Times;serif"/>
          <w:sz w:val="22"/>
        </w:rPr>
        <w:t xml:space="preserve">) for purposes of </w:t>
      </w:r>
      <w:r>
        <w:rPr>
          <w:rFonts w:ascii="Times New Roman;Times;serif" w:hAnsi="Times New Roman;Times;serif"/>
          <w:sz w:val="22"/>
          <w:u w:val="single"/>
        </w:rPr>
        <w:t>Section 10.1</w:t>
      </w:r>
      <w:r>
        <w:rPr>
          <w:rFonts w:ascii="Aptos" w:hAnsi="Aptos"/>
          <w:sz w:val="24"/>
        </w:rPr>
        <w:t xml:space="preserve"> </w:t>
      </w:r>
      <w:r>
        <w:rPr>
          <w:rFonts w:ascii="Times New Roman;Times;serif" w:hAnsi="Times New Roman;Times;serif"/>
          <w:sz w:val="22"/>
        </w:rPr>
        <w:t xml:space="preserve">hereof, notwithstanding any stay, injunction or other prohibition preventing such declaration (or preventing the Obligations from becoming automatically due and payable) as against any other Person and that, in the event of such declaration (or the Obligations being deemed to have become automatically due and payable), the Obligations (whether or not due and payable by any other Person) shall forthwith become due and payable by US Borrower for purposes of </w:t>
      </w:r>
      <w:r>
        <w:rPr>
          <w:rFonts w:ascii="Times New Roman;Times;serif" w:hAnsi="Times New Roman;Times;serif"/>
          <w:sz w:val="22"/>
          <w:u w:val="single"/>
        </w:rPr>
        <w:t>Section 10.1</w:t>
      </w:r>
      <w:r>
        <w:rPr>
          <w:rFonts w:ascii="Aptos" w:hAnsi="Aptos"/>
          <w:sz w:val="24"/>
        </w:rPr>
        <w:t xml:space="preserve"> </w:t>
      </w:r>
      <w:r>
        <w:rPr>
          <w:rFonts w:ascii="Times New Roman;Times;serif" w:hAnsi="Times New Roman;Times;serif"/>
          <w:sz w:val="22"/>
        </w:rPr>
        <w:t>hereof.</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10.6</w:t>
      </w:r>
      <w:bookmarkStart w:id="2054" w:name="_Toc236844419"/>
      <w:bookmarkStart w:id="2055" w:name="_Toc172896765"/>
      <w:bookmarkEnd w:id="2054"/>
      <w:bookmarkEnd w:id="2055"/>
      <w:r>
        <w:rPr>
          <w:rFonts w:ascii="Times New Roman;Times;serif" w:hAnsi="Times New Roman;Times;serif"/>
          <w:sz w:val="22"/>
          <w:u w:val="single"/>
        </w:rPr>
        <w:t>Guarantee of Payment; Continuing Guarantee</w:t>
      </w:r>
      <w:r>
        <w:rPr>
          <w:rFonts w:ascii="Times New Roman;Times;serif" w:hAnsi="Times New Roman;Times;serif"/>
          <w:sz w:val="22"/>
        </w:rPr>
        <w:t xml:space="preserve">.  The guarantee in this </w:t>
      </w:r>
      <w:r>
        <w:rPr>
          <w:rFonts w:ascii="Times New Roman;Times;serif" w:hAnsi="Times New Roman;Times;serif"/>
          <w:sz w:val="22"/>
          <w:u w:val="single"/>
        </w:rPr>
        <w:t>Article X</w:t>
      </w:r>
      <w:r>
        <w:rPr>
          <w:rFonts w:ascii="Aptos" w:hAnsi="Aptos"/>
          <w:sz w:val="24"/>
        </w:rPr>
        <w:t xml:space="preserve"> </w:t>
      </w:r>
      <w:r>
        <w:rPr>
          <w:rFonts w:ascii="Times New Roman;Times;serif" w:hAnsi="Times New Roman;Times;serif"/>
          <w:sz w:val="22"/>
        </w:rPr>
        <w:t>is a guaranty of payment and not of collection, is a continuing guarantee, and shall apply to all Secured Obligations owing by each other Borrower, whenever arising.</w:t>
      </w:r>
    </w:p>
    <w:p>
      <w:pPr>
        <w:pStyle w:val="TextBody"/>
        <w:bidi w:val="0"/>
        <w:spacing w:lineRule="auto" w:line="285" w:before="0" w:after="0"/>
        <w:ind w:left="0" w:right="0" w:hanging="0"/>
        <w:jc w:val="both"/>
        <w:rPr>
          <w:rFonts w:ascii="Aptos" w:hAnsi="Aptos"/>
          <w:sz w:val="24"/>
        </w:rPr>
      </w:pPr>
      <w:r>
        <w:rPr>
          <w:rFonts w:ascii="Times New Roman;Times;serif" w:hAnsi="Times New Roman;Times;serif"/>
          <w:sz w:val="22"/>
        </w:rPr>
        <w:t>Section 10.7</w:t>
      </w:r>
      <w:bookmarkStart w:id="2056" w:name="_Toc236844420"/>
      <w:bookmarkStart w:id="2057" w:name="_Toc172896766"/>
      <w:bookmarkEnd w:id="2056"/>
      <w:bookmarkEnd w:id="2057"/>
      <w:r>
        <w:rPr>
          <w:rFonts w:ascii="Times New Roman;Times;serif" w:hAnsi="Times New Roman;Times;serif"/>
          <w:sz w:val="22"/>
          <w:u w:val="single"/>
        </w:rPr>
        <w:t>Payments</w:t>
      </w:r>
      <w:r>
        <w:rPr>
          <w:rFonts w:ascii="Times New Roman;Times;serif" w:hAnsi="Times New Roman;Times;serif"/>
          <w:sz w:val="22"/>
        </w:rPr>
        <w:t xml:space="preserve">.  All payments by US Borrower under this </w:t>
      </w:r>
      <w:r>
        <w:rPr>
          <w:rFonts w:ascii="Times New Roman;Times;serif" w:hAnsi="Times New Roman;Times;serif"/>
          <w:sz w:val="22"/>
          <w:u w:val="single"/>
        </w:rPr>
        <w:t>Article X</w:t>
      </w:r>
      <w:r>
        <w:rPr>
          <w:rFonts w:ascii="Aptos" w:hAnsi="Aptos"/>
          <w:sz w:val="24"/>
        </w:rPr>
        <w:t xml:space="preserve"> </w:t>
      </w:r>
      <w:r>
        <w:rPr>
          <w:rFonts w:ascii="Times New Roman;Times;serif" w:hAnsi="Times New Roman;Times;serif"/>
          <w:sz w:val="22"/>
        </w:rPr>
        <w:t>shall be made in Dollars, and free and clear of any Taxes.</w:t>
      </w:r>
    </w:p>
    <w:p>
      <w:pPr>
        <w:pStyle w:val="TextBody"/>
        <w:bidi w:val="0"/>
        <w:spacing w:lineRule="auto" w:line="285" w:before="0" w:after="240"/>
        <w:ind w:left="0" w:right="0" w:hanging="0"/>
        <w:jc w:val="center"/>
        <w:rPr>
          <w:rFonts w:ascii="Aptos" w:hAnsi="Aptos"/>
          <w:sz w:val="24"/>
        </w:rPr>
      </w:pPr>
      <w:r>
        <w:rPr>
          <w:rFonts w:ascii="Times New Roman;Times;serif" w:hAnsi="Times New Roman;Times;serif"/>
          <w:caps/>
          <w:sz w:val="22"/>
        </w:rPr>
        <w:t>ARTICLE XI.</w:t>
      </w:r>
      <w:r>
        <w:rPr>
          <w:rFonts w:ascii="Aptos" w:hAnsi="Aptos"/>
          <w:caps/>
          <w:sz w:val="24"/>
        </w:rPr>
        <w:t xml:space="preserve"> </w:t>
      </w:r>
      <w:bookmarkStart w:id="2058" w:name="_Toc236844421"/>
      <w:bookmarkStart w:id="2059" w:name="_Toc172896767"/>
      <w:bookmarkEnd w:id="2058"/>
      <w:bookmarkEnd w:id="2059"/>
      <w:r>
        <w:rPr>
          <w:rFonts w:ascii="Times New Roman;Times;serif" w:hAnsi="Times New Roman;Times;serif"/>
          <w:caps/>
          <w:sz w:val="22"/>
        </w:rPr>
        <w:t>MISCELLANEOUS</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11.1</w:t>
      </w:r>
      <w:bookmarkStart w:id="2060" w:name="_Toc236844422"/>
      <w:bookmarkStart w:id="2061" w:name="_Toc172896768"/>
      <w:bookmarkEnd w:id="2060"/>
      <w:bookmarkEnd w:id="2061"/>
      <w:r>
        <w:rPr>
          <w:rFonts w:ascii="Times New Roman;Times;serif" w:hAnsi="Times New Roman;Times;serif"/>
          <w:sz w:val="22"/>
          <w:u w:val="single"/>
        </w:rPr>
        <w:t>Lenders’ Independent Investigation</w:t>
      </w:r>
      <w:r>
        <w:rPr>
          <w:rFonts w:ascii="Times New Roman;Times;serif" w:hAnsi="Times New Roman;Times;serif"/>
          <w:sz w:val="22"/>
        </w:rPr>
        <w:t>.  Each Lender, by its signature to this Agreement, acknowledges and agrees that Agent has made no representation or warranty, express or implied, with respect to the creditworthiness, financial condition, or any other condition of any Company or with respect to the statements contained in any information memorandum furnished in connection herewith or in any other oral or written communication between Agent and such Lender.  Each Lender represents that it has made and shall continue to make its own independent investigation of the creditworthiness, financial condition and affairs of the Companies in connection with the extension of credit hereunder, and agrees that Agent has no duty or responsibility, either initially or on a continuing basis, to provide any Lender with any credit or other information with respect thereto (other than such notices as may be expressly required to be given by Agent to the Lenders hereunder), whether coming into its possession before the first Credit Event hereunder or at any time or times thereafter.  Each Lender further represents that it has reviewed each of the Loan Documents.</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11.2</w:t>
      </w:r>
      <w:bookmarkStart w:id="2062" w:name="_Toc236844423"/>
      <w:bookmarkStart w:id="2063" w:name="_Toc172896769"/>
      <w:bookmarkEnd w:id="2062"/>
      <w:bookmarkEnd w:id="2063"/>
      <w:r>
        <w:rPr>
          <w:rFonts w:ascii="Times New Roman;Times;serif" w:hAnsi="Times New Roman;Times;serif"/>
          <w:sz w:val="22"/>
          <w:u w:val="single"/>
        </w:rPr>
        <w:t>No Waiver; Cumulative Remedies</w:t>
      </w:r>
      <w:r>
        <w:rPr>
          <w:rFonts w:ascii="Times New Roman;Times;serif" w:hAnsi="Times New Roman;Times;serif"/>
          <w:sz w:val="22"/>
        </w:rPr>
        <w:t>.  No omission or course of dealing on the part of Agent, any Lender or the holder of any Note (or, if there is no Note, the holder of the interest as reflected on the books and records of Agent) in exercising any right, power or remedy hereunder or under any of the Loan Documents shall operate as a waiver thereof; nor shall any single or partial exercise of any such right, power or remedy preclude any other or further exercise thereof or the exercise of any other right, power or remedy hereunder or under any of the Loan Documents.  The remedies herein provided are cumulative and in addition to any other rights, powers or privileges held under any of the Loan Documents or by operation of law, by contract or otherwise.</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123</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11.3</w:t>
      </w:r>
      <w:bookmarkStart w:id="2064" w:name="_Toc236844424"/>
      <w:bookmarkStart w:id="2065" w:name="_Toc172896770"/>
      <w:bookmarkEnd w:id="2064"/>
      <w:bookmarkEnd w:id="2065"/>
      <w:r>
        <w:rPr>
          <w:rFonts w:ascii="Times New Roman;Times;serif" w:hAnsi="Times New Roman;Times;serif"/>
          <w:sz w:val="22"/>
          <w:u w:val="single"/>
        </w:rPr>
        <w:t>Amendments, Waivers and Consents</w:t>
      </w:r>
      <w:r>
        <w:rPr>
          <w:rFonts w:ascii="Times New Roman;Times;serif" w:hAnsi="Times New Roman;Times;serif"/>
          <w:sz w:val="22"/>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(a)</w:t>
      </w:r>
      <w:r>
        <w:rPr>
          <w:rFonts w:ascii="Times New Roman;Times;serif" w:hAnsi="Times New Roman;Times;serif"/>
          <w:sz w:val="22"/>
          <w:u w:val="single"/>
        </w:rPr>
        <w:t>General Rule</w:t>
      </w:r>
      <w:r>
        <w:rPr>
          <w:rFonts w:ascii="Times New Roman;Times;serif" w:hAnsi="Times New Roman;Times;serif"/>
          <w:sz w:val="22"/>
        </w:rPr>
        <w:t>.  No amendment, modification, termination, or waiver of any provision of any Loan Document nor consent to any variance therefrom, shall be effective unless the same shall be in writing and signed by the Required Lenders and then such waiver or consent shall be effective only in the specific instance and for the specific purpose for which given.</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(b)</w:t>
      </w:r>
      <w:r>
        <w:rPr>
          <w:rFonts w:ascii="Times New Roman;Times;serif" w:hAnsi="Times New Roman;Times;serif"/>
          <w:sz w:val="22"/>
          <w:u w:val="single"/>
        </w:rPr>
        <w:t>Exceptions to the General Rule</w:t>
      </w:r>
      <w:r>
        <w:rPr>
          <w:rFonts w:ascii="Times New Roman;Times;serif" w:hAnsi="Times New Roman;Times;serif"/>
          <w:sz w:val="22"/>
        </w:rPr>
        <w:t xml:space="preserve">.  Notwithstanding the provisions of subsection (a) of this </w:t>
      </w:r>
      <w:r>
        <w:rPr>
          <w:rFonts w:ascii="Times New Roman;Times;serif" w:hAnsi="Times New Roman;Times;serif"/>
          <w:sz w:val="22"/>
          <w:u w:val="single"/>
        </w:rPr>
        <w:t>Section 11.3</w:t>
      </w:r>
      <w:r>
        <w:rPr>
          <w:rFonts w:ascii="Times New Roman;Times;serif" w:hAnsi="Times New Roman;Times;serif"/>
          <w:sz w:val="22"/>
        </w:rPr>
        <w:t>:</w:t>
      </w:r>
    </w:p>
    <w:p>
      <w:pPr>
        <w:pStyle w:val="TextBody"/>
        <w:bidi w:val="0"/>
        <w:spacing w:lineRule="auto" w:line="285" w:before="0" w:after="240"/>
        <w:ind w:left="720" w:right="0" w:hanging="0"/>
        <w:jc w:val="both"/>
        <w:rPr>
          <w:rFonts w:ascii="Aptos" w:hAnsi="Aptos"/>
          <w:sz w:val="24"/>
        </w:rPr>
      </w:pPr>
      <w:r>
        <w:rPr>
          <w:rFonts w:ascii="Times New Roman;Times;serif" w:hAnsi="Times New Roman;Times;serif"/>
          <w:sz w:val="22"/>
        </w:rPr>
        <w:t>(i)</w:t>
      </w:r>
      <w:r>
        <w:rPr>
          <w:rFonts w:ascii="Times New Roman;Times;serif" w:hAnsi="Times New Roman;Times;serif"/>
          <w:sz w:val="22"/>
          <w:u w:val="single"/>
        </w:rPr>
        <w:t>Specific Consent Requirements</w:t>
      </w:r>
      <w:r>
        <w:rPr>
          <w:rFonts w:ascii="Times New Roman;Times;serif" w:hAnsi="Times New Roman;Times;serif"/>
          <w:sz w:val="22"/>
        </w:rPr>
        <w:t>: No amendment, waiver or consent shall:</w:t>
      </w:r>
    </w:p>
    <w:p>
      <w:pPr>
        <w:pStyle w:val="TextBody"/>
        <w:bidi w:val="0"/>
        <w:spacing w:lineRule="auto" w:line="285" w:before="0" w:after="240"/>
        <w:ind w:left="1440" w:right="0" w:hanging="0"/>
        <w:jc w:val="both"/>
        <w:rPr>
          <w:rFonts w:ascii="Aptos" w:hAnsi="Aptos"/>
          <w:sz w:val="24"/>
        </w:rPr>
      </w:pPr>
      <w:r>
        <w:rPr>
          <w:rFonts w:ascii="Times New Roman;Times;serif" w:hAnsi="Times New Roman;Times;serif"/>
          <w:sz w:val="24"/>
        </w:rPr>
        <w:t>(A)</w:t>
      </w:r>
      <w:r>
        <w:rPr>
          <w:rFonts w:ascii="Times New Roman;Times;serif" w:hAnsi="Times New Roman;Times;serif"/>
          <w:sz w:val="22"/>
        </w:rPr>
        <w:t>increase the Commitment of any Lender hereunder or the amount of any Loans of any Lender, in any case, without such Lender’s written consent;</w:t>
      </w:r>
    </w:p>
    <w:p>
      <w:pPr>
        <w:pStyle w:val="TextBody"/>
        <w:bidi w:val="0"/>
        <w:spacing w:lineRule="auto" w:line="285" w:before="0" w:after="240"/>
        <w:ind w:left="1440" w:right="0" w:hanging="0"/>
        <w:jc w:val="both"/>
        <w:rPr>
          <w:rFonts w:ascii="Aptos" w:hAnsi="Aptos"/>
          <w:sz w:val="24"/>
        </w:rPr>
      </w:pPr>
      <w:r>
        <w:rPr>
          <w:rFonts w:ascii="Times New Roman;Times;serif" w:hAnsi="Times New Roman;Times;serif"/>
          <w:sz w:val="24"/>
        </w:rPr>
        <w:t>(B)</w:t>
      </w:r>
      <w:r>
        <w:rPr>
          <w:rFonts w:ascii="Times New Roman;Times;serif" w:hAnsi="Times New Roman;Times;serif"/>
          <w:sz w:val="22"/>
        </w:rPr>
        <w:t>waive, extend or postpone the maturity of any Loan, the payment date of interest or scheduled principal hereunder, or the payment date of commitment fees payable hereunder, in any case without the written consent of each Lender directly and adversely affected thereby;</w:t>
      </w:r>
    </w:p>
    <w:p>
      <w:pPr>
        <w:pStyle w:val="TextBody"/>
        <w:bidi w:val="0"/>
        <w:spacing w:lineRule="auto" w:line="285" w:before="0" w:after="240"/>
        <w:ind w:left="1440" w:right="0" w:hanging="0"/>
        <w:jc w:val="both"/>
        <w:rPr>
          <w:rFonts w:ascii="Aptos" w:hAnsi="Aptos"/>
          <w:sz w:val="24"/>
        </w:rPr>
      </w:pPr>
      <w:r>
        <w:rPr>
          <w:rFonts w:ascii="Times New Roman;Times;serif" w:hAnsi="Times New Roman;Times;serif"/>
          <w:sz w:val="24"/>
        </w:rPr>
        <w:t>(C)</w:t>
      </w:r>
      <w:r>
        <w:rPr>
          <w:rFonts w:ascii="Times New Roman;Times;serif" w:hAnsi="Times New Roman;Times;serif"/>
          <w:sz w:val="22"/>
        </w:rPr>
        <w:t>reduce the stated rate of interest on any Loan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 xml:space="preserve">that the waiver of the Default Rate shall not constitute a decrease in interest rate pursuant to this </w:t>
      </w:r>
      <w:r>
        <w:rPr>
          <w:rFonts w:ascii="Times New Roman;Times;serif" w:hAnsi="Times New Roman;Times;serif"/>
          <w:sz w:val="22"/>
          <w:u w:val="single"/>
        </w:rPr>
        <w:t>Section 11.3</w:t>
      </w:r>
      <w:r>
        <w:rPr>
          <w:rFonts w:ascii="Times New Roman;Times;serif" w:hAnsi="Times New Roman;Times;serif"/>
          <w:sz w:val="22"/>
        </w:rPr>
        <w:t>), or the amount of interest or scheduled principal due on any Loan, or reduce the stated rate of commitment fees payable hereunder or change the manner of pro rata application of any payments made by Borrowers to the Lenders hereunder, in each case, without the written consent of each Lender directly and adversely affected thereby,</w:t>
      </w:r>
    </w:p>
    <w:p>
      <w:pPr>
        <w:pStyle w:val="TextBody"/>
        <w:bidi w:val="0"/>
        <w:spacing w:lineRule="auto" w:line="285" w:before="0" w:after="240"/>
        <w:ind w:left="1440" w:right="0" w:hanging="0"/>
        <w:jc w:val="both"/>
        <w:rPr>
          <w:rFonts w:ascii="Aptos" w:hAnsi="Aptos"/>
          <w:sz w:val="24"/>
        </w:rPr>
      </w:pPr>
      <w:r>
        <w:rPr>
          <w:rFonts w:ascii="Times New Roman;Times;serif" w:hAnsi="Times New Roman;Times;serif"/>
          <w:sz w:val="24"/>
        </w:rPr>
        <w:t>(D)</w:t>
      </w:r>
      <w:r>
        <w:rPr>
          <w:rFonts w:ascii="Times New Roman;Times;serif" w:hAnsi="Times New Roman;Times;serif"/>
          <w:sz w:val="22"/>
        </w:rPr>
        <w:t>change any percentage voting requirement, voting rights, or the Required Lenders definition in this Agreement, in each case, without the consent of each Lender directly and adversely affected thereby;</w:t>
      </w:r>
    </w:p>
    <w:p>
      <w:pPr>
        <w:pStyle w:val="TextBody"/>
        <w:bidi w:val="0"/>
        <w:spacing w:lineRule="auto" w:line="285" w:before="0" w:after="240"/>
        <w:ind w:left="1440" w:right="0" w:hanging="0"/>
        <w:jc w:val="both"/>
        <w:rPr>
          <w:rFonts w:ascii="Aptos" w:hAnsi="Aptos"/>
          <w:sz w:val="24"/>
        </w:rPr>
      </w:pPr>
      <w:r>
        <w:rPr>
          <w:rFonts w:ascii="Times New Roman;Times;serif" w:hAnsi="Times New Roman;Times;serif"/>
          <w:sz w:val="24"/>
        </w:rPr>
        <w:t>(E)</w:t>
      </w:r>
      <w:r>
        <w:rPr>
          <w:rFonts w:ascii="Times New Roman;Times;serif" w:hAnsi="Times New Roman;Times;serif"/>
          <w:sz w:val="22"/>
        </w:rPr>
        <w:t xml:space="preserve">release (i) the US Borrower without the written consent of each Lender or (ii) except in connection with an asset sale or disposition transaction otherwise permitted under this Agreement of all of the equity of a Guarantor of Payment to a purchaser that is unaffiliated with the US Borrower, any Guarantor of Payment; </w:t>
      </w:r>
      <w:r>
        <w:rPr>
          <w:rFonts w:ascii="Times New Roman;Times;serif" w:hAnsi="Times New Roman;Times;serif"/>
          <w:sz w:val="22"/>
          <w:u w:val="single"/>
        </w:rPr>
        <w:t>provided</w:t>
      </w:r>
      <w:r>
        <w:rPr>
          <w:rFonts w:ascii="Times New Roman;Times;serif" w:hAnsi="Times New Roman;Times;serif"/>
          <w:sz w:val="22"/>
        </w:rPr>
        <w:t>, however, that any such release of a Guarantor of Payment shall not result in a release of all or substantially all of the value of the Guaranties of Payment;</w:t>
      </w:r>
    </w:p>
    <w:p>
      <w:pPr>
        <w:pStyle w:val="TextBody"/>
        <w:bidi w:val="0"/>
        <w:spacing w:lineRule="auto" w:line="285" w:before="0" w:after="240"/>
        <w:ind w:left="1440" w:right="0" w:hanging="0"/>
        <w:jc w:val="both"/>
        <w:rPr>
          <w:rFonts w:ascii="Aptos" w:hAnsi="Aptos"/>
          <w:sz w:val="24"/>
        </w:rPr>
      </w:pPr>
      <w:r>
        <w:rPr>
          <w:rFonts w:ascii="Times New Roman;Times;serif" w:hAnsi="Times New Roman;Times;serif"/>
          <w:sz w:val="24"/>
        </w:rPr>
        <w:t>(F)</w:t>
      </w:r>
      <w:r>
        <w:rPr>
          <w:rFonts w:ascii="Times New Roman;Times;serif" w:hAnsi="Times New Roman;Times;serif"/>
          <w:sz w:val="22"/>
        </w:rPr>
        <w:t xml:space="preserve">amend (x) this </w:t>
      </w:r>
      <w:r>
        <w:rPr>
          <w:rFonts w:ascii="Times New Roman;Times;serif" w:hAnsi="Times New Roman;Times;serif"/>
          <w:sz w:val="22"/>
          <w:u w:val="single"/>
        </w:rPr>
        <w:t>Section 11.3</w:t>
      </w:r>
      <w:r>
        <w:rPr>
          <w:rFonts w:ascii="Times New Roman;Times;serif" w:hAnsi="Times New Roman;Times;serif"/>
          <w:sz w:val="22"/>
        </w:rPr>
        <w:t>,  </w:t>
      </w:r>
      <w:r>
        <w:rPr>
          <w:rFonts w:ascii="Times New Roman;Times;serif" w:hAnsi="Times New Roman;Times;serif"/>
          <w:sz w:val="22"/>
          <w:u w:val="single"/>
        </w:rPr>
        <w:t>Section 8.5</w:t>
      </w:r>
      <w:r>
        <w:rPr>
          <w:rFonts w:ascii="Times New Roman;Times;serif" w:hAnsi="Times New Roman;Times;serif"/>
          <w:sz w:val="22"/>
        </w:rPr>
        <w:t xml:space="preserve">, </w:t>
      </w:r>
      <w:r>
        <w:rPr>
          <w:rFonts w:ascii="Times New Roman;Times;serif" w:hAnsi="Times New Roman;Times;serif"/>
          <w:sz w:val="22"/>
          <w:u w:val="single"/>
        </w:rPr>
        <w:t>Section 8.7</w:t>
      </w:r>
      <w:r>
        <w:rPr>
          <w:rFonts w:ascii="Aptos" w:hAnsi="Aptos"/>
          <w:sz w:val="24"/>
        </w:rPr>
        <w:t xml:space="preserve"> </w:t>
      </w:r>
      <w:r>
        <w:rPr>
          <w:rFonts w:ascii="Times New Roman;Times;serif" w:hAnsi="Times New Roman;Times;serif"/>
          <w:sz w:val="22"/>
        </w:rPr>
        <w:t xml:space="preserve">or </w:t>
      </w:r>
      <w:r>
        <w:rPr>
          <w:rFonts w:ascii="Times New Roman;Times;serif" w:hAnsi="Times New Roman;Times;serif"/>
          <w:sz w:val="22"/>
          <w:u w:val="single"/>
        </w:rPr>
        <w:t>Section 9.8</w:t>
      </w:r>
      <w:r>
        <w:rPr>
          <w:rFonts w:ascii="Times New Roman;Times;serif" w:hAnsi="Times New Roman;Times;serif"/>
          <w:sz w:val="22"/>
        </w:rPr>
        <w:t xml:space="preserve">, in each case, without the written consent of each Lender directly and adversely affected thereby or (y) </w:t>
      </w:r>
      <w:r>
        <w:rPr>
          <w:rFonts w:ascii="Times New Roman;Times;serif" w:hAnsi="Times New Roman;Times;serif"/>
          <w:sz w:val="22"/>
          <w:u w:val="single"/>
        </w:rPr>
        <w:t>Section 5.29</w:t>
      </w:r>
      <w:r>
        <w:rPr>
          <w:rFonts w:ascii="Aptos" w:hAnsi="Aptos"/>
          <w:sz w:val="24"/>
        </w:rPr>
        <w:t xml:space="preserve"> </w:t>
      </w:r>
      <w:r>
        <w:rPr>
          <w:rFonts w:ascii="Times New Roman;Times;serif" w:hAnsi="Times New Roman;Times;serif"/>
          <w:sz w:val="22"/>
        </w:rPr>
        <w:t xml:space="preserve">without the written consent of each Lender directly and adversely affected thereby unless each adversely affected Lender has been offered a bona fide opportunity to participate in, fund or otherwise provide its pro rata share (based on the amount of Total Credit Exposure adversely affected thereby held by each Lender) of any transaction in respect of which an amendment to </w:t>
      </w:r>
      <w:r>
        <w:rPr>
          <w:rFonts w:ascii="Times New Roman;Times;serif" w:hAnsi="Times New Roman;Times;serif"/>
          <w:sz w:val="22"/>
          <w:u w:val="single"/>
        </w:rPr>
        <w:t>Section 5.29 is being obtained</w:t>
      </w:r>
      <w:r>
        <w:rPr>
          <w:rFonts w:ascii="Times New Roman;Times;serif" w:hAnsi="Times New Roman;Times;serif"/>
          <w:sz w:val="22"/>
        </w:rPr>
        <w:t>, on the same terms (other than bona fide backstop fees, any arrangement or restructuring fees and reimbursement of counsel fees and other expenses in connection with the negotiation of the terms of such transaction; such fees and expenses, “</w:t>
      </w:r>
      <w:r>
        <w:rPr>
          <w:rFonts w:ascii="Times New Roman;Times;serif" w:hAnsi="Times New Roman;Times;serif"/>
          <w:sz w:val="22"/>
          <w:u w:val="single"/>
        </w:rPr>
        <w:t>Ancillary Fees</w:t>
      </w:r>
      <w:r>
        <w:rPr>
          <w:rFonts w:ascii="Aptos" w:hAnsi="Aptos"/>
          <w:sz w:val="24"/>
        </w:rPr>
        <w:t>”</w:t>
      </w:r>
      <w:r>
        <w:rPr>
          <w:rFonts w:ascii="Times New Roman;Times;serif" w:hAnsi="Times New Roman;Times;serif"/>
          <w:sz w:val="22"/>
        </w:rPr>
        <w:t xml:space="preserve">) as offered to all other providers or participants in any transaction to be effected by way of any such amendment (or their Affiliates) pursuant to a written offer made to each such adversely affected Lender describing the material terms of the transactions to be effected by way of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124</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1440" w:right="0" w:hanging="0"/>
        <w:jc w:val="both"/>
        <w:rPr>
          <w:rFonts w:ascii="Times New Roman;Times;serif" w:hAnsi="Times New Roman;Times;serif"/>
          <w:sz w:val="22"/>
        </w:rPr>
      </w:pPr>
      <w:r>
        <w:rPr>
          <w:rFonts w:ascii="Times New Roman;Times;serif" w:hAnsi="Times New Roman;Times;serif"/>
          <w:sz w:val="22"/>
        </w:rPr>
        <w:t>such amendment, and which offer shall remain open to each adversely affected Lender for a period of not less than ten (10) Business Days; or</w:t>
      </w:r>
    </w:p>
    <w:p>
      <w:pPr>
        <w:pStyle w:val="TextBody"/>
        <w:bidi w:val="0"/>
        <w:spacing w:lineRule="auto" w:line="285" w:before="0" w:after="0"/>
        <w:ind w:left="1440" w:right="0" w:hanging="0"/>
        <w:jc w:val="both"/>
        <w:rPr>
          <w:rFonts w:ascii="Aptos" w:hAnsi="Aptos"/>
          <w:sz w:val="24"/>
        </w:rPr>
      </w:pPr>
      <w:r>
        <w:rPr>
          <w:rFonts w:ascii="Times New Roman;Times;serif" w:hAnsi="Times New Roman;Times;serif"/>
          <w:sz w:val="24"/>
        </w:rPr>
        <w:t>(G)</w:t>
      </w:r>
      <w:r>
        <w:rPr>
          <w:rFonts w:ascii="Times New Roman;Times;serif" w:hAnsi="Times New Roman;Times;serif"/>
          <w:sz w:val="22"/>
        </w:rPr>
        <w:t>(1) release or subordinate all or substantially all of the Collateral or release or subordinate any Security Document (or any Lien created thereby) which would have the effect of releasing all or substantially all of the Collateral in any transaction or series of transactions, without the consent of each Lender, (2) subordinate, or have the effect of subordinating, the Obligations in right of payment or otherwise adversely affect the priority of payment of any of such Obligations or (3) subordinate the Liens securing any Obligations in a disproportionate and adverse manner relative to the effect on the Liens of any other holder of the Obligations, in each case of clause (2) and (3) without the written consent of each of the Lenders directly and adversely affected thereby.</w:t>
      </w:r>
    </w:p>
    <w:p>
      <w:pPr>
        <w:pStyle w:val="TextBody"/>
        <w:bidi w:val="0"/>
        <w:spacing w:lineRule="auto" w:line="285" w:before="0" w:after="240"/>
        <w:ind w:left="720" w:right="0" w:hanging="0"/>
        <w:jc w:val="both"/>
        <w:rPr>
          <w:rFonts w:ascii="Aptos" w:hAnsi="Aptos"/>
          <w:sz w:val="24"/>
        </w:rPr>
      </w:pPr>
      <w:r>
        <w:rPr>
          <w:rFonts w:ascii="Times New Roman;Times;serif" w:hAnsi="Times New Roman;Times;serif"/>
          <w:sz w:val="22"/>
        </w:rPr>
        <w:t>(ii)</w:t>
      </w:r>
      <w:r>
        <w:rPr>
          <w:rFonts w:ascii="Times New Roman;Times;serif" w:hAnsi="Times New Roman;Times;serif"/>
          <w:sz w:val="22"/>
          <w:u w:val="single"/>
        </w:rPr>
        <w:t>Provisions Relating to Special Rights and Duties</w:t>
      </w:r>
      <w:r>
        <w:rPr>
          <w:rFonts w:ascii="Times New Roman;Times;serif" w:hAnsi="Times New Roman;Times;serif"/>
          <w:sz w:val="22"/>
        </w:rPr>
        <w:t>.  No provision of this Agreement affecting Agent in its capacity as such shall be amended, modified or waived without the consent of Agent.  No provision of this Agreement relating to the rights or duties of the Fronting Lender in its capacity as such shall be amended, modified or waived without the consent of the Fronting Lender. No provision of this Agreement relating to the rights or duties of the Swing Line Lender in its capacity as such shall be amended, modified or waived without the consent of the Swing Line Lender.</w:t>
      </w:r>
    </w:p>
    <w:p>
      <w:pPr>
        <w:pStyle w:val="TextBody"/>
        <w:bidi w:val="0"/>
        <w:spacing w:lineRule="auto" w:line="285" w:before="0" w:after="240"/>
        <w:ind w:left="720" w:right="0" w:hanging="0"/>
        <w:jc w:val="both"/>
        <w:rPr>
          <w:rFonts w:ascii="Aptos" w:hAnsi="Aptos"/>
          <w:sz w:val="24"/>
        </w:rPr>
      </w:pPr>
      <w:r>
        <w:rPr>
          <w:rFonts w:ascii="Times New Roman;Times;serif" w:hAnsi="Times New Roman;Times;serif"/>
          <w:sz w:val="22"/>
        </w:rPr>
        <w:t>(iii)</w:t>
      </w:r>
      <w:r>
        <w:rPr>
          <w:rFonts w:ascii="Times New Roman;Times;serif" w:hAnsi="Times New Roman;Times;serif"/>
          <w:sz w:val="22"/>
          <w:u w:val="single"/>
        </w:rPr>
        <w:t>Incremental Term Loans</w:t>
      </w:r>
      <w:r>
        <w:rPr>
          <w:rFonts w:ascii="Times New Roman;Times;serif" w:hAnsi="Times New Roman;Times;serif"/>
          <w:sz w:val="22"/>
        </w:rPr>
        <w:t xml:space="preserve">.  The Loan Documents may be amended by Agent and US Borrower only to effect Incremental Term Loans and Incremental Term Loan Commitments pursuant </w:t>
      </w:r>
      <w:r>
        <w:rPr>
          <w:rFonts w:ascii="Times New Roman;Times;serif" w:hAnsi="Times New Roman;Times;serif"/>
          <w:sz w:val="22"/>
          <w:u w:val="single"/>
        </w:rPr>
        <w:t>Section 2.9(b)</w:t>
      </w:r>
      <w:r>
        <w:rPr>
          <w:rFonts w:ascii="Aptos" w:hAnsi="Aptos"/>
          <w:sz w:val="24"/>
        </w:rPr>
        <w:t xml:space="preserve"> </w:t>
      </w:r>
      <w:r>
        <w:rPr>
          <w:rFonts w:ascii="Times New Roman;Times;serif" w:hAnsi="Times New Roman;Times;serif"/>
          <w:sz w:val="22"/>
        </w:rPr>
        <w:t xml:space="preserve">hereof;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that no amendment or modification shall result in any increase in the amount of any Lender’s Commitment or any increase in any Lender’s Commitment Percentage, in each case, without the written consent of such affected Lender.</w:t>
      </w:r>
    </w:p>
    <w:p>
      <w:pPr>
        <w:pStyle w:val="TextBody"/>
        <w:bidi w:val="0"/>
        <w:spacing w:lineRule="auto" w:line="285" w:before="0" w:after="0"/>
        <w:ind w:left="720" w:right="0" w:hanging="0"/>
        <w:jc w:val="both"/>
        <w:rPr>
          <w:rFonts w:ascii="Aptos" w:hAnsi="Aptos"/>
          <w:sz w:val="24"/>
        </w:rPr>
      </w:pPr>
      <w:r>
        <w:rPr>
          <w:rFonts w:ascii="Times New Roman;Times;serif" w:hAnsi="Times New Roman;Times;serif"/>
          <w:sz w:val="22"/>
        </w:rPr>
        <w:t>(iv)</w:t>
      </w:r>
      <w:r>
        <w:rPr>
          <w:rFonts w:ascii="Times New Roman;Times;serif" w:hAnsi="Times New Roman;Times;serif"/>
          <w:sz w:val="22"/>
          <w:u w:val="single"/>
        </w:rPr>
        <w:t>Benchmark Replacement</w:t>
      </w:r>
      <w:r>
        <w:rPr>
          <w:rFonts w:ascii="Times New Roman;Times;serif" w:hAnsi="Times New Roman;Times;serif"/>
          <w:sz w:val="22"/>
        </w:rPr>
        <w:t xml:space="preserve">.  Agent may, without the consent of any Lender, enter into amendments or modifications to this Agreement or any of the other Loan Documents or to enter into additional Loan Documents as Agent reasonably deems appropriate in order to implement any Benchmark Replacement or otherwise effectuate the terms of </w:t>
      </w:r>
      <w:r>
        <w:rPr>
          <w:rFonts w:ascii="Times New Roman;Times;serif" w:hAnsi="Times New Roman;Times;serif"/>
          <w:sz w:val="22"/>
          <w:u w:val="single"/>
        </w:rPr>
        <w:t>Section 3.5(c)</w:t>
      </w:r>
      <w:r>
        <w:rPr>
          <w:rFonts w:ascii="Aptos" w:hAnsi="Aptos"/>
          <w:sz w:val="24"/>
        </w:rPr>
        <w:t xml:space="preserve"> </w:t>
      </w:r>
      <w:r>
        <w:rPr>
          <w:rFonts w:ascii="Times New Roman;Times;serif" w:hAnsi="Times New Roman;Times;serif"/>
          <w:sz w:val="22"/>
        </w:rPr>
        <w:t xml:space="preserve">in accordance with the terms of </w:t>
      </w:r>
      <w:r>
        <w:rPr>
          <w:rFonts w:ascii="Times New Roman;Times;serif" w:hAnsi="Times New Roman;Times;serif"/>
          <w:sz w:val="22"/>
          <w:u w:val="single"/>
        </w:rPr>
        <w:t>Section 3.5(c)</w:t>
      </w:r>
      <w:r>
        <w:rPr>
          <w:rFonts w:ascii="Times New Roman;Times;serif" w:hAnsi="Times New Roman;Times;serif"/>
          <w:sz w:val="22"/>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(c)</w:t>
      </w:r>
      <w:r>
        <w:rPr>
          <w:rFonts w:ascii="Times New Roman;Times;serif" w:hAnsi="Times New Roman;Times;serif"/>
          <w:sz w:val="22"/>
          <w:u w:val="single"/>
        </w:rPr>
        <w:t>Replacement of Non-Consenting Lender</w:t>
      </w:r>
      <w:r>
        <w:rPr>
          <w:rFonts w:ascii="Times New Roman;Times;serif" w:hAnsi="Times New Roman;Times;serif"/>
          <w:sz w:val="22"/>
        </w:rPr>
        <w:t xml:space="preserve">.  Non-Consenting Lenders may be replaced pursuant to the terms of </w:t>
      </w:r>
      <w:r>
        <w:rPr>
          <w:rFonts w:ascii="Times New Roman;Times;serif" w:hAnsi="Times New Roman;Times;serif"/>
          <w:sz w:val="22"/>
          <w:u w:val="single"/>
        </w:rPr>
        <w:t>Section 3.4(b)</w:t>
      </w:r>
      <w:r>
        <w:rPr>
          <w:rFonts w:ascii="Aptos" w:hAnsi="Aptos"/>
          <w:sz w:val="24"/>
        </w:rPr>
        <w:t xml:space="preserve"> </w:t>
      </w:r>
      <w:r>
        <w:rPr>
          <w:rFonts w:ascii="Times New Roman;Times;serif" w:hAnsi="Times New Roman;Times;serif"/>
          <w:sz w:val="22"/>
        </w:rPr>
        <w:t>hereof.</w:t>
      </w:r>
    </w:p>
    <w:p>
      <w:pPr>
        <w:pStyle w:val="TextBody"/>
        <w:bidi w:val="0"/>
        <w:spacing w:lineRule="auto" w:line="285" w:before="0" w:after="0"/>
        <w:ind w:left="0" w:right="0" w:hanging="0"/>
        <w:jc w:val="both"/>
        <w:rPr>
          <w:rFonts w:ascii="Aptos" w:hAnsi="Aptos"/>
          <w:sz w:val="24"/>
        </w:rPr>
      </w:pPr>
      <w:r>
        <w:rPr>
          <w:rFonts w:ascii="Times New Roman;Times;serif" w:hAnsi="Times New Roman;Times;serif"/>
          <w:sz w:val="22"/>
        </w:rPr>
        <w:t>(d)</w:t>
      </w:r>
      <w:r>
        <w:rPr>
          <w:rFonts w:ascii="Times New Roman;Times;serif" w:hAnsi="Times New Roman;Times;serif"/>
          <w:sz w:val="22"/>
          <w:u w:val="single"/>
        </w:rPr>
        <w:t>Generally</w:t>
      </w:r>
      <w:r>
        <w:rPr>
          <w:rFonts w:ascii="Times New Roman;Times;serif" w:hAnsi="Times New Roman;Times;serif"/>
          <w:sz w:val="22"/>
        </w:rPr>
        <w:t xml:space="preserve">.  Notice of amendments, waivers or consents ratified by the Lenders hereunder shall be forwarded by Agent to all of the Lenders.  Each Lender or other holder of a Note (or if there is no Note, the holder of the interest as reflected on the books and records of Agent) (or interest in any Loan or Letter of Credit) shall be bound by any amendment, waiver or consent obtained as authorized by this </w:t>
      </w:r>
      <w:r>
        <w:rPr>
          <w:rFonts w:ascii="Times New Roman;Times;serif" w:hAnsi="Times New Roman;Times;serif"/>
          <w:sz w:val="22"/>
          <w:u w:val="single"/>
        </w:rPr>
        <w:t>Section 11.3</w:t>
      </w:r>
      <w:r>
        <w:rPr>
          <w:rFonts w:ascii="Times New Roman;Times;serif" w:hAnsi="Times New Roman;Times;serif"/>
          <w:sz w:val="22"/>
        </w:rPr>
        <w:t>, regardless of its failure to agree thereto.</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11.4</w:t>
      </w:r>
      <w:bookmarkStart w:id="2066" w:name="_Toc236844425"/>
      <w:bookmarkStart w:id="2067" w:name="_Toc172896771"/>
      <w:bookmarkEnd w:id="2066"/>
      <w:bookmarkEnd w:id="2067"/>
      <w:r>
        <w:rPr>
          <w:rFonts w:ascii="Times New Roman;Times;serif" w:hAnsi="Times New Roman;Times;serif"/>
          <w:sz w:val="22"/>
          <w:u w:val="single"/>
        </w:rPr>
        <w:t>Notices</w:t>
      </w:r>
      <w:r>
        <w:rPr>
          <w:rFonts w:ascii="Times New Roman;Times;serif" w:hAnsi="Times New Roman;Times;serif"/>
          <w:sz w:val="22"/>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(a)</w:t>
      </w:r>
      <w:r>
        <w:rPr>
          <w:rFonts w:ascii="Times New Roman;Times;serif" w:hAnsi="Times New Roman;Times;serif"/>
          <w:sz w:val="22"/>
          <w:u w:val="single"/>
        </w:rPr>
        <w:t>Notices Generally</w:t>
      </w:r>
      <w:r>
        <w:rPr>
          <w:rFonts w:ascii="Times New Roman;Times;serif" w:hAnsi="Times New Roman;Times;serif"/>
          <w:sz w:val="22"/>
        </w:rPr>
        <w:t xml:space="preserve">.  All notices, requests, demands and other communications provided for hereunder shall be in writing and, if to a Borrower, mailed or delivered to it, addressed to it at the address specified on the signature pages of this Agreement (together with a courtesy copy thereof to US Borrower’s general counsel, mailed or delivered to TTEC Holdings, Inc., 6312 South Fiddler’s Green Circle, Suite 100N, Greenwood Village, CO 80111, Attention: Office of  the General Counsel or at such other address as shall be designated by US Borrower in a written notice to each of the other parties), if to a Lender, mailed or delivered to it, addressed to the address of such Lender specified on the signature pages of this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125</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 xml:space="preserve">Agreement, or, as to each party, at such other address as shall be designated by such party in a written notice to each of the other parties.  All notices, statements, requests, demands and other communications provided for hereunder shall be deemed to be given or made when hand delivered, delivered by overnight courier or five Business Days after being deposited in the mail with postage prepaid by registered or certified mail, addressed as aforesaid, or sent by facsimile with telephonic confirmation of receipt (if received during a Business Day, otherwise the following Business Day).  All notices hereunder shall not be effective until received.  For purposes of </w:t>
      </w:r>
      <w:r>
        <w:rPr>
          <w:rFonts w:ascii="Times New Roman;Times;serif" w:hAnsi="Times New Roman;Times;serif"/>
          <w:sz w:val="22"/>
          <w:u w:val="single"/>
        </w:rPr>
        <w:t>Article II</w:t>
      </w:r>
      <w:r>
        <w:rPr>
          <w:rFonts w:ascii="Aptos" w:hAnsi="Aptos"/>
          <w:sz w:val="24"/>
        </w:rPr>
        <w:t xml:space="preserve"> </w:t>
      </w:r>
      <w:r>
        <w:rPr>
          <w:rFonts w:ascii="Times New Roman;Times;serif" w:hAnsi="Times New Roman;Times;serif"/>
          <w:sz w:val="22"/>
        </w:rPr>
        <w:t>hereof, Agent shall be entitled to rely on telephonic instructions from any person that Agent in good faith believes is an Authorized Officer and US Borrower shall hold Agent and each Lender harmless from any loss, cost or expense resulting from any such reliance. Notices delivered through electronic communications to the extent provided in paragraph (b) below, shall be effective as provided in said paragraph (b).  Whenever any notice or other deliverable (other than payments, the timing of which shall be governed by Section 2.6(e) hereof) to be made hereunder shall be stated to be due on a day that is not a Business Day, such notice or other deliverable shall be due on the next Business Day.</w:t>
      </w:r>
    </w:p>
    <w:p>
      <w:pPr>
        <w:pStyle w:val="TextBody"/>
        <w:bidi w:val="0"/>
        <w:spacing w:lineRule="auto" w:line="285" w:before="0" w:after="0"/>
        <w:ind w:left="0" w:right="0" w:hanging="0"/>
        <w:jc w:val="both"/>
        <w:rPr>
          <w:rFonts w:ascii="Aptos" w:hAnsi="Aptos"/>
          <w:sz w:val="24"/>
        </w:rPr>
      </w:pPr>
      <w:r>
        <w:rPr>
          <w:rFonts w:ascii="Times New Roman;Times;serif" w:hAnsi="Times New Roman;Times;serif"/>
          <w:sz w:val="22"/>
        </w:rPr>
        <w:t>(b)</w:t>
      </w:r>
      <w:r>
        <w:rPr>
          <w:rFonts w:ascii="Times New Roman;Times;serif" w:hAnsi="Times New Roman;Times;serif"/>
          <w:sz w:val="22"/>
          <w:u w:val="single"/>
        </w:rPr>
        <w:t>Electronic Communications</w:t>
      </w:r>
      <w:r>
        <w:rPr>
          <w:rFonts w:ascii="Times New Roman;Times;serif" w:hAnsi="Times New Roman;Times;serif"/>
          <w:sz w:val="22"/>
        </w:rPr>
        <w:t xml:space="preserve">.  Notices and other communications to the Lenders and the Fronting Lender hereunder may be delivered or furnished by electronic communication (including e-mail and Internet or intranet websites) pursuant to procedures approved by Agent,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 xml:space="preserve">that the foregoing shall not apply to notices to any Lender or Fronting Lender pursuant to </w:t>
      </w:r>
      <w:r>
        <w:rPr>
          <w:rFonts w:ascii="Times New Roman;Times;serif" w:hAnsi="Times New Roman;Times;serif"/>
          <w:sz w:val="22"/>
          <w:u w:val="single"/>
        </w:rPr>
        <w:t>Article II</w:t>
      </w:r>
      <w:r>
        <w:rPr>
          <w:rFonts w:ascii="Aptos" w:hAnsi="Aptos"/>
          <w:sz w:val="24"/>
        </w:rPr>
        <w:t xml:space="preserve"> </w:t>
      </w:r>
      <w:r>
        <w:rPr>
          <w:rFonts w:ascii="Times New Roman;Times;serif" w:hAnsi="Times New Roman;Times;serif"/>
          <w:sz w:val="22"/>
        </w:rPr>
        <w:t xml:space="preserve">if such Lender or the Fronting Lender, as applicable, has notified Agent that is incapable of receiving notices under such Article by electronic communication.  Agent or any Borrower may, in its discretion, agree to accept notices and other communications to it hereunder by electronic communications pursuant to procedures approved by it,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 xml:space="preserve">that approval of such procedures may be limited to particular notices or communications.  Unless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that, for both clauses (i) and (ii) above, if such notice, email or other communication is not sent during the normal business hours of the recipient, such notice, email or other communication shall be deemed to have been sent at the opening of business on the next business day for the recipient.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11.5</w:t>
      </w:r>
      <w:bookmarkStart w:id="2068" w:name="_Toc236844426"/>
      <w:bookmarkStart w:id="2069" w:name="_Toc172896772"/>
      <w:bookmarkEnd w:id="2068"/>
      <w:bookmarkEnd w:id="2069"/>
      <w:r>
        <w:rPr>
          <w:rFonts w:ascii="Times New Roman;Times;serif" w:hAnsi="Times New Roman;Times;serif"/>
          <w:sz w:val="22"/>
          <w:u w:val="single"/>
        </w:rPr>
        <w:t>Costs, Expenses and Documentary Taxes</w:t>
      </w:r>
      <w:r>
        <w:rPr>
          <w:rFonts w:ascii="Times New Roman;Times;serif" w:hAnsi="Times New Roman;Times;serif"/>
          <w:sz w:val="22"/>
        </w:rPr>
        <w:t xml:space="preserve">.  US Borrower agrees to pay within thirty (30) days of its receipt of an invoice (together with reasonable and customary supporting documentation) therefor, all reasonable costs and expenses of Agent and all Related Expenses, including but not limited to (a) syndication, administration, travel and out-of-pocket expenses, including but not limited to reasonable and documented out-of-pocket attorneys’ fees and expenses and reasonable and documented out-of-pocket financial advisors’ fees and expenses, of Agent in connection with the preparation, negotiation and closing of the Loan Documents (and with respect to the Sixth Amendment, subject to the limitations set forth in the Fee Letter) and the administration of the Loan Documents, and the collection and disbursement of all funds hereunder and the other instruments and documents to be delivered hereunder and (b) the reasonable fees and out-of-pocket expenses of special counsel for Agent, with respect to the foregoing, and of local counsel, if any, who may be retained by said special counsel with respect thereto.  US Borrower, and any appropriate Foreign Borrower, also agrees to pay on demand all reasonable costs and expenses (including Related Expenses) of Agent and the Lenders, including reasonable attorneys’ fees and expenses and reasonable and documented out-of-pocket financial advisors’ fees and expenses, in connection with the restructuring or enforcement of the Obligations, this Agreement or any Loan Document.  In addition, US Borrower and any appropriate Foreign Borrower shall pay any and all stamp, transfer, documentary and other taxes, assessments, charges and fees payable or determined to be payable in connection with the execution and delivery of the Loan Documents, and the other instruments and documents to be delivered hereunder, and agree to hold Agent and each Lender harmless from and against any and all liabilities with respect to or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126</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 xml:space="preserve">resulting from any delay in paying or failure to pay such taxes or fees, other than those liabilities resulting from the gross negligence or willful misconduct of Agent, or, with respect to amounts owing to a Lender, such Lender, in each case as determined by a court of competent jurisdiction.  All obligations provided for in this </w:t>
      </w:r>
      <w:r>
        <w:rPr>
          <w:rFonts w:ascii="Times New Roman;Times;serif" w:hAnsi="Times New Roman;Times;serif"/>
          <w:sz w:val="22"/>
          <w:u w:val="single"/>
        </w:rPr>
        <w:t>Section 11.5</w:t>
      </w:r>
      <w:r>
        <w:rPr>
          <w:rFonts w:ascii="Aptos" w:hAnsi="Aptos"/>
          <w:sz w:val="24"/>
        </w:rPr>
        <w:t xml:space="preserve"> </w:t>
      </w:r>
      <w:r>
        <w:rPr>
          <w:rFonts w:ascii="Times New Roman;Times;serif" w:hAnsi="Times New Roman;Times;serif"/>
          <w:sz w:val="22"/>
        </w:rPr>
        <w:t>shall survive any termination of this Agreement.</w:t>
      </w:r>
      <w:bookmarkStart w:id="2070" w:name="_Toc172896773"/>
      <w:bookmarkEnd w:id="2070"/>
      <w:r>
        <w:rPr>
          <w:rFonts w:ascii="Aptos" w:hAnsi="Aptos"/>
          <w:sz w:val="24"/>
        </w:rPr>
        <w:t xml:space="preserve"> </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11.6</w:t>
      </w:r>
      <w:bookmarkStart w:id="2071" w:name="_Toc236844427"/>
      <w:bookmarkEnd w:id="2071"/>
      <w:r>
        <w:rPr>
          <w:rFonts w:ascii="Times New Roman;Times;serif" w:hAnsi="Times New Roman;Times;serif"/>
          <w:sz w:val="22"/>
          <w:u w:val="single"/>
        </w:rPr>
        <w:t>Indemnification</w:t>
      </w:r>
      <w:r>
        <w:rPr>
          <w:rFonts w:ascii="Times New Roman;Times;serif" w:hAnsi="Times New Roman;Times;serif"/>
          <w:sz w:val="22"/>
        </w:rPr>
        <w:t>.  US Borrower, and each Foreign Borrower to the extent relating to the Loans and other credit extensions to such Foreign Borrower, agrees to defend, indemnify and hold harmless Agent and the Lenders (and their respective affiliates, officers, directors, attorneys, agents and employees) (each, an “</w:t>
      </w:r>
      <w:r>
        <w:rPr>
          <w:rFonts w:ascii="Times New Roman;Times;serif" w:hAnsi="Times New Roman;Times;serif"/>
          <w:sz w:val="22"/>
          <w:u w:val="single"/>
        </w:rPr>
        <w:t>indemnified person</w:t>
      </w:r>
      <w:r>
        <w:rPr>
          <w:rFonts w:ascii="Aptos" w:hAnsi="Aptos"/>
          <w:sz w:val="24"/>
        </w:rPr>
        <w:t>”</w:t>
      </w:r>
      <w:r>
        <w:rPr>
          <w:rFonts w:ascii="Times New Roman;Times;serif" w:hAnsi="Times New Roman;Times;serif"/>
          <w:sz w:val="22"/>
        </w:rPr>
        <w:t xml:space="preserve">) from and against any and all liabilities, obligations, losses, damages, penalties, actions, judgments, suits, costs, expenses (including the reasonable fees, disbursements and other charges of counsel, but limited, in the case of legal fees and expenses, to the reasonable and documented out-of-pocket fees and expenses of one counsel, representing all of the indemnified persons, taken as a whole, and, if reasonably necessary, of a single local counsel in each relevant jurisdiction (which may include a single special counsel acting in multiple jurisdictions) for all such indemnified persons, taken as whole, and, in the case of an actual or perceived conflict of interest where the indemnified person affected by such conflict notifies you of the existence of such conflict and thereafter retains its own counsel, of another firm of counsel for each such affected indemnified person) or disbursements of any kind or nature whatsoever that may be imposed on, incurred by or asserted against any indemnified person in connection with any investigative, administrative or judicial proceeding (whether or not such indemnified person shall be designated a party thereto) or any other claim by any Person relating to or arising out of any Loan Document or any actual or proposed use of proceeds of the Loans or any of the Obligations, or any activities of any Company or its Affiliates;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 xml:space="preserve">that no indemnified person shall have the right to be indemnified under this </w:t>
      </w:r>
      <w:r>
        <w:rPr>
          <w:rFonts w:ascii="Times New Roman;Times;serif" w:hAnsi="Times New Roman;Times;serif"/>
          <w:sz w:val="22"/>
          <w:u w:val="single"/>
        </w:rPr>
        <w:t>Section 11.6</w:t>
      </w:r>
      <w:r>
        <w:rPr>
          <w:rFonts w:ascii="Aptos" w:hAnsi="Aptos"/>
          <w:sz w:val="24"/>
        </w:rPr>
        <w:t xml:space="preserve"> </w:t>
      </w:r>
      <w:r>
        <w:rPr>
          <w:rFonts w:ascii="Times New Roman;Times;serif" w:hAnsi="Times New Roman;Times;serif"/>
          <w:sz w:val="22"/>
        </w:rPr>
        <w:t xml:space="preserve">for any cost, expense or liability (a) to the extent determined by a court of competent jurisdiction in a final, non-appealable judgment to have resulted from the gross negligence, bad faith or willful misconduct of such indemnified person or any of such indemnified person’s controlled or controlling affiliates or any or its or their agents or representatives, (b) arising from a material breach of such indemnified person’s (or any of its affiliates, agents or representatives) obligations under the Loan Documents (as determined in a final, non-appealable judgment by a court of competent jurisdiction) </w:t>
      </w:r>
      <w:r>
        <w:rPr>
          <w:rFonts w:ascii="Times New Roman;Times;serif" w:hAnsi="Times New Roman;Times;serif"/>
          <w:spacing w:val="-2"/>
          <w:sz w:val="22"/>
        </w:rPr>
        <w:t>pursuant to a claim brought by US Borrower</w:t>
      </w:r>
      <w:r>
        <w:rPr>
          <w:rFonts w:ascii="Times New Roman;Times;serif" w:hAnsi="Times New Roman;Times;serif"/>
          <w:sz w:val="22"/>
        </w:rPr>
        <w:t xml:space="preserve">, or (c) arising from any claim, actions, suits, inquiries, litigation, investigation or proceeding that is brought by an indemnified person against any other indemnified person (other than any claim, actions, suits, inquiries, litigation, investigation or proceeding (x) against Agent or any indemnified person in their role as “administrative agent”, “lead arranger”, “bookrunner” or other similar role under the Loan Documents or (y) </w:t>
      </w:r>
      <w:r>
        <w:rPr>
          <w:rFonts w:ascii="Times New Roman;Times;serif" w:hAnsi="Times New Roman;Times;serif"/>
          <w:spacing w:val="-2"/>
          <w:sz w:val="22"/>
        </w:rPr>
        <w:t>arising out of any act or omission on the part of US Borrower or any of its Subsidiaries or Affiliates</w:t>
      </w:r>
      <w:r>
        <w:rPr>
          <w:rFonts w:ascii="Times New Roman;Times;serif" w:hAnsi="Times New Roman;Times;serif"/>
          <w:sz w:val="22"/>
        </w:rPr>
        <w:t xml:space="preserve">).  All obligations provided for in this </w:t>
      </w:r>
      <w:r>
        <w:rPr>
          <w:rFonts w:ascii="Times New Roman;Times;serif" w:hAnsi="Times New Roman;Times;serif"/>
          <w:sz w:val="22"/>
          <w:u w:val="single"/>
        </w:rPr>
        <w:t>Section 11.6</w:t>
      </w:r>
      <w:r>
        <w:rPr>
          <w:rFonts w:ascii="Aptos" w:hAnsi="Aptos"/>
          <w:sz w:val="24"/>
        </w:rPr>
        <w:t xml:space="preserve"> </w:t>
      </w:r>
      <w:r>
        <w:rPr>
          <w:rFonts w:ascii="Times New Roman;Times;serif" w:hAnsi="Times New Roman;Times;serif"/>
          <w:sz w:val="22"/>
        </w:rPr>
        <w:t>shall survive any termination of this Agreement.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11.7</w:t>
      </w:r>
      <w:bookmarkStart w:id="2072" w:name="_Toc236844428"/>
      <w:bookmarkStart w:id="2073" w:name="_Toc172896774"/>
      <w:bookmarkEnd w:id="2072"/>
      <w:bookmarkEnd w:id="2073"/>
      <w:r>
        <w:rPr>
          <w:rFonts w:ascii="Times New Roman;Times;serif" w:hAnsi="Times New Roman;Times;serif"/>
          <w:sz w:val="22"/>
          <w:u w:val="single"/>
        </w:rPr>
        <w:t>Obligations Several; No Fiduciary Obligations</w:t>
      </w:r>
      <w:r>
        <w:rPr>
          <w:rFonts w:ascii="Times New Roman;Times;serif" w:hAnsi="Times New Roman;Times;serif"/>
          <w:sz w:val="22"/>
        </w:rPr>
        <w:t>.  The obligations of the Lenders hereunder are several and not joint.  Nothing contained in this Agreement and no action taken by Agent or the Lenders pursuant hereto shall be deemed to constitute Agent or the Lenders a partnership, association, joint venture or other entity.  No default by any Lender hereunder shall excuse the other Lenders from any obligation under this Agreement; but no Lender shall have or acquire any additional obligation of any kind by reason of such default.  The relationship between Borrowers and the Lenders with respect to the Loan Documents and the Related Writings is and shall be solely that of debtors and creditors, respectively, and neither Agent nor any Lender shall have any fiduciary obligation toward any Credit Party with respect to any such documents or the transactions contemplated thereby.</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11.8</w:t>
      </w:r>
      <w:bookmarkStart w:id="2074" w:name="_Toc236844429"/>
      <w:bookmarkStart w:id="2075" w:name="_Toc172896775"/>
      <w:bookmarkEnd w:id="2074"/>
      <w:bookmarkEnd w:id="2075"/>
      <w:r>
        <w:rPr>
          <w:rFonts w:ascii="Times New Roman;Times;serif" w:hAnsi="Times New Roman;Times;serif"/>
          <w:sz w:val="22"/>
          <w:u w:val="single"/>
        </w:rPr>
        <w:t>Counterparts; Integration; Effectiveness; Electronic Execution</w:t>
      </w:r>
      <w:r>
        <w:rPr>
          <w:rFonts w:ascii="Times New Roman;Times;serif" w:hAnsi="Times New Roman;Times;serif"/>
          <w:sz w:val="22"/>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(a)</w:t>
      </w:r>
      <w:r>
        <w:rPr>
          <w:rFonts w:ascii="Times New Roman;Times;serif" w:hAnsi="Times New Roman;Times;serif"/>
          <w:sz w:val="22"/>
          <w:u w:val="single"/>
        </w:rPr>
        <w:t>Counterparts; Integration; Effectiveness</w:t>
      </w:r>
      <w:r>
        <w:rPr>
          <w:rFonts w:ascii="Times New Roman;Times;serif" w:hAnsi="Times New Roman;Times;serif"/>
          <w:sz w:val="22"/>
        </w:rPr>
        <w:t xml:space="preserve">.  This Agreement may be executed in counterparts (and by different parties hereto in different counterparts), each of which shall constitute an original, but all of which when taken together shall constitute a single contract.  This Agreement and the other Loan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127</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 xml:space="preserve">Documents, and any separate letter agreements with respect to fees payable to the Agent, the Fronting Lender, the Swing Line Lender and/or the Arrangers, constitute the entire contract among the parties relating to the subject matter hereof and supersede any and all previous agreements and understandings, oral or written, relating to the subject matter hereof.  Except as provided in </w:t>
      </w:r>
      <w:r>
        <w:rPr>
          <w:rFonts w:ascii="Times New Roman;Times;serif" w:hAnsi="Times New Roman;Times;serif"/>
          <w:sz w:val="22"/>
          <w:u w:val="single"/>
        </w:rPr>
        <w:t>Section 4.1</w:t>
      </w:r>
      <w:r>
        <w:rPr>
          <w:rFonts w:ascii="Times New Roman;Times;serif" w:hAnsi="Times New Roman;Times;serif"/>
          <w:sz w:val="22"/>
        </w:rPr>
        <w:t>, this Agreement shall become effective when it shall have been executed by the Agent and when the Agent shall have received counterparts hereof that, when taken together, bear the signatures of each of the other parties hereto.  Delivery of an executed counterpart of a signature page of this Agreement by facsimile or in electronic (i.e., “pdf” or “tif”) format shall be effective as delivery of a manually executed counterpart of this Agreement.</w:t>
      </w:r>
    </w:p>
    <w:p>
      <w:pPr>
        <w:pStyle w:val="TextBody"/>
        <w:bidi w:val="0"/>
        <w:spacing w:lineRule="auto" w:line="285" w:before="0" w:after="0"/>
        <w:ind w:left="0" w:right="0" w:hanging="0"/>
        <w:jc w:val="both"/>
        <w:rPr>
          <w:rFonts w:ascii="Aptos" w:hAnsi="Aptos"/>
          <w:sz w:val="24"/>
        </w:rPr>
      </w:pPr>
      <w:r>
        <w:rPr>
          <w:rFonts w:ascii="Times New Roman;Times;serif" w:hAnsi="Times New Roman;Times;serif"/>
          <w:sz w:val="22"/>
        </w:rPr>
        <w:t>(b)</w:t>
      </w:r>
      <w:r>
        <w:rPr>
          <w:rFonts w:ascii="Times New Roman;Times;serif" w:hAnsi="Times New Roman;Times;serif"/>
          <w:sz w:val="22"/>
          <w:u w:val="single"/>
        </w:rPr>
        <w:t>Electronic Execution</w:t>
      </w:r>
      <w:r>
        <w:rPr>
          <w:rFonts w:ascii="Times New Roman;Times;serif" w:hAnsi="Times New Roman;Times;serif"/>
          <w:sz w:val="22"/>
        </w:rPr>
        <w:t xml:space="preserve">.  The words “execute,” “execution,” “signed,” “signature,” “delivery” and words of like import in or related to this Agreement, any other Loan Document or any document, amendment, approval, consent, waiver, modification, information, notice, certificate, report, statement, disclosure, or authorization to be signed or delivered in connection with this Agreement or any other Loan Document or the transactions contemplated hereby shall be deemed to include Electronic Signatures or execution in the form of an Electronic Record, and contract formations on electronic platforms approved by the Agent, deliveries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Each party hereto agrees that any Electronic Signature or execution in the form of an Electronic Record shall be valid and binding on itself and each of the other parties hereto to the same extent as a manual, original signature.  For the avoidance of doubt, the authorization under this paragraph may include, without limitation, use or acceptance by the parties of a manually signed paper which has been converted into electronic form (such as scanned into PDF format), or an electronically signed paper converted into another format, for transmission, delivery and/or retention.  Notwithstanding anything contained herein to the contrary, the Agent is under no obligation to accept an Electronic Signature in any form or in any format unless expressly agreed to by the Agent pursuant to procedures approved by it;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that without limiting the foregoing, (i) to the extent the Agent has agreed to accept such Electronic Signature from any party hereto, the Agent and the other parties hereto shall be entitled to rely on any such Electronic Signature purportedly given by or on behalf of the executing party without further verification and (ii) upon the request of the Agent or any Lender, any Electronic Signature shall be promptly followed by an original manually executed counterpart thereof.  Without limiting the generality of the foregoing, each party hereto hereby (A) agrees that, for all purposes, including without limitation, in connection with any workout, restructuring, enforcement of remedies, bankruptcy proceedings or litigation among the Agent, the Lenders and any of the Credit Parties, electronic images of this Agreement or any other Loan Document (in each case, including with respect to any signature pages thereto)  shall have the same legal effect, validity and enforceability as any paper original, and (B) waives any argument, defense or right to contest the validity or enforceability of the Loan Documents based solely on the lack of paper original copies of any Loan Documents, including with respect to any signature pages thereto.</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11.9</w:t>
      </w:r>
      <w:bookmarkStart w:id="2076" w:name="_Toc236844430"/>
      <w:bookmarkStart w:id="2077" w:name="_Toc172896776"/>
      <w:bookmarkEnd w:id="2076"/>
      <w:bookmarkEnd w:id="2077"/>
      <w:r>
        <w:rPr>
          <w:rFonts w:ascii="Times New Roman;Times;serif" w:hAnsi="Times New Roman;Times;serif"/>
          <w:sz w:val="22"/>
          <w:u w:val="single"/>
        </w:rPr>
        <w:t>Binding Effect; Borrowers’ Assignment</w:t>
      </w:r>
      <w:r>
        <w:rPr>
          <w:rFonts w:ascii="Times New Roman;Times;serif" w:hAnsi="Times New Roman;Times;serif"/>
          <w:sz w:val="22"/>
        </w:rPr>
        <w:t xml:space="preserve">.  This Agreement shall become effective when it shall have been executed by each Borrower, Agent and each Lender and thereafter shall be binding upon and inure to the benefit of each Borrower, Agent and each of the Lenders and their respective successors and permitted assigns, except that no Borrower nor any other Credit Party shall have the right to assign or otherwise transfer any of its rights or obligations hereunder or any interest herein without the prior written consent of Agent and each Lender and no Lender may assign or otherwise transfer any of its rights or obligations hereunder except (a) to an assignee in accordance with the provisions of </w:t>
      </w:r>
      <w:r>
        <w:rPr>
          <w:rFonts w:ascii="Times New Roman;Times;serif" w:hAnsi="Times New Roman;Times;serif"/>
          <w:sz w:val="22"/>
          <w:u w:val="single"/>
        </w:rPr>
        <w:t>Section 11.10(a)</w:t>
      </w:r>
      <w:r>
        <w:rPr>
          <w:rFonts w:ascii="Times New Roman;Times;serif" w:hAnsi="Times New Roman;Times;serif"/>
          <w:sz w:val="22"/>
        </w:rPr>
        <w:t xml:space="preserve">, (b) by way of participation in accordance with the provisions of </w:t>
      </w:r>
      <w:r>
        <w:rPr>
          <w:rFonts w:ascii="Times New Roman;Times;serif" w:hAnsi="Times New Roman;Times;serif"/>
          <w:sz w:val="22"/>
          <w:u w:val="single"/>
        </w:rPr>
        <w:t>Section 11.10(c)</w:t>
      </w:r>
      <w:r>
        <w:rPr>
          <w:rFonts w:ascii="Aptos" w:hAnsi="Aptos"/>
          <w:sz w:val="24"/>
        </w:rPr>
        <w:t xml:space="preserve"> </w:t>
      </w:r>
      <w:r>
        <w:rPr>
          <w:rFonts w:ascii="Times New Roman;Times;serif" w:hAnsi="Times New Roman;Times;serif"/>
          <w:sz w:val="22"/>
        </w:rPr>
        <w:t xml:space="preserve">or (c) by way of pledge or assignment of a security interest subject to the restrictions of </w:t>
      </w:r>
      <w:r>
        <w:rPr>
          <w:rFonts w:ascii="Times New Roman;Times;serif" w:hAnsi="Times New Roman;Times;serif"/>
          <w:sz w:val="22"/>
          <w:u w:val="single"/>
        </w:rPr>
        <w:t>Section 11.10(d)</w:t>
      </w:r>
      <w:r>
        <w:rPr>
          <w:rFonts w:ascii="Aptos" w:hAnsi="Aptos"/>
          <w:sz w:val="24"/>
        </w:rPr>
        <w:t xml:space="preserve"> </w:t>
      </w:r>
      <w:r>
        <w:rPr>
          <w:rFonts w:ascii="Times New Roman;Times;serif" w:hAnsi="Times New Roman;Times;serif"/>
          <w:sz w:val="22"/>
        </w:rPr>
        <w:t xml:space="preserve">(and any other attempted assignment or transfer by any party hereto shall be null and void).  Nothing in this Agreement,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128</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 xml:space="preserve">expressed or implied, shall be construed to confer upon any Person (other than the parties hereto, their respective successors and assigns permitted hereby, Participants to the extent provided in </w:t>
      </w:r>
      <w:r>
        <w:rPr>
          <w:rFonts w:ascii="Times New Roman;Times;serif" w:hAnsi="Times New Roman;Times;serif"/>
          <w:sz w:val="22"/>
          <w:u w:val="single"/>
        </w:rPr>
        <w:t>Section 11.10(c)</w:t>
      </w:r>
      <w:r>
        <w:rPr>
          <w:rFonts w:ascii="Aptos" w:hAnsi="Aptos"/>
          <w:sz w:val="24"/>
        </w:rPr>
        <w:t xml:space="preserve"> </w:t>
      </w:r>
      <w:r>
        <w:rPr>
          <w:rFonts w:ascii="Times New Roman;Times;serif" w:hAnsi="Times New Roman;Times;serif"/>
          <w:sz w:val="22"/>
        </w:rPr>
        <w:t>and, to the extent expressly contemplated hereby, any of affiliates, directors, officers, attorneys or employees of each of Agent and the Lenders) any legal or equitable right, remedy or claim under or by reason of this Agreement.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11.10</w:t>
      </w:r>
      <w:bookmarkStart w:id="2078" w:name="_Toc236844431"/>
      <w:bookmarkStart w:id="2079" w:name="_Toc172896777"/>
      <w:bookmarkEnd w:id="2078"/>
      <w:bookmarkEnd w:id="2079"/>
      <w:r>
        <w:rPr>
          <w:rFonts w:ascii="Times New Roman;Times;serif" w:hAnsi="Times New Roman;Times;serif"/>
          <w:sz w:val="22"/>
          <w:u w:val="single"/>
        </w:rPr>
        <w:t>Lender Assignments; Participations</w:t>
      </w:r>
      <w:r>
        <w:rPr>
          <w:rFonts w:ascii="Times New Roman;Times;serif" w:hAnsi="Times New Roman;Times;serif"/>
          <w:sz w:val="22"/>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(a)</w:t>
      </w:r>
      <w:r>
        <w:rPr>
          <w:rFonts w:ascii="Times New Roman;Times;serif" w:hAnsi="Times New Roman;Times;serif"/>
          <w:sz w:val="22"/>
          <w:u w:val="single"/>
        </w:rPr>
        <w:t>Assignments by Lenders</w:t>
      </w:r>
      <w:r>
        <w:rPr>
          <w:rFonts w:ascii="Times New Roman;Times;serif" w:hAnsi="Times New Roman;Times;serif"/>
          <w:sz w:val="22"/>
        </w:rPr>
        <w:t xml:space="preserve">.  Any Lender may at any time assign to one or more assignees all or a portion of its rights and obligations under this Agreement (including all or a portion of its Revolving Credit Commitment and the Loans at the time owing to it);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that, in each case with respect to any credit facility hereunder (including the Revolving Credit Commitments and any Loans), any such assignment shall be subject to the following conditions:</w:t>
      </w:r>
    </w:p>
    <w:p>
      <w:pPr>
        <w:pStyle w:val="TextBody"/>
        <w:bidi w:val="0"/>
        <w:spacing w:lineRule="auto" w:line="285" w:before="0" w:after="240"/>
        <w:ind w:left="720" w:right="0" w:hanging="0"/>
        <w:jc w:val="both"/>
        <w:rPr>
          <w:rFonts w:ascii="Times New Roman;Times;serif" w:hAnsi="Times New Roman;Times;serif"/>
          <w:sz w:val="22"/>
        </w:rPr>
      </w:pPr>
      <w:r>
        <w:rPr>
          <w:rFonts w:ascii="Times New Roman;Times;serif" w:hAnsi="Times New Roman;Times;serif"/>
          <w:sz w:val="22"/>
        </w:rPr>
        <w:t>(i)Minimum Amounts.</w:t>
      </w:r>
    </w:p>
    <w:p>
      <w:pPr>
        <w:pStyle w:val="TextBody"/>
        <w:bidi w:val="0"/>
        <w:spacing w:lineRule="auto" w:line="285" w:before="0" w:after="240"/>
        <w:ind w:left="1440" w:right="0" w:hanging="0"/>
        <w:jc w:val="both"/>
        <w:rPr>
          <w:rFonts w:ascii="Aptos" w:hAnsi="Aptos"/>
          <w:sz w:val="24"/>
        </w:rPr>
      </w:pPr>
      <w:r>
        <w:rPr>
          <w:rFonts w:ascii="Times New Roman;Times;serif" w:hAnsi="Times New Roman;Times;serif"/>
          <w:sz w:val="24"/>
        </w:rPr>
        <w:t>(A)</w:t>
      </w:r>
      <w:r>
        <w:rPr>
          <w:rFonts w:ascii="Times New Roman;Times;serif" w:hAnsi="Times New Roman;Times;serif"/>
          <w:sz w:val="22"/>
        </w:rPr>
        <w:t xml:space="preserve">in the case of an assignment of the entire remaining amount of the assigning Lender’s Revolving Credit Commitment and/or the Loans at the time owing to it (in each case with respect to any credit facility hereunder) or contemporaneous assignments to related Approved Funds (determined after giving effect to such assignments) that equal at least the amount specified in paragraph (a)(i)(B) of this </w:t>
      </w:r>
      <w:r>
        <w:rPr>
          <w:rFonts w:ascii="Times New Roman;Times;serif" w:hAnsi="Times New Roman;Times;serif"/>
          <w:sz w:val="22"/>
          <w:u w:val="single"/>
        </w:rPr>
        <w:t>Section 11.10</w:t>
      </w:r>
      <w:r>
        <w:rPr>
          <w:rFonts w:ascii="Aptos" w:hAnsi="Aptos"/>
          <w:sz w:val="24"/>
        </w:rPr>
        <w:t xml:space="preserve"> </w:t>
      </w:r>
      <w:r>
        <w:rPr>
          <w:rFonts w:ascii="Times New Roman;Times;serif" w:hAnsi="Times New Roman;Times;serif"/>
          <w:sz w:val="22"/>
        </w:rPr>
        <w:t>in the aggregate or in the case of an assignment to a Lender, an Affiliate of a Lender or an Approved Fund, no minimum amount need be assigned; and</w:t>
      </w:r>
    </w:p>
    <w:p>
      <w:pPr>
        <w:pStyle w:val="TextBody"/>
        <w:bidi w:val="0"/>
        <w:spacing w:lineRule="auto" w:line="285" w:before="0" w:after="0"/>
        <w:ind w:left="1440" w:right="0" w:hanging="0"/>
        <w:jc w:val="both"/>
        <w:rPr>
          <w:rFonts w:ascii="Aptos" w:hAnsi="Aptos"/>
          <w:sz w:val="24"/>
        </w:rPr>
      </w:pPr>
      <w:r>
        <w:rPr>
          <w:rFonts w:ascii="Times New Roman;Times;serif" w:hAnsi="Times New Roman;Times;serif"/>
          <w:sz w:val="24"/>
        </w:rPr>
        <w:t>(B)</w:t>
      </w:r>
      <w:r>
        <w:rPr>
          <w:rFonts w:ascii="Times New Roman;Times;serif" w:hAnsi="Times New Roman;Times;serif"/>
          <w:sz w:val="22"/>
        </w:rPr>
        <w:t xml:space="preserve">in any case not described in paragraph (a)(i)(A) of this </w:t>
      </w:r>
      <w:r>
        <w:rPr>
          <w:rFonts w:ascii="Times New Roman;Times;serif" w:hAnsi="Times New Roman;Times;serif"/>
          <w:sz w:val="22"/>
          <w:u w:val="single"/>
        </w:rPr>
        <w:t>Section 11.10</w:t>
      </w:r>
      <w:r>
        <w:rPr>
          <w:rFonts w:ascii="Times New Roman;Times;serif" w:hAnsi="Times New Roman;Times;serif"/>
          <w:sz w:val="22"/>
        </w:rPr>
        <w:t xml:space="preserve">, the aggregate amount of the Revolving Credit Commitment (which for this purpose includes Loans outstanding thereunder) or, if the Revolving Credit Commitment is not then in effect, the principal outstanding balance of the Loans of the assigning Lender subject to each such assignment (determined as of the date the Assignment Agreement with respect to such assignment is delivered to Agent or, if “Trade Date” is specified in the Assignment Agreement, as of the Trade Date) shall not be less than $5,000,000, unless each of Agent and, so long as no Event of Default has occurred and is continuing, the Administrative Borrower otherwise consents (each such consent not to be unreasonably withheld or delayed);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that the Administrative Borrower shall be deemed to have given its consent ten (10) Business Days after the date written notice thereof has been delivered by the assigning Lender (through Agent) unless such consent is expressly refused by the Administrative Borrower prior to such tenth (10th) Business Day;</w:t>
      </w:r>
    </w:p>
    <w:p>
      <w:pPr>
        <w:pStyle w:val="TextBody"/>
        <w:bidi w:val="0"/>
        <w:spacing w:lineRule="auto" w:line="285" w:before="0" w:after="240"/>
        <w:ind w:left="720" w:right="0" w:hanging="0"/>
        <w:jc w:val="both"/>
        <w:rPr>
          <w:rFonts w:ascii="Aptos" w:hAnsi="Aptos"/>
          <w:sz w:val="24"/>
        </w:rPr>
      </w:pPr>
      <w:r>
        <w:rPr>
          <w:rFonts w:ascii="Times New Roman;Times;serif" w:hAnsi="Times New Roman;Times;serif"/>
          <w:sz w:val="22"/>
        </w:rPr>
        <w:t>(ii)</w:t>
      </w:r>
      <w:r>
        <w:rPr>
          <w:rFonts w:ascii="Times New Roman;Times;serif" w:hAnsi="Times New Roman;Times;serif"/>
          <w:sz w:val="22"/>
          <w:u w:val="single"/>
        </w:rPr>
        <w:t>Proportionate Amounts</w:t>
      </w:r>
      <w:r>
        <w:rPr>
          <w:rFonts w:ascii="Times New Roman;Times;serif" w:hAnsi="Times New Roman;Times;serif"/>
          <w:sz w:val="22"/>
        </w:rPr>
        <w:t>.  Each partial assignment shall be made as an assignment of a proportionate part of all the assigning Lender’s rights and obligations under this Agreement with respect to the Loan or the Revolving Credit Commitment assigned;</w:t>
      </w:r>
    </w:p>
    <w:p>
      <w:pPr>
        <w:pStyle w:val="TextBody"/>
        <w:bidi w:val="0"/>
        <w:spacing w:lineRule="auto" w:line="285" w:before="0" w:after="240"/>
        <w:ind w:left="720" w:right="0" w:hanging="0"/>
        <w:jc w:val="both"/>
        <w:rPr>
          <w:rFonts w:ascii="Aptos" w:hAnsi="Aptos"/>
          <w:sz w:val="24"/>
        </w:rPr>
      </w:pPr>
      <w:r>
        <w:rPr>
          <w:rFonts w:ascii="Times New Roman;Times;serif" w:hAnsi="Times New Roman;Times;serif"/>
          <w:sz w:val="22"/>
        </w:rPr>
        <w:t>(iii)</w:t>
      </w:r>
      <w:r>
        <w:rPr>
          <w:rFonts w:ascii="Times New Roman;Times;serif" w:hAnsi="Times New Roman;Times;serif"/>
          <w:sz w:val="22"/>
          <w:u w:val="single"/>
        </w:rPr>
        <w:t>Required Consents</w:t>
      </w:r>
      <w:r>
        <w:rPr>
          <w:rFonts w:ascii="Times New Roman;Times;serif" w:hAnsi="Times New Roman;Times;serif"/>
          <w:sz w:val="22"/>
        </w:rPr>
        <w:t xml:space="preserve">.  No consent shall be required for any assignment except to the extent required by paragraph (a)(i)(B) of this </w:t>
      </w:r>
      <w:r>
        <w:rPr>
          <w:rFonts w:ascii="Times New Roman;Times;serif" w:hAnsi="Times New Roman;Times;serif"/>
          <w:sz w:val="22"/>
          <w:u w:val="single"/>
        </w:rPr>
        <w:t>Section 11.10</w:t>
      </w:r>
      <w:r>
        <w:rPr>
          <w:rFonts w:ascii="Aptos" w:hAnsi="Aptos"/>
          <w:sz w:val="24"/>
        </w:rPr>
        <w:t xml:space="preserve"> </w:t>
      </w:r>
      <w:r>
        <w:rPr>
          <w:rFonts w:ascii="Times New Roman;Times;serif" w:hAnsi="Times New Roman;Times;serif"/>
          <w:sz w:val="22"/>
        </w:rPr>
        <w:t>and, in addition:</w:t>
      </w:r>
    </w:p>
    <w:p>
      <w:pPr>
        <w:pStyle w:val="TextBody"/>
        <w:bidi w:val="0"/>
        <w:spacing w:lineRule="auto" w:line="285" w:before="0" w:after="240"/>
        <w:ind w:left="1440" w:right="0" w:hanging="0"/>
        <w:jc w:val="both"/>
        <w:rPr>
          <w:rFonts w:ascii="Aptos" w:hAnsi="Aptos"/>
          <w:sz w:val="24"/>
        </w:rPr>
      </w:pPr>
      <w:r>
        <w:rPr>
          <w:rFonts w:ascii="Times New Roman;Times;serif" w:hAnsi="Times New Roman;Times;serif"/>
          <w:sz w:val="24"/>
        </w:rPr>
        <w:t>(A)</w:t>
      </w:r>
      <w:r>
        <w:rPr>
          <w:rFonts w:ascii="Times New Roman;Times;serif" w:hAnsi="Times New Roman;Times;serif"/>
          <w:sz w:val="22"/>
        </w:rPr>
        <w:t xml:space="preserve">the consent of the Administrative Borrower (such consent not to be unreasonably withheld or delayed) shall be required unless (x) an Event of Default has occurred and is continuing at the time of such assignment or (y) such assignment is to a Lender, an Affiliate of a Lender or an Approved Fund; </w:t>
      </w:r>
      <w:r>
        <w:rPr>
          <w:rFonts w:ascii="Times New Roman;Times;serif" w:hAnsi="Times New Roman;Times;serif"/>
          <w:sz w:val="22"/>
          <w:u w:val="single"/>
        </w:rPr>
        <w:t>provided</w:t>
      </w:r>
      <w:r>
        <w:rPr>
          <w:rFonts w:ascii="Times New Roman;Times;serif" w:hAnsi="Times New Roman;Times;serif"/>
          <w:sz w:val="22"/>
        </w:rPr>
        <w:t xml:space="preserve">, that the Administrative Borrower shall be deemed to have consented to any such assignment unless it shall object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129</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1440" w:right="0" w:hanging="0"/>
        <w:jc w:val="both"/>
        <w:rPr>
          <w:rFonts w:ascii="Times New Roman;Times;serif" w:hAnsi="Times New Roman;Times;serif"/>
          <w:sz w:val="22"/>
        </w:rPr>
      </w:pPr>
      <w:r>
        <w:rPr>
          <w:rFonts w:ascii="Times New Roman;Times;serif" w:hAnsi="Times New Roman;Times;serif"/>
          <w:sz w:val="22"/>
        </w:rPr>
        <w:t>thereto by written notice to Agent within ten (10) Business Days after having received notice thereof;</w:t>
      </w:r>
    </w:p>
    <w:p>
      <w:pPr>
        <w:pStyle w:val="TextBody"/>
        <w:bidi w:val="0"/>
        <w:spacing w:lineRule="auto" w:line="285" w:before="0" w:after="240"/>
        <w:ind w:left="1440" w:right="0" w:hanging="0"/>
        <w:jc w:val="both"/>
        <w:rPr>
          <w:rFonts w:ascii="Aptos" w:hAnsi="Aptos"/>
          <w:sz w:val="24"/>
        </w:rPr>
      </w:pPr>
      <w:r>
        <w:rPr>
          <w:rFonts w:ascii="Times New Roman;Times;serif" w:hAnsi="Times New Roman;Times;serif"/>
          <w:sz w:val="24"/>
        </w:rPr>
        <w:t>(B)</w:t>
      </w:r>
      <w:r>
        <w:rPr>
          <w:rFonts w:ascii="Times New Roman;Times;serif" w:hAnsi="Times New Roman;Times;serif"/>
          <w:sz w:val="22"/>
        </w:rPr>
        <w:t>the consent of Agent (such consent not to be unreasonably withheld or delayed) shall be required for assignments if such assignment is to a Person that is not a Lender with a Revolving Credit Commitment, an Affiliate of such Lender or an Approved Fund with respect to such Lender; and</w:t>
      </w:r>
    </w:p>
    <w:p>
      <w:pPr>
        <w:pStyle w:val="TextBody"/>
        <w:bidi w:val="0"/>
        <w:spacing w:lineRule="auto" w:line="285" w:before="0" w:after="0"/>
        <w:ind w:left="1440" w:right="0" w:hanging="0"/>
        <w:jc w:val="both"/>
        <w:rPr>
          <w:rFonts w:ascii="Aptos" w:hAnsi="Aptos"/>
          <w:sz w:val="24"/>
        </w:rPr>
      </w:pPr>
      <w:r>
        <w:rPr>
          <w:rFonts w:ascii="Times New Roman;Times;serif" w:hAnsi="Times New Roman;Times;serif"/>
          <w:sz w:val="24"/>
        </w:rPr>
        <w:t>(C)</w:t>
      </w:r>
      <w:r>
        <w:rPr>
          <w:rFonts w:ascii="Times New Roman;Times;serif" w:hAnsi="Times New Roman;Times;serif"/>
          <w:sz w:val="22"/>
        </w:rPr>
        <w:t>the consents of the Fronting Lenders and the Swing Line Lender shall be required for any assignment in respect of the Revolving Credit Commitments.</w:t>
      </w:r>
    </w:p>
    <w:p>
      <w:pPr>
        <w:pStyle w:val="TextBody"/>
        <w:bidi w:val="0"/>
        <w:spacing w:lineRule="auto" w:line="285" w:before="0" w:after="240"/>
        <w:ind w:left="720" w:right="0" w:hanging="0"/>
        <w:jc w:val="both"/>
        <w:rPr>
          <w:rFonts w:ascii="Aptos" w:hAnsi="Aptos"/>
          <w:sz w:val="24"/>
        </w:rPr>
      </w:pPr>
      <w:r>
        <w:rPr>
          <w:rFonts w:ascii="Times New Roman;Times;serif" w:hAnsi="Times New Roman;Times;serif"/>
          <w:sz w:val="22"/>
        </w:rPr>
        <w:t>(iv)</w:t>
      </w:r>
      <w:r>
        <w:rPr>
          <w:rFonts w:ascii="Times New Roman;Times;serif" w:hAnsi="Times New Roman;Times;serif"/>
          <w:sz w:val="22"/>
          <w:u w:val="single"/>
        </w:rPr>
        <w:t>Assignment and Assumption</w:t>
      </w:r>
      <w:r>
        <w:rPr>
          <w:rFonts w:ascii="Times New Roman;Times;serif" w:hAnsi="Times New Roman;Times;serif"/>
          <w:sz w:val="22"/>
        </w:rPr>
        <w:t xml:space="preserve">.  The parties to each assignment shall execute and deliver to Agent an Assignment Agreement, together with a processing and recordation fee of $3,500 for each assignment;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that (A) only one such fee will be payable in connection with simultaneous assignments to two or more related Approved Funds by a Lender and (B) Agent may, in its sole discretion, elect to waive such processing and recordation fee in the case of any assignment.  The assignee, if it is not a Lender, shall deliver to Agent an administrative questionnaire (in form and substance satisfactory to Agent).</w:t>
      </w:r>
    </w:p>
    <w:p>
      <w:pPr>
        <w:pStyle w:val="TextBody"/>
        <w:bidi w:val="0"/>
        <w:spacing w:lineRule="auto" w:line="285" w:before="0" w:after="240"/>
        <w:ind w:left="720" w:right="0" w:hanging="0"/>
        <w:jc w:val="both"/>
        <w:rPr>
          <w:rFonts w:ascii="Aptos" w:hAnsi="Aptos"/>
          <w:sz w:val="24"/>
        </w:rPr>
      </w:pPr>
      <w:r>
        <w:rPr>
          <w:rFonts w:ascii="Times New Roman;Times;serif" w:hAnsi="Times New Roman;Times;serif"/>
          <w:sz w:val="22"/>
        </w:rPr>
        <w:t>(v)</w:t>
      </w:r>
      <w:r>
        <w:rPr>
          <w:rFonts w:ascii="Times New Roman;Times;serif" w:hAnsi="Times New Roman;Times;serif"/>
          <w:sz w:val="22"/>
          <w:u w:val="single"/>
        </w:rPr>
        <w:t>No Assignment to Certain Persons</w:t>
      </w:r>
      <w:r>
        <w:rPr>
          <w:rFonts w:ascii="Times New Roman;Times;serif" w:hAnsi="Times New Roman;Times;serif"/>
          <w:sz w:val="22"/>
        </w:rPr>
        <w:t>.  No such assignment shall be made to (A) any Borrower or any of Subsidiaries or Affiliates of any Borrower or (B) any Defaulting Lender or any of its Subsidiaries, or any Person who, upon becoming a Lender hereunder, would constitute any of the foregoing Persons described in this clause (B).</w:t>
      </w:r>
    </w:p>
    <w:p>
      <w:pPr>
        <w:pStyle w:val="TextBody"/>
        <w:bidi w:val="0"/>
        <w:spacing w:lineRule="auto" w:line="285" w:before="0" w:after="240"/>
        <w:ind w:left="720" w:right="0" w:hanging="0"/>
        <w:jc w:val="both"/>
        <w:rPr>
          <w:rFonts w:ascii="Aptos" w:hAnsi="Aptos"/>
          <w:sz w:val="24"/>
        </w:rPr>
      </w:pPr>
      <w:r>
        <w:rPr>
          <w:rFonts w:ascii="Times New Roman;Times;serif" w:hAnsi="Times New Roman;Times;serif"/>
          <w:sz w:val="22"/>
        </w:rPr>
        <w:t>(vi)</w:t>
      </w:r>
      <w:r>
        <w:rPr>
          <w:rFonts w:ascii="Times New Roman;Times;serif" w:hAnsi="Times New Roman;Times;serif"/>
          <w:sz w:val="22"/>
          <w:u w:val="single"/>
        </w:rPr>
        <w:t>No Assignment to Natural Persons</w:t>
      </w:r>
      <w:r>
        <w:rPr>
          <w:rFonts w:ascii="Times New Roman;Times;serif" w:hAnsi="Times New Roman;Times;serif"/>
          <w:sz w:val="22"/>
        </w:rPr>
        <w:t>.  No such assignment shall be made to a natural Person (or a holding company, investment vehicle or trust for, or owned and operated for the primary benefit of, a natural Person).</w:t>
      </w:r>
    </w:p>
    <w:p>
      <w:pPr>
        <w:pStyle w:val="TextBody"/>
        <w:bidi w:val="0"/>
        <w:spacing w:lineRule="auto" w:line="285"/>
        <w:ind w:left="720" w:right="0" w:hanging="0"/>
        <w:jc w:val="both"/>
        <w:rPr>
          <w:rFonts w:ascii="Aptos" w:hAnsi="Aptos"/>
          <w:sz w:val="24"/>
        </w:rPr>
      </w:pPr>
      <w:r>
        <w:rPr>
          <w:rFonts w:ascii="Times New Roman;Times;serif" w:hAnsi="Times New Roman;Times;serif"/>
          <w:sz w:val="22"/>
        </w:rPr>
        <w:t>(vii)</w:t>
      </w:r>
      <w:r>
        <w:rPr>
          <w:rFonts w:ascii="Times New Roman;Times;serif" w:hAnsi="Times New Roman;Times;serif"/>
          <w:sz w:val="22"/>
          <w:u w:val="single"/>
        </w:rPr>
        <w:t>Certain Additional Payments</w:t>
      </w:r>
      <w:r>
        <w:rPr>
          <w:rFonts w:ascii="Times New Roman;Times;serif" w:hAnsi="Times New Roman;Times;serif"/>
          <w:sz w:val="22"/>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Agent in an aggregate amount sufficient, upon distribution thereof as appropriate (which may be outright payment, purchases by the assignee of participations or subparticipations, or other compensating actions, including funding, with the consent of the Borrowers and Agent, the applicable pro rata share of Loans previously requested, but not funded by, the Defaulting Lender, to each of which the applicable assignee and assignor hereby irrevocably consent), to (A) pay and satisfy in full all payment liabilities then owed by such Defaulting Lender to Agent, the Fronting Lenders, the Swing Line Lender and each other Lender hereunder (and interest accrued thereon), and (B) acquire (and fund as appropriate) its full pro rata share of all Loans and participations in Letters of Credit and Swing Loans in accordance with its Commitment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pStyle w:val="TextBody"/>
        <w:bidi w:val="0"/>
        <w:spacing w:lineRule="auto" w:line="285" w:before="0" w:after="0"/>
        <w:ind w:left="0" w:right="0" w:hanging="0"/>
        <w:jc w:val="both"/>
        <w:rPr>
          <w:rFonts w:ascii="Aptos" w:hAnsi="Aptos"/>
          <w:sz w:val="22"/>
        </w:rPr>
      </w:pPr>
      <w:r>
        <w:rPr>
          <w:rFonts w:ascii="Times New Roman;Times;serif" w:hAnsi="Times New Roman;Times;serif"/>
          <w:sz w:val="22"/>
        </w:rPr>
        <w:t xml:space="preserve">Subject to acceptance and recording thereof by Agent pursuant to paragraph (c) of this </w:t>
      </w:r>
      <w:r>
        <w:rPr>
          <w:rFonts w:ascii="Times New Roman;Times;serif" w:hAnsi="Times New Roman;Times;serif"/>
          <w:sz w:val="22"/>
          <w:u w:val="single"/>
        </w:rPr>
        <w:t>Section 11.10</w:t>
      </w:r>
      <w:r>
        <w:rPr>
          <w:rFonts w:ascii="Times New Roman;Times;serif" w:hAnsi="Times New Roman;Times;serif"/>
          <w:sz w:val="22"/>
        </w:rPr>
        <w:t xml:space="preserve">, from and after the effective date specified in each Assignment Agreement, the assignee thereunder shall be a party to this Agreement and, to the extent of the interest assigned by such Assignment Agreement, have the rights and obligations of a Lender under this Agreement, and the assigning Lender thereunder shall, to the extent of the interest assigned by such Assignment Agreement, be released from its obligations under this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130</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Aptos" w:hAnsi="Aptos"/>
          <w:sz w:val="22"/>
        </w:rPr>
      </w:pPr>
      <w:r>
        <w:rPr>
          <w:rFonts w:ascii="Times New Roman;Times;serif" w:hAnsi="Times New Roman;Times;serif"/>
          <w:sz w:val="22"/>
        </w:rPr>
        <w:t xml:space="preserve">Agreement (and, in the case of an Assignment Agreement covering all of the assigning Lender’s rights and obligations under this Agreement, such Lender shall cease to be a party hereto) but shall continue to be entitled to the benefits of </w:t>
      </w:r>
      <w:r>
        <w:rPr>
          <w:rFonts w:ascii="Times New Roman;Times;serif" w:hAnsi="Times New Roman;Times;serif"/>
          <w:sz w:val="22"/>
          <w:u w:val="single"/>
        </w:rPr>
        <w:t>Sections 3.1</w:t>
      </w:r>
      <w:r>
        <w:rPr>
          <w:rFonts w:ascii="Times New Roman;Times;serif" w:hAnsi="Times New Roman;Times;serif"/>
          <w:sz w:val="22"/>
        </w:rPr>
        <w:t xml:space="preserve">, </w:t>
      </w:r>
      <w:r>
        <w:rPr>
          <w:rFonts w:ascii="Times New Roman;Times;serif" w:hAnsi="Times New Roman;Times;serif"/>
          <w:sz w:val="22"/>
          <w:u w:val="single"/>
        </w:rPr>
        <w:t>3.2</w:t>
      </w:r>
      <w:r>
        <w:rPr>
          <w:rFonts w:ascii="Times New Roman;Times;serif" w:hAnsi="Times New Roman;Times;serif"/>
          <w:sz w:val="22"/>
        </w:rPr>
        <w:t xml:space="preserve">, </w:t>
      </w:r>
      <w:r>
        <w:rPr>
          <w:rFonts w:ascii="Times New Roman;Times;serif" w:hAnsi="Times New Roman;Times;serif"/>
          <w:sz w:val="22"/>
          <w:u w:val="single"/>
        </w:rPr>
        <w:t>3.3</w:t>
      </w:r>
      <w:r>
        <w:rPr>
          <w:rFonts w:ascii="Times New Roman;Times;serif" w:hAnsi="Times New Roman;Times;serif"/>
          <w:sz w:val="22"/>
        </w:rPr>
        <w:t xml:space="preserve">, </w:t>
      </w:r>
      <w:r>
        <w:rPr>
          <w:rFonts w:ascii="Times New Roman;Times;serif" w:hAnsi="Times New Roman;Times;serif"/>
          <w:sz w:val="22"/>
          <w:u w:val="single"/>
        </w:rPr>
        <w:t>3.5</w:t>
      </w:r>
      <w:r>
        <w:rPr>
          <w:rFonts w:ascii="Times New Roman;Times;serif" w:hAnsi="Times New Roman;Times;serif"/>
          <w:sz w:val="22"/>
        </w:rPr>
        <w:t xml:space="preserve">, </w:t>
      </w:r>
      <w:r>
        <w:rPr>
          <w:rFonts w:ascii="Times New Roman;Times;serif" w:hAnsi="Times New Roman;Times;serif"/>
          <w:sz w:val="22"/>
          <w:u w:val="single"/>
        </w:rPr>
        <w:t>11.5</w:t>
      </w:r>
      <w:r>
        <w:rPr>
          <w:rFonts w:ascii="Aptos" w:hAnsi="Aptos"/>
          <w:sz w:val="22"/>
        </w:rPr>
        <w:t xml:space="preserve"> </w:t>
      </w:r>
      <w:r>
        <w:rPr>
          <w:rFonts w:ascii="Times New Roman;Times;serif" w:hAnsi="Times New Roman;Times;serif"/>
          <w:sz w:val="22"/>
        </w:rPr>
        <w:t xml:space="preserve">and </w:t>
      </w:r>
      <w:r>
        <w:rPr>
          <w:rFonts w:ascii="Times New Roman;Times;serif" w:hAnsi="Times New Roman;Times;serif"/>
          <w:sz w:val="22"/>
          <w:u w:val="single"/>
        </w:rPr>
        <w:t>11.6</w:t>
      </w:r>
      <w:r>
        <w:rPr>
          <w:rFonts w:ascii="Aptos" w:hAnsi="Aptos"/>
          <w:sz w:val="22"/>
        </w:rPr>
        <w:t xml:space="preserve"> </w:t>
      </w:r>
      <w:r>
        <w:rPr>
          <w:rFonts w:ascii="Times New Roman;Times;serif" w:hAnsi="Times New Roman;Times;serif"/>
          <w:sz w:val="22"/>
        </w:rPr>
        <w:t xml:space="preserve">hereof with respect to facts and circumstances occurring prior to the effective date of such assignment; </w:t>
      </w:r>
      <w:r>
        <w:rPr>
          <w:rFonts w:ascii="Times New Roman;Times;serif" w:hAnsi="Times New Roman;Times;serif"/>
          <w:sz w:val="22"/>
          <w:u w:val="single"/>
        </w:rPr>
        <w:t>provided</w:t>
      </w:r>
      <w:r>
        <w:rPr>
          <w:rFonts w:ascii="Times New Roman;Times;serif" w:hAnsi="Times New Roman;Times;serif"/>
          <w:sz w:val="22"/>
        </w:rPr>
        <w:t xml:space="preserve">,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paragraph (c) of this </w:t>
      </w:r>
      <w:r>
        <w:rPr>
          <w:rFonts w:ascii="Times New Roman;Times;serif" w:hAnsi="Times New Roman;Times;serif"/>
          <w:sz w:val="22"/>
          <w:u w:val="single"/>
        </w:rPr>
        <w:t>Section 11.10</w:t>
      </w:r>
      <w:r>
        <w:rPr>
          <w:rFonts w:ascii="Aptos" w:hAnsi="Aptos"/>
          <w:sz w:val="22"/>
        </w:rPr>
        <w:t xml:space="preserve"> </w:t>
      </w:r>
      <w:r>
        <w:rPr>
          <w:rFonts w:ascii="Times New Roman;Times;serif" w:hAnsi="Times New Roman;Times;serif"/>
          <w:sz w:val="22"/>
        </w:rPr>
        <w:t>(other than a purported assignment to a natural Person or a Borrower or any of a Borrower’s Subsidiaries or Affiliates, which shall be null and void.)</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(b)</w:t>
      </w:r>
      <w:r>
        <w:rPr>
          <w:rFonts w:ascii="Times New Roman;Times;serif" w:hAnsi="Times New Roman;Times;serif"/>
          <w:sz w:val="22"/>
          <w:u w:val="single"/>
        </w:rPr>
        <w:t>Register</w:t>
      </w:r>
      <w:r>
        <w:rPr>
          <w:rFonts w:ascii="Times New Roman;Times;serif" w:hAnsi="Times New Roman;Times;serif"/>
          <w:sz w:val="22"/>
        </w:rPr>
        <w:t>.  Agent, acting solely for this purpose as a non-fiduciary agent of the Borrowers, shall maintain at one of its offices in Charlotte, North Carolina, a copy of each Assignment Agreement and each Additional Lender Assumption Agreement delivered to it and a register for the recordation of the names and addresses of the Lenders, and the Revolving Credit Commitment of, and principal amounts of (and stated interest on) the Loans owing to, each Lender pursuant to the terms hereof from time to time (the “</w:t>
      </w:r>
      <w:r>
        <w:rPr>
          <w:rFonts w:ascii="Times New Roman;Times;serif" w:hAnsi="Times New Roman;Times;serif"/>
          <w:sz w:val="22"/>
          <w:u w:val="single"/>
        </w:rPr>
        <w:t>Register</w:t>
      </w:r>
      <w:r>
        <w:rPr>
          <w:rFonts w:ascii="Aptos" w:hAnsi="Aptos"/>
          <w:sz w:val="24"/>
        </w:rPr>
        <w:t>”</w:t>
      </w:r>
      <w:r>
        <w:rPr>
          <w:rFonts w:ascii="Times New Roman;Times;serif" w:hAnsi="Times New Roman;Times;serif"/>
          <w:sz w:val="22"/>
        </w:rPr>
        <w:t>).  The entries in the Register shall be conclusive, absent manifest error, and the Borrowers, Agent and the Lenders shall treat each Person whose name is recorded in the Register pursuant to the terms hereof as a Lender hereunder for all purposes of this Agreement.  The Register shall be available for inspection by the Borrowers and any Lender (but only to the extent of entries in the Register that are applicable to such Lender), at any reasonable time and from time to time upon reasonable prior notice.</w:t>
      </w:r>
    </w:p>
    <w:p>
      <w:pPr>
        <w:pStyle w:val="TextBody"/>
        <w:bidi w:val="0"/>
        <w:spacing w:lineRule="auto" w:line="285"/>
        <w:ind w:left="0" w:right="0" w:hanging="0"/>
        <w:jc w:val="both"/>
        <w:rPr>
          <w:rFonts w:ascii="Aptos" w:hAnsi="Aptos"/>
          <w:sz w:val="24"/>
        </w:rPr>
      </w:pPr>
      <w:r>
        <w:rPr>
          <w:rFonts w:ascii="Times New Roman;Times;serif" w:hAnsi="Times New Roman;Times;serif"/>
          <w:sz w:val="22"/>
        </w:rPr>
        <w:t>(c)</w:t>
      </w:r>
      <w:r>
        <w:rPr>
          <w:rFonts w:ascii="Times New Roman;Times;serif" w:hAnsi="Times New Roman;Times;serif"/>
          <w:sz w:val="22"/>
          <w:u w:val="single"/>
        </w:rPr>
        <w:t>Participations</w:t>
      </w:r>
      <w:r>
        <w:rPr>
          <w:rFonts w:ascii="Times New Roman;Times;serif" w:hAnsi="Times New Roman;Times;serif"/>
          <w:sz w:val="22"/>
        </w:rPr>
        <w:t>.  Any Lender may at any time, without the consent of, or notice to, the Borrowers or Agent, sell participations to any Person (other than a natural Person, (or a holding company, investment vehicle or trust for, or owned and operated for the primary benefit of, a natural Person), or the a Borrower or any of a Borrower’s Subsidiaries or Affiliates) (each, a “</w:t>
      </w:r>
      <w:r>
        <w:rPr>
          <w:rFonts w:ascii="Times New Roman;Times;serif" w:hAnsi="Times New Roman;Times;serif"/>
          <w:sz w:val="22"/>
          <w:u w:val="single"/>
        </w:rPr>
        <w:t>Participant</w:t>
      </w:r>
      <w:r>
        <w:rPr>
          <w:rFonts w:ascii="Aptos" w:hAnsi="Aptos"/>
          <w:sz w:val="24"/>
        </w:rPr>
        <w:t>”</w:t>
      </w:r>
      <w:r>
        <w:rPr>
          <w:rFonts w:ascii="Times New Roman;Times;serif" w:hAnsi="Times New Roman;Times;serif"/>
          <w:sz w:val="22"/>
        </w:rPr>
        <w:t xml:space="preserve">) in all or a portion of such Lender’s rights and/or obligations under this Agreement (including all or a portion of its Commitment and/or the Loans owing to it);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 xml:space="preserve">that (i) such Lender’s obligations under this Agreement shall remain unchanged, (ii) such Lender shall remain solely responsible to the other parties hereto for the performance of such obligations and (iii) the Borrowers, Agent, the Fronting Lenders, the Swing Line Lender and the other Lenders shall continue to deal solely and directly with such Lender in connection with such Lender’s rights and obligations under this Agreement.  For the avoidance of doubt, each Lender shall be responsible for the indemnity under </w:t>
      </w:r>
      <w:r>
        <w:rPr>
          <w:rFonts w:ascii="Times New Roman;Times;serif" w:hAnsi="Times New Roman;Times;serif"/>
          <w:sz w:val="22"/>
          <w:u w:val="single"/>
        </w:rPr>
        <w:t>Section 11.6</w:t>
      </w:r>
      <w:r>
        <w:rPr>
          <w:rFonts w:ascii="Aptos" w:hAnsi="Aptos"/>
          <w:sz w:val="24"/>
        </w:rPr>
        <w:t xml:space="preserve"> </w:t>
      </w:r>
      <w:r>
        <w:rPr>
          <w:rFonts w:ascii="Times New Roman;Times;serif" w:hAnsi="Times New Roman;Times;serif"/>
          <w:sz w:val="22"/>
        </w:rPr>
        <w:t>with respect to any payments made by such Lender to its Participant(s).</w:t>
      </w:r>
    </w:p>
    <w:p>
      <w:pPr>
        <w:pStyle w:val="TextBody"/>
        <w:bidi w:val="0"/>
        <w:spacing w:lineRule="auto" w:line="285" w:before="0" w:after="0"/>
        <w:ind w:left="0" w:right="0" w:firstLine="720"/>
        <w:jc w:val="both"/>
        <w:rPr>
          <w:rFonts w:ascii="Aptos" w:hAnsi="Aptos"/>
          <w:sz w:val="22"/>
        </w:rPr>
      </w:pPr>
      <w:r>
        <w:rPr>
          <w:rFonts w:ascii="Times New Roman;Times;serif" w:hAnsi="Times New Roman;Times;serif"/>
          <w:sz w:val="22"/>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Times;serif" w:hAnsi="Times New Roman;Times;serif"/>
          <w:sz w:val="22"/>
          <w:u w:val="single"/>
        </w:rPr>
        <w:t>provided</w:t>
      </w:r>
      <w:r>
        <w:rPr>
          <w:rFonts w:ascii="Aptos" w:hAnsi="Aptos"/>
          <w:sz w:val="22"/>
        </w:rPr>
        <w:t xml:space="preserve"> </w:t>
      </w:r>
      <w:r>
        <w:rPr>
          <w:rFonts w:ascii="Times New Roman;Times;serif" w:hAnsi="Times New Roman;Times;serif"/>
          <w:sz w:val="22"/>
        </w:rPr>
        <w:t xml:space="preserve">that such agreement or instrument may provide that such Lender will not, without the consent of the Participant, agree to any amendment, modification or waiver described in </w:t>
      </w:r>
      <w:r>
        <w:rPr>
          <w:rFonts w:ascii="Times New Roman;Times;serif" w:hAnsi="Times New Roman;Times;serif"/>
          <w:sz w:val="22"/>
          <w:u w:val="single"/>
        </w:rPr>
        <w:t>Section 11.3(b)(i)(A)</w:t>
      </w:r>
      <w:r>
        <w:rPr>
          <w:rFonts w:ascii="Times New Roman;Times;serif" w:hAnsi="Times New Roman;Times;serif"/>
          <w:sz w:val="22"/>
        </w:rPr>
        <w:t xml:space="preserve">, </w:t>
      </w:r>
      <w:r>
        <w:rPr>
          <w:rFonts w:ascii="Times New Roman;Times;serif" w:hAnsi="Times New Roman;Times;serif"/>
          <w:sz w:val="22"/>
          <w:u w:val="single"/>
        </w:rPr>
        <w:t>(B)</w:t>
      </w:r>
      <w:r>
        <w:rPr>
          <w:rFonts w:ascii="Aptos" w:hAnsi="Aptos"/>
          <w:sz w:val="22"/>
        </w:rPr>
        <w:t xml:space="preserve"> </w:t>
      </w:r>
      <w:r>
        <w:rPr>
          <w:rFonts w:ascii="Times New Roman;Times;serif" w:hAnsi="Times New Roman;Times;serif"/>
          <w:sz w:val="22"/>
        </w:rPr>
        <w:t xml:space="preserve">or </w:t>
      </w:r>
      <w:r>
        <w:rPr>
          <w:rFonts w:ascii="Times New Roman;Times;serif" w:hAnsi="Times New Roman;Times;serif"/>
          <w:sz w:val="22"/>
          <w:u w:val="single"/>
        </w:rPr>
        <w:t>(C)</w:t>
      </w:r>
      <w:r>
        <w:rPr>
          <w:rFonts w:ascii="Aptos" w:hAnsi="Aptos"/>
          <w:sz w:val="22"/>
        </w:rPr>
        <w:t xml:space="preserve"> </w:t>
      </w:r>
      <w:r>
        <w:rPr>
          <w:rFonts w:ascii="Times New Roman;Times;serif" w:hAnsi="Times New Roman;Times;serif"/>
          <w:sz w:val="22"/>
        </w:rPr>
        <w:t xml:space="preserve">hereof that directly and adversely affects such Participant.  The Borrowers agree that each Participant shall be entitled to the benefits of </w:t>
      </w:r>
      <w:r>
        <w:rPr>
          <w:rFonts w:ascii="Times New Roman;Times;serif" w:hAnsi="Times New Roman;Times;serif"/>
          <w:sz w:val="22"/>
          <w:u w:val="single"/>
        </w:rPr>
        <w:t>Sections 3.1</w:t>
      </w:r>
      <w:r>
        <w:rPr>
          <w:rFonts w:ascii="Times New Roman;Times;serif" w:hAnsi="Times New Roman;Times;serif"/>
          <w:sz w:val="22"/>
        </w:rPr>
        <w:t xml:space="preserve">, </w:t>
      </w:r>
      <w:r>
        <w:rPr>
          <w:rFonts w:ascii="Times New Roman;Times;serif" w:hAnsi="Times New Roman;Times;serif"/>
          <w:sz w:val="22"/>
          <w:u w:val="single"/>
        </w:rPr>
        <w:t>3.2</w:t>
      </w:r>
      <w:r>
        <w:rPr>
          <w:rFonts w:ascii="Aptos" w:hAnsi="Aptos"/>
          <w:sz w:val="22"/>
        </w:rPr>
        <w:t xml:space="preserve"> </w:t>
      </w:r>
      <w:r>
        <w:rPr>
          <w:rFonts w:ascii="Times New Roman;Times;serif" w:hAnsi="Times New Roman;Times;serif"/>
          <w:sz w:val="22"/>
        </w:rPr>
        <w:t xml:space="preserve">and </w:t>
      </w:r>
      <w:r>
        <w:rPr>
          <w:rFonts w:ascii="Times New Roman;Times;serif" w:hAnsi="Times New Roman;Times;serif"/>
          <w:sz w:val="22"/>
          <w:u w:val="single"/>
        </w:rPr>
        <w:t>3.3</w:t>
      </w:r>
      <w:r>
        <w:rPr>
          <w:rFonts w:ascii="Aptos" w:hAnsi="Aptos"/>
          <w:sz w:val="22"/>
        </w:rPr>
        <w:t xml:space="preserve"> </w:t>
      </w:r>
      <w:r>
        <w:rPr>
          <w:rFonts w:ascii="Times New Roman;Times;serif" w:hAnsi="Times New Roman;Times;serif"/>
          <w:sz w:val="22"/>
        </w:rPr>
        <w:t xml:space="preserve">hereof (subject to the requirements and limitations therein, including the requirements under </w:t>
      </w:r>
      <w:r>
        <w:rPr>
          <w:rFonts w:ascii="Times New Roman;Times;serif" w:hAnsi="Times New Roman;Times;serif"/>
          <w:sz w:val="22"/>
          <w:u w:val="single"/>
        </w:rPr>
        <w:t>Section 3.2(g)</w:t>
      </w:r>
      <w:r>
        <w:rPr>
          <w:rFonts w:ascii="Aptos" w:hAnsi="Aptos"/>
          <w:sz w:val="22"/>
        </w:rPr>
        <w:t xml:space="preserve"> </w:t>
      </w:r>
      <w:r>
        <w:rPr>
          <w:rFonts w:ascii="Times New Roman;Times;serif" w:hAnsi="Times New Roman;Times;serif"/>
          <w:sz w:val="22"/>
        </w:rPr>
        <w:t xml:space="preserve">(it being understood that the documentation required under </w:t>
      </w:r>
      <w:r>
        <w:rPr>
          <w:rFonts w:ascii="Times New Roman;Times;serif" w:hAnsi="Times New Roman;Times;serif"/>
          <w:sz w:val="22"/>
          <w:u w:val="single"/>
        </w:rPr>
        <w:t>Section 3.2(g)</w:t>
      </w:r>
      <w:r>
        <w:rPr>
          <w:rFonts w:ascii="Aptos" w:hAnsi="Aptos"/>
          <w:sz w:val="22"/>
        </w:rPr>
        <w:t xml:space="preserve"> </w:t>
      </w:r>
      <w:r>
        <w:rPr>
          <w:rFonts w:ascii="Times New Roman;Times;serif" w:hAnsi="Times New Roman;Times;serif"/>
          <w:sz w:val="22"/>
        </w:rPr>
        <w:t xml:space="preserve">hereof shall be delivered to the participating Lender)) to the same extent as if it were a Lender and had acquired its interest by assignment pursuant to paragraph (a) of this </w:t>
      </w:r>
      <w:r>
        <w:rPr>
          <w:rFonts w:ascii="Times New Roman;Times;serif" w:hAnsi="Times New Roman;Times;serif"/>
          <w:sz w:val="22"/>
          <w:u w:val="single"/>
        </w:rPr>
        <w:t>Section 11.10</w:t>
      </w:r>
      <w:r>
        <w:rPr>
          <w:rFonts w:ascii="Times New Roman;Times;serif" w:hAnsi="Times New Roman;Times;serif"/>
          <w:sz w:val="22"/>
        </w:rPr>
        <w:t xml:space="preserve">; </w:t>
      </w:r>
      <w:r>
        <w:rPr>
          <w:rFonts w:ascii="Times New Roman;Times;serif" w:hAnsi="Times New Roman;Times;serif"/>
          <w:sz w:val="22"/>
          <w:u w:val="single"/>
        </w:rPr>
        <w:t>provided</w:t>
      </w:r>
      <w:r>
        <w:rPr>
          <w:rFonts w:ascii="Aptos" w:hAnsi="Aptos"/>
          <w:sz w:val="22"/>
        </w:rPr>
        <w:t xml:space="preserve"> </w:t>
      </w:r>
      <w:r>
        <w:rPr>
          <w:rFonts w:ascii="Times New Roman;Times;serif" w:hAnsi="Times New Roman;Times;serif"/>
          <w:sz w:val="22"/>
        </w:rPr>
        <w:t xml:space="preserve">that such Participant (A) agrees to be subject to the provisions of </w:t>
      </w:r>
      <w:r>
        <w:rPr>
          <w:rFonts w:ascii="Times New Roman;Times;serif" w:hAnsi="Times New Roman;Times;serif"/>
          <w:sz w:val="22"/>
          <w:u w:val="single"/>
        </w:rPr>
        <w:t>Section 3.4</w:t>
      </w:r>
      <w:r>
        <w:rPr>
          <w:rFonts w:ascii="Aptos" w:hAnsi="Aptos"/>
          <w:sz w:val="22"/>
        </w:rPr>
        <w:t xml:space="preserve"> </w:t>
      </w:r>
      <w:r>
        <w:rPr>
          <w:rFonts w:ascii="Times New Roman;Times;serif" w:hAnsi="Times New Roman;Times;serif"/>
          <w:sz w:val="22"/>
        </w:rPr>
        <w:t xml:space="preserve">hereof as if it were an assignee under paragraph (a) of this </w:t>
      </w:r>
      <w:r>
        <w:rPr>
          <w:rFonts w:ascii="Times New Roman;Times;serif" w:hAnsi="Times New Roman;Times;serif"/>
          <w:sz w:val="22"/>
          <w:u w:val="single"/>
        </w:rPr>
        <w:t>Section 11.10</w:t>
      </w:r>
      <w:r>
        <w:rPr>
          <w:rFonts w:ascii="Times New Roman;Times;serif" w:hAnsi="Times New Roman;Times;serif"/>
          <w:sz w:val="22"/>
        </w:rPr>
        <w:t xml:space="preserve">; and (B) shall not be entitled to receive any greater payment under </w:t>
      </w:r>
      <w:r>
        <w:rPr>
          <w:rFonts w:ascii="Times New Roman;Times;serif" w:hAnsi="Times New Roman;Times;serif"/>
          <w:sz w:val="22"/>
          <w:u w:val="single"/>
        </w:rPr>
        <w:t>Sections 3.1</w:t>
      </w:r>
      <w:r>
        <w:rPr>
          <w:rFonts w:ascii="Aptos" w:hAnsi="Aptos"/>
          <w:sz w:val="22"/>
        </w:rPr>
        <w:t xml:space="preserve"> </w:t>
      </w:r>
      <w:r>
        <w:rPr>
          <w:rFonts w:ascii="Times New Roman;Times;serif" w:hAnsi="Times New Roman;Times;serif"/>
          <w:sz w:val="22"/>
        </w:rPr>
        <w:t xml:space="preserve">or </w:t>
      </w:r>
      <w:r>
        <w:rPr>
          <w:rFonts w:ascii="Times New Roman;Times;serif" w:hAnsi="Times New Roman;Times;serif"/>
          <w:sz w:val="22"/>
          <w:u w:val="single"/>
        </w:rPr>
        <w:t>3.2</w:t>
      </w:r>
      <w:r>
        <w:rPr>
          <w:rFonts w:ascii="Aptos" w:hAnsi="Aptos"/>
          <w:sz w:val="22"/>
        </w:rPr>
        <w:t xml:space="preserve"> </w:t>
      </w:r>
      <w:r>
        <w:rPr>
          <w:rFonts w:ascii="Times New Roman;Times;serif" w:hAnsi="Times New Roman;Times;serif"/>
          <w:sz w:val="22"/>
        </w:rPr>
        <w:t xml:space="preserve">hereof,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Administrative Borrower’s request and the Borrowers’ expense, to use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131</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Aptos" w:hAnsi="Aptos"/>
          <w:sz w:val="22"/>
        </w:rPr>
      </w:pPr>
      <w:r>
        <w:rPr>
          <w:rFonts w:ascii="Times New Roman;Times;serif" w:hAnsi="Times New Roman;Times;serif"/>
          <w:sz w:val="22"/>
        </w:rPr>
        <w:t xml:space="preserve">reasonable efforts to cooperate with the Borrowers to effectuate the provisions of </w:t>
      </w:r>
      <w:r>
        <w:rPr>
          <w:rFonts w:ascii="Times New Roman;Times;serif" w:hAnsi="Times New Roman;Times;serif"/>
          <w:sz w:val="22"/>
          <w:u w:val="single"/>
        </w:rPr>
        <w:t>Section 3.4(b)</w:t>
      </w:r>
      <w:r>
        <w:rPr>
          <w:rFonts w:ascii="Aptos" w:hAnsi="Aptos"/>
          <w:sz w:val="22"/>
        </w:rPr>
        <w:t xml:space="preserve"> </w:t>
      </w:r>
      <w:r>
        <w:rPr>
          <w:rFonts w:ascii="Times New Roman;Times;serif" w:hAnsi="Times New Roman;Times;serif"/>
          <w:sz w:val="22"/>
        </w:rPr>
        <w:t xml:space="preserve">hereof with respect to any Participant.  To the extent permitted by law, each Participant also shall be entitled to the benefits of </w:t>
      </w:r>
      <w:r>
        <w:rPr>
          <w:rFonts w:ascii="Times New Roman;Times;serif" w:hAnsi="Times New Roman;Times;serif"/>
          <w:sz w:val="22"/>
          <w:u w:val="single"/>
        </w:rPr>
        <w:t>Section 8.4</w:t>
      </w:r>
      <w:r>
        <w:rPr>
          <w:rFonts w:ascii="Aptos" w:hAnsi="Aptos"/>
          <w:sz w:val="22"/>
        </w:rPr>
        <w:t xml:space="preserve"> </w:t>
      </w:r>
      <w:r>
        <w:rPr>
          <w:rFonts w:ascii="Times New Roman;Times;serif" w:hAnsi="Times New Roman;Times;serif"/>
          <w:sz w:val="22"/>
        </w:rPr>
        <w:t xml:space="preserve">hereof as though it were a Lender; </w:t>
      </w:r>
      <w:r>
        <w:rPr>
          <w:rFonts w:ascii="Times New Roman;Times;serif" w:hAnsi="Times New Roman;Times;serif"/>
          <w:sz w:val="22"/>
          <w:u w:val="single"/>
        </w:rPr>
        <w:t>provided</w:t>
      </w:r>
      <w:r>
        <w:rPr>
          <w:rFonts w:ascii="Aptos" w:hAnsi="Aptos"/>
          <w:sz w:val="22"/>
        </w:rPr>
        <w:t xml:space="preserve"> </w:t>
      </w:r>
      <w:r>
        <w:rPr>
          <w:rFonts w:ascii="Times New Roman;Times;serif" w:hAnsi="Times New Roman;Times;serif"/>
          <w:sz w:val="22"/>
        </w:rPr>
        <w:t xml:space="preserve">that such Participant agrees to be subject to </w:t>
      </w:r>
      <w:r>
        <w:rPr>
          <w:rFonts w:ascii="Times New Roman;Times;serif" w:hAnsi="Times New Roman;Times;serif"/>
          <w:sz w:val="22"/>
          <w:u w:val="single"/>
        </w:rPr>
        <w:t>Section 8.5</w:t>
      </w:r>
      <w:r>
        <w:rPr>
          <w:rFonts w:ascii="Aptos" w:hAnsi="Aptos"/>
          <w:sz w:val="22"/>
        </w:rPr>
        <w:t xml:space="preserve"> </w:t>
      </w:r>
      <w:r>
        <w:rPr>
          <w:rFonts w:ascii="Times New Roman;Times;serif" w:hAnsi="Times New Roman;Times;serif"/>
          <w:sz w:val="22"/>
        </w:rPr>
        <w:t>hereof as though it were a Lender.</w:t>
      </w:r>
    </w:p>
    <w:p>
      <w:pPr>
        <w:pStyle w:val="TextBody"/>
        <w:bidi w:val="0"/>
        <w:spacing w:lineRule="auto" w:line="285" w:before="0" w:after="240"/>
        <w:ind w:left="0" w:right="0" w:firstLine="720"/>
        <w:jc w:val="both"/>
        <w:rPr>
          <w:rFonts w:ascii="Aptos" w:hAnsi="Aptos"/>
          <w:sz w:val="22"/>
        </w:rPr>
      </w:pPr>
      <w:r>
        <w:rPr>
          <w:rFonts w:ascii="Times New Roman;Times;serif" w:hAnsi="Times New Roman;Times;serif"/>
          <w:sz w:val="22"/>
        </w:rPr>
        <w:t>Each Lender that sells a participation shall, acting solely for this purpose as a non-fiduciary agent of the Borrowers, maintain a register on which it enters the name and address of each Participant and the principal amounts of (and stated interest on) each Participant’s interest in the Loans or other obligations under the Loan Documents (the “</w:t>
      </w:r>
      <w:r>
        <w:rPr>
          <w:rFonts w:ascii="Times New Roman;Times;serif" w:hAnsi="Times New Roman;Times;serif"/>
          <w:sz w:val="22"/>
          <w:u w:val="single"/>
        </w:rPr>
        <w:t>Participant Register</w:t>
      </w:r>
      <w:r>
        <w:rPr>
          <w:rFonts w:ascii="Aptos" w:hAnsi="Aptos"/>
          <w:sz w:val="22"/>
        </w:rPr>
        <w:t>”</w:t>
      </w:r>
      <w:r>
        <w:rPr>
          <w:rFonts w:ascii="Times New Roman;Times;serif" w:hAnsi="Times New Roman;Times;serif"/>
          <w:sz w:val="22"/>
        </w:rPr>
        <w:t xml:space="preserve">); </w:t>
      </w:r>
      <w:r>
        <w:rPr>
          <w:rFonts w:ascii="Times New Roman;Times;serif" w:hAnsi="Times New Roman;Times;serif"/>
          <w:sz w:val="22"/>
          <w:u w:val="single"/>
        </w:rPr>
        <w:t>provided</w:t>
      </w:r>
      <w:r>
        <w:rPr>
          <w:rFonts w:ascii="Aptos" w:hAnsi="Aptos"/>
          <w:sz w:val="22"/>
        </w:rPr>
        <w:t xml:space="preserve"> </w:t>
      </w:r>
      <w:r>
        <w:rPr>
          <w:rFonts w:ascii="Times New Roman;Times;serif" w:hAnsi="Times New Roman;Times;serif"/>
          <w:sz w:val="22"/>
        </w:rPr>
        <w:t>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Agent (in its capacity as Agent) shall have no responsibility for maintaining a Participant Register.</w:t>
      </w:r>
    </w:p>
    <w:p>
      <w:pPr>
        <w:pStyle w:val="TextBody"/>
        <w:bidi w:val="0"/>
        <w:spacing w:lineRule="auto" w:line="285" w:before="0" w:after="0"/>
        <w:ind w:left="0" w:right="0" w:hanging="0"/>
        <w:jc w:val="both"/>
        <w:rPr>
          <w:rFonts w:ascii="Aptos" w:hAnsi="Aptos"/>
          <w:sz w:val="24"/>
        </w:rPr>
      </w:pPr>
      <w:r>
        <w:rPr>
          <w:rFonts w:ascii="Times New Roman;Times;serif" w:hAnsi="Times New Roman;Times;serif"/>
          <w:sz w:val="22"/>
        </w:rPr>
        <w:t>(d)</w:t>
      </w:r>
      <w:r>
        <w:rPr>
          <w:rFonts w:ascii="Times New Roman;Times;serif" w:hAnsi="Times New Roman;Times;serif"/>
          <w:sz w:val="22"/>
          <w:u w:val="single"/>
        </w:rPr>
        <w:t>Certain Pledges</w:t>
      </w:r>
      <w:r>
        <w:rPr>
          <w:rFonts w:ascii="Times New Roman;Times;serif" w:hAnsi="Times New Roman;Times;serif"/>
          <w:sz w:val="22"/>
        </w:rPr>
        <w:t xml:space="preserve">.  Any Lender may at any time pledge or assign a security interest in all or any portion of its rights under this Agreement to secure obligations of such Lender, including without limitation any pledge or assignment to secure obligations to a Federal Reserve Bank;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that no such pledge or assignment shall release such Lender from any of its obligations hereunder or substitute any such pledgee or assignee for such Lender as a party hereto.</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11.11</w:t>
      </w:r>
      <w:bookmarkStart w:id="2080" w:name="_Toc236844432"/>
      <w:bookmarkStart w:id="2081" w:name="_Toc172896778"/>
      <w:bookmarkEnd w:id="2080"/>
      <w:bookmarkEnd w:id="2081"/>
      <w:r>
        <w:rPr>
          <w:rFonts w:ascii="Times New Roman;Times;serif" w:hAnsi="Times New Roman;Times;serif"/>
          <w:sz w:val="22"/>
          <w:u w:val="single"/>
        </w:rPr>
        <w:t>Patriot Act Notice</w:t>
      </w:r>
      <w:r>
        <w:rPr>
          <w:rFonts w:ascii="Times New Roman;Times;serif" w:hAnsi="Times New Roman;Times;serif"/>
          <w:sz w:val="22"/>
        </w:rPr>
        <w:t>.  Each Lender and Agent (for itself and not on behalf of any other party) hereby notifies the Credit Parties that, pursuant to the requirements of the Patriot Act or any other Anti-Money Laundering Laws, such Lender and Agent are required to obtain, verify and record information that identifies the Credit Parties, which information includes the name and address of each of the Credit Parties and other information that will allow such Lender or Agent, as applicable, to identify the Credit Parties in accordance with the Patriot Act or other Anti-Money Laundering Laws.  Each Borrower shall provide, to the extent commercially reasonable, such information and take such actions as are reasonably requested by Agent or a Lender in order to assist Agent or such Lender in maintaining compliance with the Patriot Act and other Anti-Money Laundering Laws.</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11.12</w:t>
      </w:r>
      <w:bookmarkStart w:id="2082" w:name="_Toc236844433"/>
      <w:bookmarkStart w:id="2083" w:name="_Toc172896779"/>
      <w:bookmarkEnd w:id="2082"/>
      <w:bookmarkEnd w:id="2083"/>
      <w:r>
        <w:rPr>
          <w:rFonts w:ascii="Times New Roman;Times;serif" w:hAnsi="Times New Roman;Times;serif"/>
          <w:sz w:val="22"/>
          <w:u w:val="single"/>
        </w:rPr>
        <w:t>Severability of Provisions; Captions; Attachments</w:t>
      </w:r>
      <w:r>
        <w:rPr>
          <w:rFonts w:ascii="Times New Roman;Times;serif" w:hAnsi="Times New Roman;Times;serif"/>
          <w:sz w:val="22"/>
        </w:rPr>
        <w:t>.  Any provision of this Agreement that shall be prohibited or unenforceable in any jurisdiction shall, as to such jurisdiction, be ineffective to the extent of such prohibition or unenforceability without invalidating the remaining provisions hereof or affecting the validity or enforceability of such provision in any other jurisdiction.  The several captions to sections and subsections herein are inserted for convenience only and shall be ignored in interpreting the provisions of this Agreement.  Each schedule or exhibit attached to this Agreement shall be incorporated herein and shall be deemed to be a part hereof.</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11.13</w:t>
      </w:r>
      <w:bookmarkStart w:id="2084" w:name="_Toc236844434"/>
      <w:bookmarkStart w:id="2085" w:name="_Toc172896780"/>
      <w:bookmarkEnd w:id="2084"/>
      <w:bookmarkEnd w:id="2085"/>
      <w:r>
        <w:rPr>
          <w:rFonts w:ascii="Times New Roman;Times;serif" w:hAnsi="Times New Roman;Times;serif"/>
          <w:sz w:val="22"/>
          <w:u w:val="single"/>
        </w:rPr>
        <w:t>Investment Purpose</w:t>
      </w:r>
      <w:r>
        <w:rPr>
          <w:rFonts w:ascii="Times New Roman;Times;serif" w:hAnsi="Times New Roman;Times;serif"/>
          <w:sz w:val="22"/>
        </w:rPr>
        <w:t>.  Each of the Lenders represents and warrants to Borrowers that it is entering into this Agreement with the present intention of acquiring any Note issued pursuant hereto (or, if there is no Note, the interest as reflected on the books and records of Agent) for investment purposes only and not for the purpose of distribution or resale, it being understood, however, that each Lender shall at all times retain full control over the disposition of its assets.</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11.14</w:t>
      </w:r>
      <w:bookmarkStart w:id="2086" w:name="_Toc236844435"/>
      <w:bookmarkStart w:id="2087" w:name="_Toc172896781"/>
      <w:bookmarkEnd w:id="2086"/>
      <w:bookmarkEnd w:id="2087"/>
      <w:r>
        <w:rPr>
          <w:rFonts w:ascii="Times New Roman;Times;serif" w:hAnsi="Times New Roman;Times;serif"/>
          <w:sz w:val="22"/>
          <w:u w:val="single"/>
        </w:rPr>
        <w:t>Entire Agreement</w:t>
      </w:r>
      <w:r>
        <w:rPr>
          <w:rFonts w:ascii="Times New Roman;Times;serif" w:hAnsi="Times New Roman;Times;serif"/>
          <w:sz w:val="22"/>
        </w:rPr>
        <w:t xml:space="preserve">.  This Agreement, any Note and any other Loan Document or other agreement, document or instrument attached hereto or executed on or as of the Closing Date integrate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132</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all of the terms and conditions mentioned herein or incidental hereto and supersede all oral representations and negotiations and prior writings with respect to the subject matter hereof.</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11.15</w:t>
      </w:r>
      <w:bookmarkStart w:id="2088" w:name="_Toc236844436"/>
      <w:bookmarkStart w:id="2089" w:name="_Toc172896782"/>
      <w:bookmarkEnd w:id="2088"/>
      <w:bookmarkEnd w:id="2089"/>
      <w:r>
        <w:rPr>
          <w:rFonts w:ascii="Times New Roman;Times;serif" w:hAnsi="Times New Roman;Times;serif"/>
          <w:sz w:val="22"/>
          <w:u w:val="single"/>
        </w:rPr>
        <w:t>Limitations on Liability of the Fronting Lender</w:t>
      </w:r>
      <w:r>
        <w:rPr>
          <w:rFonts w:ascii="Times New Roman;Times;serif" w:hAnsi="Times New Roman;Times;serif"/>
          <w:sz w:val="22"/>
        </w:rPr>
        <w:t>.  Borrowers assume all risks of the acts or omissions of any beneficiary or transferee of any Letter of Credit with respect to its use of such Letters of Credit.  Neither the Fronting Lender nor any of its officers or directors shall be liable or responsible for (a) the use that may be made of any Letter of Credit or any acts or omissions of any beneficiary or transferee in connection therewith; (b) the validity, sufficiency or genuineness of documents, or of any endorsement thereon, even if such documents should prove to be in any or all respects invalid, insufficient, fraudulent or forged; (c) payment by the Fronting Lender against presentation of documents that do not comply with the terms of a Letter of Credit, including failure of any documents to bear any reference or adequate reference to such Letter of Credit; or (d) any other circumstances whatsoever in making or failing to make payment under any Letter of Credit, except that the account party on such Letter of Credit shall have a claim against the Fronting Lender, and the Fronting Lender shall be liable to such account party, to the extent of any direct, but not consequential, damages suffered by such account party that such account party proves were caused by (i) the Fronting Lender’s willful misconduct or gross negligence (as determined by a court of competent jurisdiction) in determining whether documents presented under a Letter of Credit comply with the terms of such Letter of Credit, or (ii) the Fronting Lender’s willful failure to make lawful payment under any Letter of Credit after the presentation to it of documentation strictly complying with the terms and conditions of such Letter of Credit.  In furtherance and not in limitation of the foregoing, the Fronting Lender may accept documents that appear on their face to be in order, without responsibility for further investigation.</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11.16</w:t>
      </w:r>
      <w:bookmarkStart w:id="2090" w:name="_Toc236844437"/>
      <w:bookmarkStart w:id="2091" w:name="_Toc172896783"/>
      <w:bookmarkEnd w:id="2090"/>
      <w:bookmarkEnd w:id="2091"/>
      <w:r>
        <w:rPr>
          <w:rFonts w:ascii="Times New Roman;Times;serif" w:hAnsi="Times New Roman;Times;serif"/>
          <w:sz w:val="22"/>
          <w:u w:val="single"/>
        </w:rPr>
        <w:t>General Limitation of Liability</w:t>
      </w:r>
      <w:r>
        <w:rPr>
          <w:rFonts w:ascii="Times New Roman;Times;serif" w:hAnsi="Times New Roman;Times;serif"/>
          <w:sz w:val="22"/>
        </w:rPr>
        <w:t xml:space="preserve">.  No claim may be made by any Credit Party, any Lender, Agent, the Fronting Lender or any other Person against Agent, the Fronting Lender, or any other Lender or the affiliates, directors, officers, employees, attorneys or agents of any of them for any damages other than actual compensatory damages in respect of any claim for breach of contract or any other theory of liability arising out of or related to the transactions contemplated by this Agreement or any of the other Loan Documents, or any act, omission or event occurring in connection therewith; and Borrowers, each Lender, Agent and the Fronting Lender hereby, to the fullest extent permitted under applicable law, waive, release and agree not to sue or counterclaim upon any such claim for any special, consequential or punitive damages, whether or not accrued and whether or not known or suspected to exist in their favor; </w:t>
      </w:r>
      <w:r>
        <w:rPr>
          <w:rFonts w:ascii="Times New Roman;Times;serif" w:hAnsi="Times New Roman;Times;serif"/>
          <w:sz w:val="22"/>
          <w:u w:val="single"/>
        </w:rPr>
        <w:t>provided</w:t>
      </w:r>
      <w:r>
        <w:rPr>
          <w:rFonts w:ascii="Aptos" w:hAnsi="Aptos"/>
          <w:sz w:val="24"/>
        </w:rPr>
        <w:t xml:space="preserve"> </w:t>
      </w:r>
      <w:r>
        <w:rPr>
          <w:rFonts w:ascii="Times New Roman;Times;serif" w:hAnsi="Times New Roman;Times;serif"/>
          <w:sz w:val="22"/>
        </w:rPr>
        <w:t xml:space="preserve">that nothing in this </w:t>
      </w:r>
      <w:r>
        <w:rPr>
          <w:rFonts w:ascii="Times New Roman;Times;serif" w:hAnsi="Times New Roman;Times;serif"/>
          <w:sz w:val="22"/>
          <w:u w:val="single"/>
        </w:rPr>
        <w:t>Section 11.16</w:t>
      </w:r>
      <w:r>
        <w:rPr>
          <w:rFonts w:ascii="Aptos" w:hAnsi="Aptos"/>
          <w:sz w:val="24"/>
        </w:rPr>
        <w:t xml:space="preserve"> </w:t>
      </w:r>
      <w:r>
        <w:rPr>
          <w:rFonts w:ascii="Times New Roman;Times;serif" w:hAnsi="Times New Roman;Times;serif"/>
          <w:sz w:val="22"/>
        </w:rPr>
        <w:t xml:space="preserve">shall limit the indemnity and reimbursement obligations set forth in </w:t>
      </w:r>
      <w:r>
        <w:rPr>
          <w:rFonts w:ascii="Times New Roman;Times;serif" w:hAnsi="Times New Roman;Times;serif"/>
          <w:sz w:val="22"/>
          <w:u w:val="single"/>
        </w:rPr>
        <w:t>Section 11.6</w:t>
      </w:r>
      <w:r>
        <w:rPr>
          <w:rFonts w:ascii="Aptos" w:hAnsi="Aptos"/>
          <w:sz w:val="24"/>
        </w:rPr>
        <w:t xml:space="preserve"> </w:t>
      </w:r>
      <w:r>
        <w:rPr>
          <w:rFonts w:ascii="Times New Roman;Times;serif" w:hAnsi="Times New Roman;Times;serif"/>
          <w:sz w:val="22"/>
        </w:rPr>
        <w:t xml:space="preserve">hereof to the extent that such special, consequential or punitive damages are included in any claim by a third party unaffiliated with any indemnified person with respect to which the applicable indemnified person is entitled to indemnification under </w:t>
      </w:r>
      <w:r>
        <w:rPr>
          <w:rFonts w:ascii="Times New Roman;Times;serif" w:hAnsi="Times New Roman;Times;serif"/>
          <w:sz w:val="22"/>
          <w:u w:val="single"/>
        </w:rPr>
        <w:t>Section 11.6</w:t>
      </w:r>
      <w:r>
        <w:rPr>
          <w:rFonts w:ascii="Aptos" w:hAnsi="Aptos"/>
          <w:sz w:val="24"/>
        </w:rPr>
        <w:t xml:space="preserve"> </w:t>
      </w:r>
      <w:r>
        <w:rPr>
          <w:rFonts w:ascii="Times New Roman;Times;serif" w:hAnsi="Times New Roman;Times;serif"/>
          <w:sz w:val="22"/>
        </w:rPr>
        <w:t>hereof.</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11.17</w:t>
      </w:r>
      <w:bookmarkStart w:id="2092" w:name="_Toc236844438"/>
      <w:bookmarkStart w:id="2093" w:name="_Toc172896784"/>
      <w:bookmarkEnd w:id="2092"/>
      <w:bookmarkEnd w:id="2093"/>
      <w:r>
        <w:rPr>
          <w:rFonts w:ascii="Times New Roman;Times;serif" w:hAnsi="Times New Roman;Times;serif"/>
          <w:sz w:val="22"/>
          <w:u w:val="single"/>
        </w:rPr>
        <w:t>No Duty</w:t>
      </w:r>
      <w:r>
        <w:rPr>
          <w:rFonts w:ascii="Times New Roman;Times;serif" w:hAnsi="Times New Roman;Times;serif"/>
          <w:sz w:val="22"/>
        </w:rPr>
        <w:t>.  All attorneys, accountants, appraisers, consultants and other professional persons (including the firms or other entities on behalf of which any such Person may act) retained by Agent or any Lender with respect to the transactions contemplated by the Loan Documents shall have the right to act exclusively in the interest of Agent or such Lender, as the case may be, and shall have no duty of disclosure, duty of loyalty, duty of care, or other duty or obligation of any type or nature whatsoever to Borrowers, any other Companies, or to any other Person, with respect to any matters within the scope of such representation or related to their activities in connection with such representation.  Each Borrower agrees, on behalf of itself and its Subsidiaries, not to assert any claim or counterclaim against any such persons with regard to such matters, all such claims and counterclaims, now existing or hereafter arising, whether known or unknown, foreseen or unforeseeable, being hereby waived, released and forever discharged.</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11.18</w:t>
      </w:r>
      <w:bookmarkStart w:id="2094" w:name="_Toc236844439"/>
      <w:bookmarkStart w:id="2095" w:name="_Toc172896785"/>
      <w:bookmarkEnd w:id="2094"/>
      <w:bookmarkEnd w:id="2095"/>
      <w:r>
        <w:rPr>
          <w:rFonts w:ascii="Times New Roman;Times;serif" w:hAnsi="Times New Roman;Times;serif"/>
          <w:sz w:val="22"/>
          <w:u w:val="single"/>
        </w:rPr>
        <w:t>Legal Representation of Parties</w:t>
      </w:r>
      <w:r>
        <w:rPr>
          <w:rFonts w:ascii="Times New Roman;Times;serif" w:hAnsi="Times New Roman;Times;serif"/>
          <w:sz w:val="22"/>
        </w:rPr>
        <w:t xml:space="preserve">.  The Loan Documents were negotiated by the parties with the benefit of legal representation and any rule of construction or interpretation otherwise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133</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requiring this Agreement or any other Loan Document to be construed or interpreted against any party shall not apply to any construction or interpretation hereof or thereof.</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11.19</w:t>
      </w:r>
      <w:bookmarkStart w:id="2096" w:name="_Toc236844440"/>
      <w:bookmarkStart w:id="2097" w:name="_Toc172896786"/>
      <w:bookmarkEnd w:id="2096"/>
      <w:bookmarkEnd w:id="2097"/>
      <w:r>
        <w:rPr>
          <w:rFonts w:ascii="Times New Roman;Times;serif" w:hAnsi="Times New Roman;Times;serif"/>
          <w:sz w:val="22"/>
          <w:u w:val="single"/>
        </w:rPr>
        <w:t>Judgment Currency</w:t>
      </w:r>
      <w:r>
        <w:rPr>
          <w:rFonts w:ascii="Times New Roman;Times;serif" w:hAnsi="Times New Roman;Times;serif"/>
          <w:sz w:val="22"/>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(a)This in an international transaction in which the obligations of the Credit Parties under this Agreement to make payment to or for account of Agent or the Lenders in a specified currency (“</w:t>
      </w:r>
      <w:r>
        <w:rPr>
          <w:rFonts w:ascii="Times New Roman;Times;serif" w:hAnsi="Times New Roman;Times;serif"/>
          <w:sz w:val="22"/>
          <w:u w:val="single"/>
        </w:rPr>
        <w:t>Original Currency</w:t>
      </w:r>
      <w:r>
        <w:rPr>
          <w:rFonts w:ascii="Aptos" w:hAnsi="Aptos"/>
          <w:sz w:val="24"/>
        </w:rPr>
        <w:t>”</w:t>
      </w:r>
      <w:r>
        <w:rPr>
          <w:rFonts w:ascii="Times New Roman;Times;serif" w:hAnsi="Times New Roman;Times;serif"/>
          <w:sz w:val="22"/>
        </w:rPr>
        <w:t>) shall not be discharged or satisfied by any tender or recovery pursuant to any judgment expressed in or converted into any other currency (“</w:t>
      </w:r>
      <w:r>
        <w:rPr>
          <w:rFonts w:ascii="Times New Roman;Times;serif" w:hAnsi="Times New Roman;Times;serif"/>
          <w:sz w:val="22"/>
          <w:u w:val="single"/>
        </w:rPr>
        <w:t>Judgment Currency</w:t>
      </w:r>
      <w:r>
        <w:rPr>
          <w:rFonts w:ascii="Aptos" w:hAnsi="Aptos"/>
          <w:sz w:val="24"/>
        </w:rPr>
        <w:t>”</w:t>
      </w:r>
      <w:r>
        <w:rPr>
          <w:rFonts w:ascii="Times New Roman;Times;serif" w:hAnsi="Times New Roman;Times;serif"/>
          <w:sz w:val="22"/>
        </w:rPr>
        <w:t>) except to the extent that such tender or recovery results in the effective receipt by Agent or such Lender of the full amount in Original Currency payable to Agent or such Lender under this Agreement.</w:t>
      </w:r>
    </w:p>
    <w:p>
      <w:pPr>
        <w:pStyle w:val="TextBody"/>
        <w:bidi w:val="0"/>
        <w:spacing w:lineRule="auto" w:line="285" w:before="0" w:after="0"/>
        <w:ind w:left="0" w:right="0" w:hanging="0"/>
        <w:jc w:val="both"/>
        <w:rPr>
          <w:rFonts w:ascii="Aptos" w:hAnsi="Aptos"/>
          <w:sz w:val="24"/>
        </w:rPr>
      </w:pPr>
      <w:r>
        <w:rPr>
          <w:rFonts w:ascii="Times New Roman;Times;serif" w:hAnsi="Times New Roman;Times;serif"/>
          <w:sz w:val="22"/>
        </w:rPr>
        <w:t>(b)If Agent, on behalf of the Lenders, or any other holder of the Obligations (the “</w:t>
      </w:r>
      <w:r>
        <w:rPr>
          <w:rFonts w:ascii="Times New Roman;Times;serif" w:hAnsi="Times New Roman;Times;serif"/>
          <w:sz w:val="22"/>
          <w:u w:val="single"/>
        </w:rPr>
        <w:t>Applicable Creditor</w:t>
      </w:r>
      <w:r>
        <w:rPr>
          <w:rFonts w:ascii="Aptos" w:hAnsi="Aptos"/>
          <w:sz w:val="24"/>
        </w:rPr>
        <w:t>”</w:t>
      </w:r>
      <w:r>
        <w:rPr>
          <w:rFonts w:ascii="Times New Roman;Times;serif" w:hAnsi="Times New Roman;Times;serif"/>
          <w:sz w:val="22"/>
        </w:rPr>
        <w:t>), obtains a judgment or judgments against any Credit Party in respect of any sum adjudged to be due to Agent or the Lenders hereunder or under the Notes (the “</w:t>
      </w:r>
      <w:r>
        <w:rPr>
          <w:rFonts w:ascii="Times New Roman;Times;serif" w:hAnsi="Times New Roman;Times;serif"/>
          <w:sz w:val="22"/>
          <w:u w:val="single"/>
        </w:rPr>
        <w:t>Judgment Amount</w:t>
      </w:r>
      <w:r>
        <w:rPr>
          <w:rFonts w:ascii="Aptos" w:hAnsi="Aptos"/>
          <w:sz w:val="24"/>
        </w:rPr>
        <w:t>”</w:t>
      </w:r>
      <w:r>
        <w:rPr>
          <w:rFonts w:ascii="Times New Roman;Times;serif" w:hAnsi="Times New Roman;Times;serif"/>
          <w:sz w:val="22"/>
        </w:rPr>
        <w:t>) in a Judgment Currency other than the Original Currency, the obligations of such Credit Party in connection with such judgment shall be discharged only to the extent that (i) on the Business Day following receipt by the Applicable Creditor of any sum adjudged to be so due in the Judgment Currency, such Applicable Creditor, in accordance with the normal banking procedures in the relevant jurisdiction, can purchase the Original Currency with the Judgment Currency, and (ii) if the amount of Original Currency so purchased is less than the amount of Original Currency that could have been purchased with the Judgment Amount on the date or dates the Judgment Currency was originally due and owing to Agent or the Lenders hereunder (the “</w:t>
      </w:r>
      <w:r>
        <w:rPr>
          <w:rFonts w:ascii="Times New Roman;Times;serif" w:hAnsi="Times New Roman;Times;serif"/>
          <w:sz w:val="22"/>
          <w:u w:val="single"/>
        </w:rPr>
        <w:t>Loss</w:t>
      </w:r>
      <w:r>
        <w:rPr>
          <w:rFonts w:ascii="Aptos" w:hAnsi="Aptos"/>
          <w:sz w:val="24"/>
        </w:rPr>
        <w:t>”</w:t>
      </w:r>
      <w:r>
        <w:rPr>
          <w:rFonts w:ascii="Times New Roman;Times;serif" w:hAnsi="Times New Roman;Times;serif"/>
          <w:sz w:val="22"/>
        </w:rPr>
        <w:t xml:space="preserve">), such Credit Party or US Borrower, as a separate obligation and notwithstanding any such judgment, indemnifies Agent or such Lender, as the case may be, against such Loss.  US Borrower hereby agrees to such indemnification.  For purposes of determining the equivalent in one currency of another currency as provided in this </w:t>
      </w:r>
      <w:r>
        <w:rPr>
          <w:rFonts w:ascii="Times New Roman;Times;serif" w:hAnsi="Times New Roman;Times;serif"/>
          <w:sz w:val="22"/>
          <w:u w:val="single"/>
        </w:rPr>
        <w:t>Section 11.19</w:t>
      </w:r>
      <w:r>
        <w:rPr>
          <w:rFonts w:ascii="Times New Roman;Times;serif" w:hAnsi="Times New Roman;Times;serif"/>
          <w:sz w:val="22"/>
        </w:rPr>
        <w:t xml:space="preserve">, such amount shall include any premium and costs payable in connection with the conversion into or from any currency.  The obligations of the Credit Parties contained in this </w:t>
      </w:r>
      <w:r>
        <w:rPr>
          <w:rFonts w:ascii="Times New Roman;Times;serif" w:hAnsi="Times New Roman;Times;serif"/>
          <w:sz w:val="22"/>
          <w:u w:val="single"/>
        </w:rPr>
        <w:t>Section 11.19</w:t>
      </w:r>
      <w:r>
        <w:rPr>
          <w:rFonts w:ascii="Aptos" w:hAnsi="Aptos"/>
          <w:sz w:val="24"/>
        </w:rPr>
        <w:t xml:space="preserve"> </w:t>
      </w:r>
      <w:r>
        <w:rPr>
          <w:rFonts w:ascii="Times New Roman;Times;serif" w:hAnsi="Times New Roman;Times;serif"/>
          <w:sz w:val="22"/>
        </w:rPr>
        <w:t>shall survive the termination of this Agreement and the payment of all other amounts owing hereunder.</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11.20</w:t>
      </w:r>
      <w:bookmarkStart w:id="2098" w:name="_Toc236844441"/>
      <w:bookmarkStart w:id="2099" w:name="_Toc172896787"/>
      <w:bookmarkEnd w:id="2098"/>
      <w:bookmarkEnd w:id="2099"/>
      <w:r>
        <w:rPr>
          <w:rFonts w:ascii="Times New Roman;Times;serif" w:hAnsi="Times New Roman;Times;serif"/>
          <w:sz w:val="22"/>
          <w:u w:val="single"/>
        </w:rPr>
        <w:t>Governing Law; Submission to Jurisdiction</w:t>
      </w:r>
      <w:r>
        <w:rPr>
          <w:rFonts w:ascii="Times New Roman;Times;serif" w:hAnsi="Times New Roman;Times;serif"/>
          <w:sz w:val="22"/>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(a)</w:t>
      </w:r>
      <w:r>
        <w:rPr>
          <w:rFonts w:ascii="Times New Roman;Times;serif" w:hAnsi="Times New Roman;Times;serif"/>
          <w:sz w:val="22"/>
          <w:u w:val="single"/>
        </w:rPr>
        <w:t>Governing Law</w:t>
      </w:r>
      <w:r>
        <w:rPr>
          <w:rFonts w:ascii="Times New Roman;Times;serif" w:hAnsi="Times New Roman;Times;serif"/>
          <w:sz w:val="22"/>
        </w:rPr>
        <w:t>.  This Agreement, each of the Notes and any Loan Document (except as otherwise set forth in any Loan Document executed by a Foreign Subsidiary) shall be governed by and construed in accordance with the laws of the State of New York and the respective rights and obligations of Borrowers, Agent, and the Lenders shall be governed by New York law, without regard to principles of conflicts of laws.</w:t>
      </w:r>
    </w:p>
    <w:p>
      <w:pPr>
        <w:pStyle w:val="TextBody"/>
        <w:bidi w:val="0"/>
        <w:spacing w:lineRule="auto" w:line="285"/>
        <w:ind w:left="0" w:right="0" w:hanging="0"/>
        <w:jc w:val="both"/>
        <w:rPr>
          <w:rFonts w:ascii="Aptos" w:hAnsi="Aptos"/>
          <w:sz w:val="24"/>
        </w:rPr>
      </w:pPr>
      <w:r>
        <w:rPr>
          <w:rFonts w:ascii="Times New Roman;Times;serif" w:hAnsi="Times New Roman;Times;serif"/>
          <w:sz w:val="22"/>
        </w:rPr>
        <w:t>(b)</w:t>
      </w:r>
      <w:r>
        <w:rPr>
          <w:rFonts w:ascii="Times New Roman;Times;serif" w:hAnsi="Times New Roman;Times;serif"/>
          <w:sz w:val="22"/>
          <w:u w:val="single"/>
        </w:rPr>
        <w:t>Submission to Jurisdiction</w:t>
      </w:r>
      <w:r>
        <w:rPr>
          <w:rFonts w:ascii="Times New Roman;Times;serif" w:hAnsi="Times New Roman;Times;serif"/>
          <w:sz w:val="22"/>
        </w:rPr>
        <w:t>.  Each Borrower hereby irrevocably submits to the exclusive jurisdiction of the courts of the State of New York sitting in New York County, and of the United States District Court of the Southern District of New York, and any appellate court from any thereof, over any action or proceeding arising out of or relating to this Agreement, the Obligations or any Loan Document (except as otherwise set forth in any Loan Document executed by a Foreign Subsidiary), and each Borrower hereby irrevocably agrees that all claims in respect of such action or proceeding shall be heard and determined in such New York state or federal court.  Each Borrower, on behalf of itself and its Subsidiaries, hereby irrevocably waives, to the fullest extent permitted by law, any objection it may now or hereafter have to the laying of venue in any action or proceeding in any such court as well as any right it may now or hereafter have to remove such action or proceeding, once commenced, to another court on the grounds of FORUM NON CONVENIENS or otherwise.  Each Borrower agrees that a final, non-appealable judgment in any such action or proceeding shall be conclusive and may be enforced in other jurisdictions by suit on the judgment or in any other manner provided by law.</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134</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11.21</w:t>
      </w:r>
      <w:bookmarkStart w:id="2100" w:name="_Toc236844442"/>
      <w:bookmarkStart w:id="2101" w:name="_Toc172896788"/>
      <w:bookmarkEnd w:id="2100"/>
      <w:bookmarkEnd w:id="2101"/>
      <w:r>
        <w:rPr>
          <w:rFonts w:ascii="Times New Roman;Times;serif" w:hAnsi="Times New Roman;Times;serif"/>
          <w:sz w:val="22"/>
          <w:u w:val="single"/>
        </w:rPr>
        <w:t>JURY TRIAL WAIVER</w:t>
      </w:r>
      <w:r>
        <w:rPr>
          <w:rFonts w:ascii="Times New Roman;Times;serif" w:hAnsi="Times New Roman;Times;serif"/>
          <w:sz w:val="22"/>
        </w:rPr>
        <w:t>.  TO THE EXTENT PERMITTED BY LAW, EACH BORROWER, AGENT AND EACH LENDER WAIVE ANY RIGHT TO HAVE A JURY PARTICIPATE IN RESOLVING ANY DISPUTE, WHETHER SOUNDING IN CONTRACT, TORT OR OTHERWISE, AMONG BORROWERS, AGENT AND THE LENDERS, OR ANY THEREOF, ARISING OUT OF, IN CONNECTION WITH, RELATED TO, OR INCIDENTAL TO THE RELATIONSHIP ESTABLISHED AMONG THEM IN CONNECTION WITH THIS AGREEMENT OR ANY NOTE OR OTHER INSTRUMENT, DOCUMENT OR AGREEMENT EXECUTED OR DELIVERED IN CONNECTION HEREWITH OR THE TRANSACTIONS RELATED THERETO.</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11.22</w:t>
      </w:r>
      <w:bookmarkStart w:id="2102" w:name="_Toc236844443"/>
      <w:bookmarkStart w:id="2103" w:name="_Toc172896789"/>
      <w:bookmarkEnd w:id="2102"/>
      <w:bookmarkEnd w:id="2103"/>
      <w:r>
        <w:rPr>
          <w:rFonts w:ascii="Times New Roman;Times;serif" w:hAnsi="Times New Roman;Times;serif"/>
          <w:sz w:val="22"/>
          <w:u w:val="single"/>
        </w:rPr>
        <w:t>Confidentiality</w:t>
      </w:r>
      <w:r>
        <w:rPr>
          <w:rFonts w:ascii="Times New Roman;Times;serif" w:hAnsi="Times New Roman;Times;serif"/>
          <w:sz w:val="22"/>
        </w:rPr>
        <w:t>.  Each of Agent and the Lenders agrees to maintain the confidentiality of the Information (as defined below), except that Information may be disclosed (a) to its and its Affiliates’ respective Related Parties (it being understood that the Persons to whom such disclosure is made will be informed of the confidential nature of such Information and instructed to keep such Information confidential), (b) to the extent requested by any Governmental Authority (including any self-regulatory authority, such as the National Association of Insurance Commissioners) or in accordance with Agent’s, the Fronting Lender’s or any Lender’s regulatory compliance policy if Agent, the Fronting Lender or such Lender, as applicable, deems such disclosure to be necessary for the mitigation of claims by those authorities against Agent, the Fronting Lender or such Lender, as applicable, or any of its Related Parties (in which case, Agent, the Fronting Lender or such Lender, as applicable, shall use commercially reasonable efforts to, except with respect to any audit or examination conducted by bank accountants or any governmental bank regulatory authority exercising examination or regulatory authority, promptly notify the US Borrower, in advance, to the extent practicable and otherwise permitted by applicable law), (c) as to the extent required by applicable law or regulations or in any legal, judicial, administrative proceeding or other compulsory process, (d) to any other party to this Agreement, (e) in connection with the exercise of any remedies hereunder or under any other Loan Document or any suit, action or proceeding relating to this Agreement or any other Loan Document or the enforcement of rights hereunder or thereunder, (f) subject to an agreement containing provisions substantially the same as those of this Section, to (x) any assignee of or Participant in, or any prospective assignee of or Participant in, any of its rights or obligations under this Agreement or (y) any actual or prospective counterparty (or its advisors) to any swap or derivative transaction relating to the Credit Parties and their obligations, (g) on a confidential basis to (1) any rating agency in connection with rating any Borrower or its Subsidiaries or the credit facilities provided for herein or (2) the CUSIP Service Bureau or any similar agency in connection with the issuance and monitoring of CUSIP numbers with respect to the credit facilities provided for herein, (h) to the extent such Information (x) becomes publicly available other than as a result of a breach of this Section or (y) becomes available to Agent or any Lender on a non-confidential basis from a source other than the Borrowers that is not, to the knowledge of the Agent or any Lender, subject to contractual or fiduciary confidentiality obligations owing to any Borrower or its Subsidiaries, (i) to the extent that such information is independently developed by such Person, or (j) for purposes of establishing a “due diligence” defense.  For the purposes of this Section, “Information” means all information received from any Borrower or any Subsidiary thereof relating to any Borrower or any Subsidiary thereof or any of their respective businesses, other than any such information that is available to Agent or any Lender on a non-confidential basis prior to disclosure by the Borrowers or any Subsidiary thereof from a source other than the Borrowers or any Subsidiary thereof that is not, to the knowledge of Agent, or any Lender, subject to contractual or fiduciary confidentiality obligations owing to any Borrower or its Subsidiaries and other than information pertaining to this Agreement routinely provided by arrangers to data service providers, including league table providers, that serve the lending industry.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135</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11.23</w:t>
      </w:r>
      <w:bookmarkStart w:id="2104" w:name="_Toc236844444"/>
      <w:bookmarkStart w:id="2105" w:name="_Toc172896790"/>
      <w:bookmarkEnd w:id="2104"/>
      <w:bookmarkEnd w:id="2105"/>
      <w:r>
        <w:rPr>
          <w:rFonts w:ascii="Times New Roman;Times;serif" w:hAnsi="Times New Roman;Times;serif"/>
          <w:sz w:val="22"/>
          <w:u w:val="single"/>
        </w:rPr>
        <w:t>Amendment and Restatement; No Novation</w:t>
      </w:r>
      <w:r>
        <w:rPr>
          <w:rFonts w:ascii="Times New Roman;Times;serif" w:hAnsi="Times New Roman;Times;serif"/>
          <w:sz w:val="22"/>
        </w:rPr>
        <w:t>.  This Agreement constitutes an amendment and restatement of the Existing Credit Agreement, effective from and after the Closing Date.  The execution and delivery of this Agreement shall not constitute a novation of any indebtedness or other obligations owing to the lenders or the administrative agent under the Existing Credit Agreement based on facts or events occurring or existing prior to the execution and delivery of this Agreement.  On the Closing Date, the credit facilities described in the Existing Credit Agreement, shall be amended, supplemented, modified and restated in their entirety by the facilities described herein, and all loans and other obligations of Borrowers outstanding as of such date under the Existing Credit Agreement, shall be deemed to be loans and obligations outstanding under the corresponding facilities described herein, without any further action by any Person, except that Agent shall make such transfers of funds as are necessary in order that the outstanding balance of such loans, together with any Loans funded on the Closing Date, reflect the respective Revolving Credit Commitment of the Lenders hereunder.</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11.24</w:t>
      </w:r>
      <w:bookmarkStart w:id="2106" w:name="_Toc236844445"/>
      <w:bookmarkStart w:id="2107" w:name="_Toc172896791"/>
      <w:bookmarkEnd w:id="2106"/>
      <w:bookmarkEnd w:id="2107"/>
      <w:r>
        <w:rPr>
          <w:rFonts w:ascii="Times New Roman;Times;serif" w:hAnsi="Times New Roman;Times;serif"/>
          <w:sz w:val="22"/>
          <w:u w:val="single"/>
        </w:rPr>
        <w:t>Acknowledgment and Consent to Bail-In of Affected Financial Institutions</w:t>
      </w:r>
      <w:r>
        <w:rPr>
          <w:rFonts w:ascii="Times New Roman;Times;serif" w:hAnsi="Times New Roman;Times;serif"/>
          <w:sz w:val="22"/>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(a)the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(b)the effects of any Bail-In Action on any such liability, including, if applicable:</w:t>
      </w:r>
    </w:p>
    <w:p>
      <w:pPr>
        <w:pStyle w:val="TextBody"/>
        <w:bidi w:val="0"/>
        <w:spacing w:lineRule="auto" w:line="285" w:before="0" w:after="240"/>
        <w:ind w:left="720" w:right="0" w:hanging="0"/>
        <w:jc w:val="both"/>
        <w:rPr>
          <w:rFonts w:ascii="Times New Roman;Times;serif" w:hAnsi="Times New Roman;Times;serif"/>
          <w:sz w:val="22"/>
        </w:rPr>
      </w:pPr>
      <w:r>
        <w:rPr>
          <w:rFonts w:ascii="Times New Roman;Times;serif" w:hAnsi="Times New Roman;Times;serif"/>
          <w:sz w:val="22"/>
        </w:rPr>
        <w:t>(i)a reduction in full or in part or cancellation of any such liability;</w:t>
      </w:r>
    </w:p>
    <w:p>
      <w:pPr>
        <w:pStyle w:val="TextBody"/>
        <w:bidi w:val="0"/>
        <w:spacing w:lineRule="auto" w:line="285" w:before="0" w:after="240"/>
        <w:ind w:left="720" w:right="0" w:hanging="0"/>
        <w:jc w:val="both"/>
        <w:rPr>
          <w:rFonts w:ascii="Times New Roman;Times;serif" w:hAnsi="Times New Roman;Times;serif"/>
          <w:sz w:val="22"/>
        </w:rPr>
      </w:pPr>
      <w:r>
        <w:rPr>
          <w:rFonts w:ascii="Times New Roman;Times;serif" w:hAnsi="Times New Roman;Times;serif"/>
          <w:sz w:val="22"/>
        </w:rPr>
        <w:t>(ii)a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lineRule="auto" w:line="285" w:before="0" w:after="0"/>
        <w:ind w:left="720" w:right="0" w:hanging="0"/>
        <w:jc w:val="both"/>
        <w:rPr>
          <w:rFonts w:ascii="Times New Roman;Times;serif" w:hAnsi="Times New Roman;Times;serif"/>
          <w:sz w:val="22"/>
        </w:rPr>
      </w:pPr>
      <w:r>
        <w:rPr>
          <w:rFonts w:ascii="Times New Roman;Times;serif" w:hAnsi="Times New Roman;Times;serif"/>
          <w:sz w:val="22"/>
        </w:rPr>
        <w:t>(iii)the variation of the terms of such liability in connection with the exercise of the Write-Down and Conversion Powers of the applicable Resolution Authority.</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11.25</w:t>
      </w:r>
      <w:bookmarkStart w:id="2108" w:name="_Toc236844446"/>
      <w:bookmarkStart w:id="2109" w:name="_Toc172896792"/>
      <w:bookmarkEnd w:id="2108"/>
      <w:bookmarkEnd w:id="2109"/>
      <w:r>
        <w:rPr>
          <w:rFonts w:ascii="Times New Roman;Times;serif" w:hAnsi="Times New Roman;Times;serif"/>
          <w:sz w:val="22"/>
          <w:u w:val="single"/>
        </w:rPr>
        <w:t>Certain ERISA Matters</w:t>
      </w:r>
      <w:r>
        <w:rPr>
          <w:rFonts w:ascii="Times New Roman;Times;serif" w:hAnsi="Times New Roman;Times;serif"/>
          <w:sz w:val="22"/>
        </w:rPr>
        <w:t>.</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(a)Each Lender (x) represents and warrants, as of the date such Person became a Lender party hereto, to, and (y) covenants, from the date such Person became a Lender party hereto to the date such Person ceases being a Lender party hereto, for the benefit of, Agent, each Arranger and their respective Affiliates, and not, for the avoidance of doubt, to or for the benefit of the Borrowers or any other Credit Party, that at least one of the following is and will be true:</w:t>
      </w:r>
    </w:p>
    <w:p>
      <w:pPr>
        <w:pStyle w:val="TextBody"/>
        <w:bidi w:val="0"/>
        <w:spacing w:lineRule="auto" w:line="285" w:before="0" w:after="240"/>
        <w:ind w:left="720" w:right="0" w:hanging="0"/>
        <w:jc w:val="both"/>
        <w:rPr>
          <w:rFonts w:ascii="Times New Roman;Times;serif" w:hAnsi="Times New Roman;Times;serif"/>
          <w:sz w:val="22"/>
        </w:rPr>
      </w:pPr>
      <w:r>
        <w:rPr>
          <w:rFonts w:ascii="Times New Roman;Times;serif" w:hAnsi="Times New Roman;Times;serif"/>
          <w:sz w:val="22"/>
        </w:rPr>
        <w:t>(i)such Lender is not using “plan assets” (within the meaning of Section 3(42) of ERISA or otherwise) of one or more Benefit Plans with respect to such Lender’s entrance into, participation in, administration of and performance of the Loans, the Letters of Credit or the Commitments;</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136</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720" w:right="0" w:hanging="0"/>
        <w:jc w:val="both"/>
        <w:rPr>
          <w:rFonts w:ascii="Times New Roman;Times;serif" w:hAnsi="Times New Roman;Times;serif"/>
          <w:sz w:val="22"/>
        </w:rPr>
      </w:pPr>
      <w:r>
        <w:rPr>
          <w:rFonts w:ascii="Times New Roman;Times;serif" w:hAnsi="Times New Roman;Times;serif"/>
          <w:sz w:val="22"/>
        </w:rPr>
        <w:t>(ii)the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pStyle w:val="TextBody"/>
        <w:bidi w:val="0"/>
        <w:spacing w:lineRule="auto" w:line="285" w:before="0" w:after="240"/>
        <w:ind w:left="720" w:right="0" w:hanging="0"/>
        <w:jc w:val="both"/>
        <w:rPr>
          <w:rFonts w:ascii="Times New Roman;Times;serif" w:hAnsi="Times New Roman;Times;serif"/>
          <w:sz w:val="22"/>
        </w:rPr>
      </w:pPr>
      <w:r>
        <w:rPr>
          <w:rFonts w:ascii="Times New Roman;Times;serif" w:hAnsi="Times New Roman;Times;serif"/>
          <w:sz w:val="22"/>
        </w:rPr>
        <w:t>(iii)(A)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pStyle w:val="TextBody"/>
        <w:bidi w:val="0"/>
        <w:spacing w:lineRule="auto" w:line="285" w:before="0" w:after="0"/>
        <w:ind w:left="720" w:right="0" w:hanging="0"/>
        <w:jc w:val="both"/>
        <w:rPr>
          <w:rFonts w:ascii="Times New Roman;Times;serif" w:hAnsi="Times New Roman;Times;serif"/>
          <w:sz w:val="22"/>
        </w:rPr>
      </w:pPr>
      <w:r>
        <w:rPr>
          <w:rFonts w:ascii="Times New Roman;Times;serif" w:hAnsi="Times New Roman;Times;serif"/>
          <w:sz w:val="22"/>
        </w:rPr>
        <w:t>(iv)such other representation, warranty and covenant as may be agreed in writing between Agent, in its sole discretion, and such Lender.</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(b)In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Agent, each Arranger and their respective Affiliates, and not, for the avoidance of doubt, to or for the benefit of the Borrowers or any other Credit Party, that none of Agent, any Arranger and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Agent under this Agreement, any Loan Document or any documents related hereto or thereto).</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Section 11.26</w:t>
      </w:r>
      <w:bookmarkStart w:id="2110" w:name="_Toc236844447"/>
      <w:bookmarkStart w:id="2111" w:name="_Toc172896793"/>
      <w:bookmarkEnd w:id="2110"/>
      <w:bookmarkEnd w:id="2111"/>
      <w:r>
        <w:rPr>
          <w:rFonts w:ascii="Times New Roman;Times;serif" w:hAnsi="Times New Roman;Times;serif"/>
          <w:sz w:val="22"/>
          <w:u w:val="single"/>
        </w:rPr>
        <w:t>Acknowledgement Regarding Any Supported QFCs.</w:t>
      </w:r>
      <w:r>
        <w:rPr>
          <w:rFonts w:ascii="Aptos" w:hAnsi="Aptos"/>
          <w:sz w:val="24"/>
        </w:rPr>
        <w:t xml:space="preserve">  </w:t>
      </w:r>
      <w:r>
        <w:rPr>
          <w:rFonts w:ascii="Times New Roman;Times;serif" w:hAnsi="Times New Roman;Times;serif"/>
          <w:sz w:val="22"/>
        </w:rPr>
        <w:t xml:space="preserve">To the extent that the Loan Documents </w:t>
      </w:r>
      <w:r>
        <w:rPr>
          <w:rFonts w:ascii="Times New Roman;Times;serif" w:hAnsi="Times New Roman;Times;serif"/>
          <w:sz w:val="22"/>
          <w:u w:val="single"/>
        </w:rPr>
        <w:t>provide</w:t>
      </w:r>
      <w:r>
        <w:rPr>
          <w:rFonts w:ascii="Aptos" w:hAnsi="Aptos"/>
          <w:sz w:val="24"/>
        </w:rPr>
        <w:t xml:space="preserve"> </w:t>
      </w:r>
      <w:r>
        <w:rPr>
          <w:rFonts w:ascii="Times New Roman;Times;serif" w:hAnsi="Times New Roman;Times;serif"/>
          <w:sz w:val="22"/>
        </w:rPr>
        <w:t>support, through a guarantee or otherwise, for Hedge Agreements or any other agreement or instrument that is a QFC (such support, “</w:t>
      </w:r>
      <w:r>
        <w:rPr>
          <w:rFonts w:ascii="Times New Roman;Times;serif" w:hAnsi="Times New Roman;Times;serif"/>
          <w:sz w:val="22"/>
          <w:u w:val="single"/>
        </w:rPr>
        <w:t>QFC Credit Support</w:t>
      </w:r>
      <w:r>
        <w:rPr>
          <w:rFonts w:ascii="Aptos" w:hAnsi="Aptos"/>
          <w:sz w:val="24"/>
        </w:rPr>
        <w:t xml:space="preserve">” </w:t>
      </w:r>
      <w:r>
        <w:rPr>
          <w:rFonts w:ascii="Times New Roman;Times;serif" w:hAnsi="Times New Roman;Times;serif"/>
          <w:sz w:val="22"/>
        </w:rPr>
        <w:t>and, each such QFC, a “</w:t>
      </w:r>
      <w:r>
        <w:rPr>
          <w:rFonts w:ascii="Times New Roman;Times;serif" w:hAnsi="Times New Roman;Times;serif"/>
          <w:sz w:val="22"/>
          <w:u w:val="single"/>
        </w:rPr>
        <w:t>Supported QFC</w:t>
      </w:r>
      <w:r>
        <w:rPr>
          <w:rFonts w:ascii="Aptos" w:hAnsi="Aptos"/>
          <w:sz w:val="24"/>
        </w:rPr>
        <w:t>”</w:t>
      </w:r>
      <w:r>
        <w:rPr>
          <w:rFonts w:ascii="Times New Roman;Times;serif" w:hAnsi="Times New Roman;Times;serif"/>
          <w:sz w:val="22"/>
        </w:rPr>
        <w:t>), the parties acknowledge and agree as follows with respect to the resolution power of the FDIC under the Federal Deposit Insurance Act and Title II of the Dodd-Frank Wall Street Reform and Consumer Protection Act (together with the regulations promulgated thereunder, the “</w:t>
      </w:r>
      <w:r>
        <w:rPr>
          <w:rFonts w:ascii="Times New Roman;Times;serif" w:hAnsi="Times New Roman;Times;serif"/>
          <w:sz w:val="22"/>
          <w:u w:val="single"/>
        </w:rPr>
        <w:t>U.S. Special Resolution Regimes</w:t>
      </w:r>
      <w:r>
        <w:rPr>
          <w:rFonts w:ascii="Aptos" w:hAnsi="Aptos"/>
          <w:sz w:val="24"/>
        </w:rPr>
        <w:t>”</w:t>
      </w:r>
      <w:r>
        <w:rPr>
          <w:rFonts w:ascii="Times New Roman;Times;serif" w:hAnsi="Times New Roman;Times;serif"/>
          <w:sz w:val="22"/>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2"/>
        </w:rPr>
        <w:t>(a)In the event a Covered Entity that is party to a Supported QFC (each, a “</w:t>
      </w:r>
      <w:r>
        <w:rPr>
          <w:rFonts w:ascii="Times New Roman;Times;serif" w:hAnsi="Times New Roman;Times;serif"/>
          <w:sz w:val="22"/>
          <w:u w:val="single"/>
        </w:rPr>
        <w:t>Covered Party</w:t>
      </w:r>
      <w:r>
        <w:rPr>
          <w:rFonts w:ascii="Aptos" w:hAnsi="Aptos"/>
          <w:sz w:val="24"/>
        </w:rPr>
        <w:t>”</w:t>
      </w:r>
      <w:r>
        <w:rPr>
          <w:rFonts w:ascii="Times New Roman;Times;serif" w:hAnsi="Times New Roman;Times;serif"/>
          <w:sz w:val="22"/>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137</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lineRule="auto" w:line="285"/>
        <w:ind w:left="0" w:right="0" w:hanging="0"/>
        <w:jc w:val="both"/>
        <w:rPr>
          <w:rFonts w:ascii="Aptos" w:hAnsi="Aptos"/>
          <w:sz w:val="24"/>
        </w:rPr>
      </w:pPr>
      <w:r>
        <w:rPr>
          <w:rFonts w:ascii="Times New Roman;Times;serif" w:hAnsi="Times New Roman;Times;serif"/>
          <w:sz w:val="22"/>
        </w:rPr>
        <w:t xml:space="preserve">(b)As used in this </w:t>
      </w:r>
      <w:r>
        <w:rPr>
          <w:rFonts w:ascii="Times New Roman;Times;serif" w:hAnsi="Times New Roman;Times;serif"/>
          <w:sz w:val="22"/>
          <w:u w:val="single"/>
        </w:rPr>
        <w:t>Section 11.26</w:t>
      </w:r>
      <w:r>
        <w:rPr>
          <w:rFonts w:ascii="Times New Roman;Times;serif" w:hAnsi="Times New Roman;Times;serif"/>
          <w:sz w:val="22"/>
        </w:rPr>
        <w:t>, the following terms have the following meanings:</w:t>
      </w:r>
    </w:p>
    <w:p>
      <w:pPr>
        <w:pStyle w:val="TextBody"/>
        <w:bidi w:val="0"/>
        <w:spacing w:lineRule="auto" w:line="285" w:before="0" w:after="240"/>
        <w:ind w:left="720" w:right="0" w:firstLine="720"/>
        <w:jc w:val="both"/>
        <w:rPr/>
      </w:pPr>
      <w:r>
        <w:rPr/>
        <w:t>“</w:t>
      </w:r>
      <w:r>
        <w:rPr>
          <w:rFonts w:ascii="Times New Roman;Times;serif" w:hAnsi="Times New Roman;Times;serif"/>
          <w:sz w:val="22"/>
          <w:u w:val="single"/>
        </w:rPr>
        <w:t>BHC Act Affiliate</w:t>
      </w:r>
      <w:r>
        <w:rPr>
          <w:rFonts w:ascii="Aptos" w:hAnsi="Aptos"/>
          <w:sz w:val="22"/>
        </w:rPr>
        <w:t xml:space="preserve">” </w:t>
      </w:r>
      <w:r>
        <w:rPr>
          <w:rFonts w:ascii="Times New Roman;Times;serif" w:hAnsi="Times New Roman;Times;serif"/>
          <w:sz w:val="22"/>
        </w:rPr>
        <w:t>of a party means an “affiliate” (as such term is defined under, and interpreted in accordance with, 12 U.S.C. 1841(k)) of such party.</w:t>
      </w:r>
    </w:p>
    <w:p>
      <w:pPr>
        <w:pStyle w:val="TextBody"/>
        <w:bidi w:val="0"/>
        <w:spacing w:lineRule="auto" w:line="285" w:before="0" w:after="240"/>
        <w:ind w:left="720" w:right="0" w:firstLine="720"/>
        <w:jc w:val="both"/>
        <w:rPr/>
      </w:pPr>
      <w:r>
        <w:rPr/>
        <w:t>“</w:t>
      </w:r>
      <w:r>
        <w:rPr>
          <w:rFonts w:ascii="Times New Roman;Times;serif" w:hAnsi="Times New Roman;Times;serif"/>
          <w:sz w:val="22"/>
          <w:u w:val="single"/>
        </w:rPr>
        <w:t>Covered Entity</w:t>
      </w:r>
      <w:r>
        <w:rPr>
          <w:rFonts w:ascii="Aptos" w:hAnsi="Aptos"/>
          <w:sz w:val="22"/>
        </w:rPr>
        <w:t xml:space="preserve">” </w:t>
      </w:r>
      <w:r>
        <w:rPr>
          <w:rFonts w:ascii="Times New Roman;Times;serif" w:hAnsi="Times New Roman;Times;serif"/>
          <w:sz w:val="22"/>
        </w:rPr>
        <w:t>means any of the following:</w:t>
      </w:r>
    </w:p>
    <w:p>
      <w:pPr>
        <w:pStyle w:val="TextBody"/>
        <w:bidi w:val="0"/>
        <w:spacing w:lineRule="auto" w:line="285" w:before="0" w:after="240"/>
        <w:ind w:left="720" w:right="0" w:hanging="0"/>
        <w:jc w:val="both"/>
        <w:rPr>
          <w:rFonts w:ascii="Times New Roman;Times;serif" w:hAnsi="Times New Roman;Times;serif"/>
          <w:sz w:val="22"/>
        </w:rPr>
      </w:pPr>
      <w:r>
        <w:rPr>
          <w:rFonts w:ascii="Times New Roman;Times;serif" w:hAnsi="Times New Roman;Times;serif"/>
          <w:sz w:val="22"/>
        </w:rPr>
        <w:t>(i)a “covered entity” as that term is defined in, and interpreted in accordance with, 12 C.F.R. § 252.82(b);</w:t>
      </w:r>
    </w:p>
    <w:p>
      <w:pPr>
        <w:pStyle w:val="TextBody"/>
        <w:bidi w:val="0"/>
        <w:spacing w:lineRule="auto" w:line="285" w:before="0" w:after="240"/>
        <w:ind w:left="720" w:right="0" w:hanging="0"/>
        <w:jc w:val="both"/>
        <w:rPr>
          <w:rFonts w:ascii="Times New Roman;Times;serif" w:hAnsi="Times New Roman;Times;serif"/>
          <w:sz w:val="22"/>
        </w:rPr>
      </w:pPr>
      <w:r>
        <w:rPr>
          <w:rFonts w:ascii="Times New Roman;Times;serif" w:hAnsi="Times New Roman;Times;serif"/>
          <w:sz w:val="22"/>
        </w:rPr>
        <w:t>(ii)a “covered bank” as that term is defined in, and interpreted in accordance with, 12 C.F.R. § 47.3(b); or</w:t>
      </w:r>
    </w:p>
    <w:p>
      <w:pPr>
        <w:pStyle w:val="TextBody"/>
        <w:bidi w:val="0"/>
        <w:spacing w:lineRule="auto" w:line="285"/>
        <w:ind w:left="720" w:right="0" w:hanging="0"/>
        <w:jc w:val="both"/>
        <w:rPr>
          <w:rFonts w:ascii="Times New Roman;Times;serif" w:hAnsi="Times New Roman;Times;serif"/>
          <w:sz w:val="22"/>
        </w:rPr>
      </w:pPr>
      <w:r>
        <w:rPr>
          <w:rFonts w:ascii="Times New Roman;Times;serif" w:hAnsi="Times New Roman;Times;serif"/>
          <w:sz w:val="22"/>
        </w:rPr>
        <w:t>(iii)a “covered FSI” as that term is defined in, and interpreted in accordance with, 12 C.F.R. § 382.2(b).</w:t>
      </w:r>
    </w:p>
    <w:p>
      <w:pPr>
        <w:pStyle w:val="TextBody"/>
        <w:bidi w:val="0"/>
        <w:spacing w:lineRule="auto" w:line="285" w:before="0" w:after="240"/>
        <w:ind w:left="720" w:right="0" w:firstLine="720"/>
        <w:jc w:val="both"/>
        <w:rPr/>
      </w:pPr>
      <w:r>
        <w:rPr/>
        <w:t>“</w:t>
      </w:r>
      <w:r>
        <w:rPr>
          <w:rFonts w:ascii="Times New Roman;Times;serif" w:hAnsi="Times New Roman;Times;serif"/>
          <w:sz w:val="22"/>
          <w:u w:val="single"/>
        </w:rPr>
        <w:t>Default Right</w:t>
      </w:r>
      <w:r>
        <w:rPr>
          <w:rFonts w:ascii="Aptos" w:hAnsi="Aptos"/>
          <w:sz w:val="22"/>
        </w:rPr>
        <w:t xml:space="preserve">” </w:t>
      </w:r>
      <w:r>
        <w:rPr>
          <w:rFonts w:ascii="Times New Roman;Times;serif" w:hAnsi="Times New Roman;Times;serif"/>
          <w:sz w:val="22"/>
        </w:rPr>
        <w:t>has the meaning assigned to that term in, and shall be interpreted in accordance with, 12 C.F.R. §§ 252.81, 47.2 or 382.1, as applicable.</w:t>
      </w:r>
    </w:p>
    <w:p>
      <w:pPr>
        <w:pStyle w:val="TextBody"/>
        <w:bidi w:val="0"/>
        <w:spacing w:lineRule="auto" w:line="285"/>
        <w:ind w:left="0" w:right="0" w:hanging="0"/>
        <w:jc w:val="both"/>
        <w:rPr>
          <w:rFonts w:ascii="Aptos" w:hAnsi="Aptos"/>
          <w:sz w:val="24"/>
        </w:rPr>
      </w:pPr>
      <w:r>
        <w:rPr>
          <w:rFonts w:ascii="Times New Roman;Times;serif" w:hAnsi="Times New Roman;Times;serif"/>
          <w:sz w:val="22"/>
        </w:rPr>
        <w:t>(c)</w:t>
      </w:r>
      <w:r>
        <w:rPr>
          <w:rFonts w:ascii="Aptos" w:hAnsi="Aptos"/>
          <w:sz w:val="24"/>
        </w:rPr>
        <w:t>“</w:t>
      </w:r>
      <w:r>
        <w:rPr>
          <w:rFonts w:ascii="Times New Roman;Times;serif" w:hAnsi="Times New Roman;Times;serif"/>
          <w:sz w:val="22"/>
          <w:u w:val="single"/>
        </w:rPr>
        <w:t>QFC</w:t>
      </w:r>
      <w:r>
        <w:rPr>
          <w:rFonts w:ascii="Aptos" w:hAnsi="Aptos"/>
          <w:sz w:val="24"/>
        </w:rPr>
        <w:t xml:space="preserve">” </w:t>
      </w:r>
      <w:r>
        <w:rPr>
          <w:rFonts w:ascii="Times New Roman;Times;serif" w:hAnsi="Times New Roman;Times;serif"/>
          <w:sz w:val="22"/>
        </w:rPr>
        <w:t>has the meaning assigned to the term “qualified financial contract” in, and shall be interpreted in accordance with, 12 U.S.C. 5390(c)(8)(D).</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[Signature pages intentionally omitted]</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138</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Arial;Helvetica;sans-serif" w:hAnsi="Arial;Helvetica;sans-serif"/>
          <w:b/>
          <w:sz w:val="20"/>
        </w:rPr>
      </w:pPr>
      <w:bookmarkStart w:id="2112" w:name="ttec-20260630xex31d1.htm"/>
      <w:bookmarkStart w:id="2113" w:name="ksttec20260630xex31d1"/>
      <w:bookmarkEnd w:id="2112"/>
      <w:bookmarkEnd w:id="2113"/>
      <w:r>
        <w:rPr>
          <w:rFonts w:ascii="Arial;Helvetica;sans-serif" w:hAnsi="Arial;Helvetica;sans-serif"/>
          <w:b/>
          <w:sz w:val="20"/>
        </w:rPr>
        <w:t>Exhibit 31.1</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CERTIFICATIONS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I, Kenneth D. Tuchman, certify that:</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42"/>
        <w:gridCol w:w="227"/>
        <w:gridCol w:w="9736"/>
      </w:tblGrid>
      <w:tr>
        <w:trPr/>
        <w:tc>
          <w:tcPr>
            <w:tcW w:w="242" w:type="dxa"/>
            <w:tcBorders/>
            <w:vAlign w:val="center"/>
          </w:tcPr>
          <w:p>
            <w:pPr>
              <w:pStyle w:val="TableContents"/>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left"/>
              <w:rPr/>
            </w:pPr>
            <w:r>
              <w:rPr/>
              <w:t>​</w:t>
            </w:r>
          </w:p>
        </w:tc>
        <w:tc>
          <w:tcPr>
            <w:tcW w:w="9736" w:type="dxa"/>
            <w:tcBorders/>
            <w:vAlign w:val="center"/>
          </w:tcPr>
          <w:p>
            <w:pPr>
              <w:pStyle w:val="TableContents"/>
              <w:bidi w:val="0"/>
              <w:spacing w:lineRule="auto" w:line="285" w:before="0" w:after="0"/>
              <w:ind w:left="0" w:right="0" w:hanging="0"/>
              <w:jc w:val="left"/>
              <w:rPr/>
            </w:pPr>
            <w:r>
              <w:rPr/>
              <w:t>​</w:t>
            </w:r>
          </w:p>
        </w:tc>
      </w:tr>
      <w:tr>
        <w:trPr/>
        <w:tc>
          <w:tcPr>
            <w:tcW w:w="242" w:type="dxa"/>
            <w:tcBorders/>
            <w:vAlign w:val="center"/>
          </w:tcPr>
          <w:p>
            <w:pPr>
              <w:pStyle w:val="TableContents"/>
              <w:pBdr/>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1.</w:t>
            </w:r>
          </w:p>
        </w:tc>
        <w:tc>
          <w:tcPr>
            <w:tcW w:w="9963" w:type="dxa"/>
            <w:gridSpan w:val="2"/>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I have reviewed this quarterly report on Form 10-Q of TTEC Holdings, Inc.;</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9963" w:type="dxa"/>
            <w:gridSpan w:val="2"/>
            <w:tcBorders/>
            <w:vAlign w:val="center"/>
          </w:tcPr>
          <w:p>
            <w:pPr>
              <w:pStyle w:val="TableContents"/>
              <w:bidi w:val="0"/>
              <w:spacing w:lineRule="auto" w:line="285" w:before="0" w:after="0"/>
              <w:ind w:left="0" w:right="0" w:hanging="0"/>
              <w:jc w:val="both"/>
              <w:rPr/>
            </w:pPr>
            <w:r>
              <w:rPr/>
              <w:t>​</w:t>
            </w:r>
          </w:p>
        </w:tc>
      </w:tr>
      <w:tr>
        <w:trPr/>
        <w:tc>
          <w:tcPr>
            <w:tcW w:w="242" w:type="dxa"/>
            <w:tcBorders/>
            <w:vAlign w:val="center"/>
          </w:tcPr>
          <w:p>
            <w:pPr>
              <w:pStyle w:val="TableContents"/>
              <w:pBdr/>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2.</w:t>
            </w:r>
          </w:p>
        </w:tc>
        <w:tc>
          <w:tcPr>
            <w:tcW w:w="9963" w:type="dxa"/>
            <w:gridSpan w:val="2"/>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9963" w:type="dxa"/>
            <w:gridSpan w:val="2"/>
            <w:tcBorders/>
            <w:vAlign w:val="center"/>
          </w:tcPr>
          <w:p>
            <w:pPr>
              <w:pStyle w:val="TableContents"/>
              <w:bidi w:val="0"/>
              <w:spacing w:lineRule="auto" w:line="285" w:before="0" w:after="0"/>
              <w:ind w:left="0" w:right="0" w:hanging="0"/>
              <w:jc w:val="both"/>
              <w:rPr/>
            </w:pPr>
            <w:r>
              <w:rPr/>
              <w:t>​</w:t>
            </w:r>
          </w:p>
        </w:tc>
      </w:tr>
      <w:tr>
        <w:trPr/>
        <w:tc>
          <w:tcPr>
            <w:tcW w:w="242" w:type="dxa"/>
            <w:tcBorders/>
            <w:vAlign w:val="center"/>
          </w:tcPr>
          <w:p>
            <w:pPr>
              <w:pStyle w:val="TableContents"/>
              <w:pBdr/>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3.</w:t>
            </w:r>
          </w:p>
        </w:tc>
        <w:tc>
          <w:tcPr>
            <w:tcW w:w="9963" w:type="dxa"/>
            <w:gridSpan w:val="2"/>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9963" w:type="dxa"/>
            <w:gridSpan w:val="2"/>
            <w:tcBorders/>
            <w:vAlign w:val="center"/>
          </w:tcPr>
          <w:p>
            <w:pPr>
              <w:pStyle w:val="TableContents"/>
              <w:bidi w:val="0"/>
              <w:spacing w:lineRule="auto" w:line="285" w:before="0" w:after="0"/>
              <w:ind w:left="0" w:right="0" w:hanging="0"/>
              <w:jc w:val="both"/>
              <w:rPr/>
            </w:pPr>
            <w:r>
              <w:rPr/>
              <w:t>​</w:t>
            </w:r>
          </w:p>
        </w:tc>
      </w:tr>
      <w:tr>
        <w:trPr/>
        <w:tc>
          <w:tcPr>
            <w:tcW w:w="242" w:type="dxa"/>
            <w:tcBorders/>
            <w:vAlign w:val="center"/>
          </w:tcPr>
          <w:p>
            <w:pPr>
              <w:pStyle w:val="TableContents"/>
              <w:pBdr/>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4.</w:t>
            </w:r>
          </w:p>
        </w:tc>
        <w:tc>
          <w:tcPr>
            <w:tcW w:w="9963" w:type="dxa"/>
            <w:gridSpan w:val="2"/>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9963" w:type="dxa"/>
            <w:gridSpan w:val="2"/>
            <w:tcBorders/>
            <w:vAlign w:val="center"/>
          </w:tcPr>
          <w:p>
            <w:pPr>
              <w:pStyle w:val="TableContents"/>
              <w:bidi w:val="0"/>
              <w:spacing w:lineRule="auto" w:line="285" w:before="0" w:after="0"/>
              <w:ind w:left="0" w:right="0" w:hanging="0"/>
              <w:jc w:val="both"/>
              <w:rPr/>
            </w:pPr>
            <w:r>
              <w:rPr/>
              <w:t>​</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a)</w:t>
            </w:r>
          </w:p>
        </w:tc>
        <w:tc>
          <w:tcPr>
            <w:tcW w:w="9736"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both"/>
              <w:rPr/>
            </w:pPr>
            <w:r>
              <w:rPr/>
              <w:t>​</w:t>
            </w:r>
          </w:p>
        </w:tc>
        <w:tc>
          <w:tcPr>
            <w:tcW w:w="9736" w:type="dxa"/>
            <w:tcBorders/>
            <w:vAlign w:val="center"/>
          </w:tcPr>
          <w:p>
            <w:pPr>
              <w:pStyle w:val="TableContents"/>
              <w:bidi w:val="0"/>
              <w:spacing w:lineRule="auto" w:line="285" w:before="0" w:after="0"/>
              <w:ind w:left="0" w:right="0" w:hanging="0"/>
              <w:jc w:val="both"/>
              <w:rPr/>
            </w:pPr>
            <w:r>
              <w:rPr/>
              <w:t>​</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b)</w:t>
            </w:r>
          </w:p>
        </w:tc>
        <w:tc>
          <w:tcPr>
            <w:tcW w:w="9736"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both"/>
              <w:rPr/>
            </w:pPr>
            <w:r>
              <w:rPr/>
              <w:t>​</w:t>
            </w:r>
          </w:p>
        </w:tc>
        <w:tc>
          <w:tcPr>
            <w:tcW w:w="9736" w:type="dxa"/>
            <w:tcBorders/>
            <w:vAlign w:val="center"/>
          </w:tcPr>
          <w:p>
            <w:pPr>
              <w:pStyle w:val="TableContents"/>
              <w:bidi w:val="0"/>
              <w:spacing w:lineRule="auto" w:line="285" w:before="0" w:after="0"/>
              <w:ind w:left="0" w:right="0" w:hanging="0"/>
              <w:jc w:val="both"/>
              <w:rPr/>
            </w:pPr>
            <w:r>
              <w:rPr/>
              <w:t>​</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c)</w:t>
            </w:r>
          </w:p>
        </w:tc>
        <w:tc>
          <w:tcPr>
            <w:tcW w:w="9736"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both"/>
              <w:rPr/>
            </w:pPr>
            <w:r>
              <w:rPr/>
              <w:t>​</w:t>
            </w:r>
          </w:p>
        </w:tc>
        <w:tc>
          <w:tcPr>
            <w:tcW w:w="9736" w:type="dxa"/>
            <w:tcBorders/>
            <w:vAlign w:val="center"/>
          </w:tcPr>
          <w:p>
            <w:pPr>
              <w:pStyle w:val="TableContents"/>
              <w:bidi w:val="0"/>
              <w:spacing w:lineRule="auto" w:line="285" w:before="0" w:after="0"/>
              <w:ind w:left="0" w:right="0" w:hanging="0"/>
              <w:jc w:val="both"/>
              <w:rPr/>
            </w:pPr>
            <w:r>
              <w:rPr/>
              <w:t>​</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d)</w:t>
            </w:r>
          </w:p>
        </w:tc>
        <w:tc>
          <w:tcPr>
            <w:tcW w:w="9736"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both"/>
              <w:rPr/>
            </w:pPr>
            <w:r>
              <w:rPr/>
              <w:t>​</w:t>
            </w:r>
          </w:p>
        </w:tc>
        <w:tc>
          <w:tcPr>
            <w:tcW w:w="9736" w:type="dxa"/>
            <w:tcBorders/>
            <w:vAlign w:val="center"/>
          </w:tcPr>
          <w:p>
            <w:pPr>
              <w:pStyle w:val="TableContents"/>
              <w:bidi w:val="0"/>
              <w:spacing w:lineRule="auto" w:line="285" w:before="0" w:after="0"/>
              <w:ind w:left="0" w:right="0" w:hanging="0"/>
              <w:jc w:val="both"/>
              <w:rPr/>
            </w:pPr>
            <w:r>
              <w:rPr/>
              <w:t>​</w:t>
            </w:r>
          </w:p>
        </w:tc>
      </w:tr>
      <w:tr>
        <w:trPr/>
        <w:tc>
          <w:tcPr>
            <w:tcW w:w="242" w:type="dxa"/>
            <w:tcBorders/>
            <w:vAlign w:val="center"/>
          </w:tcPr>
          <w:p>
            <w:pPr>
              <w:pStyle w:val="TableContents"/>
              <w:pBdr/>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5.</w:t>
            </w:r>
          </w:p>
        </w:tc>
        <w:tc>
          <w:tcPr>
            <w:tcW w:w="9963" w:type="dxa"/>
            <w:gridSpan w:val="2"/>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both"/>
              <w:rPr/>
            </w:pPr>
            <w:r>
              <w:rPr/>
              <w:t>​</w:t>
            </w:r>
          </w:p>
        </w:tc>
        <w:tc>
          <w:tcPr>
            <w:tcW w:w="9736" w:type="dxa"/>
            <w:tcBorders/>
            <w:vAlign w:val="center"/>
          </w:tcPr>
          <w:p>
            <w:pPr>
              <w:pStyle w:val="TableContents"/>
              <w:bidi w:val="0"/>
              <w:spacing w:lineRule="auto" w:line="285" w:before="0" w:after="0"/>
              <w:ind w:left="0" w:right="0" w:hanging="0"/>
              <w:jc w:val="both"/>
              <w:rPr/>
            </w:pPr>
            <w:r>
              <w:rPr/>
              <w:t>​</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a)</w:t>
            </w:r>
          </w:p>
        </w:tc>
        <w:tc>
          <w:tcPr>
            <w:tcW w:w="9736"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both"/>
              <w:rPr/>
            </w:pPr>
            <w:r>
              <w:rPr/>
              <w:t>​</w:t>
            </w:r>
          </w:p>
        </w:tc>
        <w:tc>
          <w:tcPr>
            <w:tcW w:w="9736" w:type="dxa"/>
            <w:tcBorders/>
            <w:vAlign w:val="center"/>
          </w:tcPr>
          <w:p>
            <w:pPr>
              <w:pStyle w:val="TableContents"/>
              <w:bidi w:val="0"/>
              <w:spacing w:lineRule="auto" w:line="285" w:before="0" w:after="0"/>
              <w:ind w:left="0" w:right="0" w:hanging="0"/>
              <w:jc w:val="both"/>
              <w:rPr/>
            </w:pPr>
            <w:r>
              <w:rPr/>
              <w:t>​</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b)</w:t>
            </w:r>
          </w:p>
        </w:tc>
        <w:tc>
          <w:tcPr>
            <w:tcW w:w="9736"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Any fraud, whether or not material, that involves management or other employees who have a significant role in the registrant’s internal control over financial reporting.</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Date: August 10, 2026</w:t>
      </w:r>
    </w:p>
    <w:tbl>
      <w:tblPr>
        <w:tblW w:w="3966" w:type="dxa"/>
        <w:jc w:val="left"/>
        <w:tblInd w:w="0" w:type="dxa"/>
        <w:tblLayout w:type="fixed"/>
        <w:tblCellMar>
          <w:top w:w="0" w:type="dxa"/>
          <w:left w:w="0" w:type="dxa"/>
          <w:bottom w:w="0" w:type="dxa"/>
          <w:right w:w="0" w:type="dxa"/>
        </w:tblCellMar>
      </w:tblPr>
      <w:tblGrid>
        <w:gridCol w:w="124"/>
        <w:gridCol w:w="406"/>
        <w:gridCol w:w="3436"/>
      </w:tblGrid>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436"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842" w:type="dxa"/>
            <w:gridSpan w:val="2"/>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343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/s/ KENNETH D. TUCHMAN</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43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Kenneth D. Tuchman</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43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Chairman and Chief Executive Officer</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43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(Principal Executive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Arial;Helvetica;sans-serif" w:hAnsi="Arial;Helvetica;sans-serif"/>
          <w:b/>
          <w:sz w:val="20"/>
        </w:rPr>
      </w:pPr>
      <w:bookmarkStart w:id="2114" w:name="ttec-20260630xex31d2.htm"/>
      <w:bookmarkStart w:id="2115" w:name="ksttec20260630xex31d2"/>
      <w:bookmarkEnd w:id="2114"/>
      <w:bookmarkEnd w:id="2115"/>
      <w:r>
        <w:rPr>
          <w:rFonts w:ascii="Arial;Helvetica;sans-serif" w:hAnsi="Arial;Helvetica;sans-serif"/>
          <w:b/>
          <w:sz w:val="20"/>
        </w:rPr>
        <w:t>Exhibit 31.2</w:t>
      </w:r>
      <w:r>
        <w:br w:type="page"/>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CERTIFICATIONS</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I, Kenneth R. Wagers, III, certify that:</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42"/>
        <w:gridCol w:w="227"/>
        <w:gridCol w:w="9736"/>
      </w:tblGrid>
      <w:tr>
        <w:trPr/>
        <w:tc>
          <w:tcPr>
            <w:tcW w:w="242" w:type="dxa"/>
            <w:tcBorders/>
            <w:vAlign w:val="center"/>
          </w:tcPr>
          <w:p>
            <w:pPr>
              <w:pStyle w:val="TableContents"/>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left"/>
              <w:rPr/>
            </w:pPr>
            <w:r>
              <w:rPr/>
              <w:t>​</w:t>
            </w:r>
          </w:p>
        </w:tc>
        <w:tc>
          <w:tcPr>
            <w:tcW w:w="9736" w:type="dxa"/>
            <w:tcBorders/>
            <w:vAlign w:val="center"/>
          </w:tcPr>
          <w:p>
            <w:pPr>
              <w:pStyle w:val="TableContents"/>
              <w:bidi w:val="0"/>
              <w:spacing w:lineRule="auto" w:line="285" w:before="0" w:after="0"/>
              <w:ind w:left="0" w:right="0" w:hanging="0"/>
              <w:jc w:val="left"/>
              <w:rPr/>
            </w:pPr>
            <w:r>
              <w:rPr/>
              <w:t>​</w:t>
            </w:r>
          </w:p>
        </w:tc>
      </w:tr>
      <w:tr>
        <w:trPr/>
        <w:tc>
          <w:tcPr>
            <w:tcW w:w="242" w:type="dxa"/>
            <w:tcBorders/>
            <w:vAlign w:val="center"/>
          </w:tcPr>
          <w:p>
            <w:pPr>
              <w:pStyle w:val="TableContents"/>
              <w:pBdr/>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1.</w:t>
            </w:r>
          </w:p>
        </w:tc>
        <w:tc>
          <w:tcPr>
            <w:tcW w:w="9963" w:type="dxa"/>
            <w:gridSpan w:val="2"/>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I have reviewed this quarterly report on Form 10-Q of TTEC Holdings, Inc.;</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9963" w:type="dxa"/>
            <w:gridSpan w:val="2"/>
            <w:tcBorders/>
            <w:vAlign w:val="center"/>
          </w:tcPr>
          <w:p>
            <w:pPr>
              <w:pStyle w:val="TableContents"/>
              <w:bidi w:val="0"/>
              <w:spacing w:lineRule="auto" w:line="285" w:before="0" w:after="0"/>
              <w:ind w:left="0" w:right="0" w:hanging="0"/>
              <w:jc w:val="both"/>
              <w:rPr/>
            </w:pPr>
            <w:r>
              <w:rPr/>
              <w:t>​</w:t>
            </w:r>
          </w:p>
        </w:tc>
      </w:tr>
      <w:tr>
        <w:trPr/>
        <w:tc>
          <w:tcPr>
            <w:tcW w:w="242" w:type="dxa"/>
            <w:tcBorders/>
            <w:vAlign w:val="center"/>
          </w:tcPr>
          <w:p>
            <w:pPr>
              <w:pStyle w:val="TableContents"/>
              <w:pBdr/>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2.</w:t>
            </w:r>
          </w:p>
        </w:tc>
        <w:tc>
          <w:tcPr>
            <w:tcW w:w="9963" w:type="dxa"/>
            <w:gridSpan w:val="2"/>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9963" w:type="dxa"/>
            <w:gridSpan w:val="2"/>
            <w:tcBorders/>
            <w:vAlign w:val="center"/>
          </w:tcPr>
          <w:p>
            <w:pPr>
              <w:pStyle w:val="TableContents"/>
              <w:bidi w:val="0"/>
              <w:spacing w:lineRule="auto" w:line="285" w:before="0" w:after="0"/>
              <w:ind w:left="0" w:right="0" w:hanging="0"/>
              <w:jc w:val="both"/>
              <w:rPr/>
            </w:pPr>
            <w:r>
              <w:rPr/>
              <w:t>​</w:t>
            </w:r>
          </w:p>
        </w:tc>
      </w:tr>
      <w:tr>
        <w:trPr/>
        <w:tc>
          <w:tcPr>
            <w:tcW w:w="242" w:type="dxa"/>
            <w:tcBorders/>
            <w:vAlign w:val="center"/>
          </w:tcPr>
          <w:p>
            <w:pPr>
              <w:pStyle w:val="TableContents"/>
              <w:pBdr/>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3.</w:t>
            </w:r>
          </w:p>
        </w:tc>
        <w:tc>
          <w:tcPr>
            <w:tcW w:w="9963" w:type="dxa"/>
            <w:gridSpan w:val="2"/>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9963" w:type="dxa"/>
            <w:gridSpan w:val="2"/>
            <w:tcBorders/>
            <w:vAlign w:val="center"/>
          </w:tcPr>
          <w:p>
            <w:pPr>
              <w:pStyle w:val="TableContents"/>
              <w:bidi w:val="0"/>
              <w:spacing w:lineRule="auto" w:line="285" w:before="0" w:after="0"/>
              <w:ind w:left="0" w:right="0" w:hanging="0"/>
              <w:jc w:val="both"/>
              <w:rPr/>
            </w:pPr>
            <w:r>
              <w:rPr/>
              <w:t>​</w:t>
            </w:r>
          </w:p>
        </w:tc>
      </w:tr>
      <w:tr>
        <w:trPr/>
        <w:tc>
          <w:tcPr>
            <w:tcW w:w="242" w:type="dxa"/>
            <w:tcBorders/>
            <w:vAlign w:val="center"/>
          </w:tcPr>
          <w:p>
            <w:pPr>
              <w:pStyle w:val="TableContents"/>
              <w:pBdr/>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4.</w:t>
            </w:r>
          </w:p>
        </w:tc>
        <w:tc>
          <w:tcPr>
            <w:tcW w:w="9963" w:type="dxa"/>
            <w:gridSpan w:val="2"/>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9963" w:type="dxa"/>
            <w:gridSpan w:val="2"/>
            <w:tcBorders/>
            <w:vAlign w:val="center"/>
          </w:tcPr>
          <w:p>
            <w:pPr>
              <w:pStyle w:val="TableContents"/>
              <w:bidi w:val="0"/>
              <w:spacing w:lineRule="auto" w:line="285" w:before="0" w:after="0"/>
              <w:ind w:left="0" w:right="0" w:hanging="0"/>
              <w:jc w:val="both"/>
              <w:rPr/>
            </w:pPr>
            <w:r>
              <w:rPr/>
              <w:t>​</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a)</w:t>
            </w:r>
          </w:p>
        </w:tc>
        <w:tc>
          <w:tcPr>
            <w:tcW w:w="9736"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both"/>
              <w:rPr/>
            </w:pPr>
            <w:r>
              <w:rPr/>
              <w:t>​</w:t>
            </w:r>
          </w:p>
        </w:tc>
        <w:tc>
          <w:tcPr>
            <w:tcW w:w="9736" w:type="dxa"/>
            <w:tcBorders/>
            <w:vAlign w:val="center"/>
          </w:tcPr>
          <w:p>
            <w:pPr>
              <w:pStyle w:val="TableContents"/>
              <w:bidi w:val="0"/>
              <w:spacing w:lineRule="auto" w:line="285" w:before="0" w:after="0"/>
              <w:ind w:left="0" w:right="0" w:hanging="0"/>
              <w:jc w:val="both"/>
              <w:rPr/>
            </w:pPr>
            <w:r>
              <w:rPr/>
              <w:t>​</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b)</w:t>
            </w:r>
          </w:p>
        </w:tc>
        <w:tc>
          <w:tcPr>
            <w:tcW w:w="9736"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both"/>
              <w:rPr/>
            </w:pPr>
            <w:r>
              <w:rPr/>
              <w:t>​</w:t>
            </w:r>
          </w:p>
        </w:tc>
        <w:tc>
          <w:tcPr>
            <w:tcW w:w="9736" w:type="dxa"/>
            <w:tcBorders/>
            <w:vAlign w:val="center"/>
          </w:tcPr>
          <w:p>
            <w:pPr>
              <w:pStyle w:val="TableContents"/>
              <w:bidi w:val="0"/>
              <w:spacing w:lineRule="auto" w:line="285" w:before="0" w:after="0"/>
              <w:ind w:left="0" w:right="0" w:hanging="0"/>
              <w:jc w:val="both"/>
              <w:rPr/>
            </w:pPr>
            <w:r>
              <w:rPr/>
              <w:t>​</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c)</w:t>
            </w:r>
          </w:p>
        </w:tc>
        <w:tc>
          <w:tcPr>
            <w:tcW w:w="9736"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both"/>
              <w:rPr/>
            </w:pPr>
            <w:r>
              <w:rPr/>
              <w:t>​</w:t>
            </w:r>
          </w:p>
        </w:tc>
        <w:tc>
          <w:tcPr>
            <w:tcW w:w="9736" w:type="dxa"/>
            <w:tcBorders/>
            <w:vAlign w:val="center"/>
          </w:tcPr>
          <w:p>
            <w:pPr>
              <w:pStyle w:val="TableContents"/>
              <w:bidi w:val="0"/>
              <w:spacing w:lineRule="auto" w:line="285" w:before="0" w:after="0"/>
              <w:ind w:left="0" w:right="0" w:hanging="0"/>
              <w:jc w:val="both"/>
              <w:rPr/>
            </w:pPr>
            <w:r>
              <w:rPr/>
              <w:t>​</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d)</w:t>
            </w:r>
          </w:p>
        </w:tc>
        <w:tc>
          <w:tcPr>
            <w:tcW w:w="9736"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both"/>
              <w:rPr/>
            </w:pPr>
            <w:r>
              <w:rPr/>
              <w:t>​</w:t>
            </w:r>
          </w:p>
        </w:tc>
        <w:tc>
          <w:tcPr>
            <w:tcW w:w="9736" w:type="dxa"/>
            <w:tcBorders/>
            <w:vAlign w:val="center"/>
          </w:tcPr>
          <w:p>
            <w:pPr>
              <w:pStyle w:val="TableContents"/>
              <w:bidi w:val="0"/>
              <w:spacing w:lineRule="auto" w:line="285" w:before="0" w:after="0"/>
              <w:ind w:left="0" w:right="0" w:hanging="0"/>
              <w:jc w:val="both"/>
              <w:rPr/>
            </w:pPr>
            <w:r>
              <w:rPr/>
              <w:t>​</w:t>
            </w:r>
          </w:p>
        </w:tc>
      </w:tr>
      <w:tr>
        <w:trPr/>
        <w:tc>
          <w:tcPr>
            <w:tcW w:w="242" w:type="dxa"/>
            <w:tcBorders/>
            <w:vAlign w:val="center"/>
          </w:tcPr>
          <w:p>
            <w:pPr>
              <w:pStyle w:val="TableContents"/>
              <w:pBdr/>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5.</w:t>
            </w:r>
          </w:p>
        </w:tc>
        <w:tc>
          <w:tcPr>
            <w:tcW w:w="9963" w:type="dxa"/>
            <w:gridSpan w:val="2"/>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both"/>
              <w:rPr/>
            </w:pPr>
            <w:r>
              <w:rPr/>
              <w:t>​</w:t>
            </w:r>
          </w:p>
        </w:tc>
        <w:tc>
          <w:tcPr>
            <w:tcW w:w="9736" w:type="dxa"/>
            <w:tcBorders/>
            <w:vAlign w:val="center"/>
          </w:tcPr>
          <w:p>
            <w:pPr>
              <w:pStyle w:val="TableContents"/>
              <w:bidi w:val="0"/>
              <w:spacing w:lineRule="auto" w:line="285" w:before="0" w:after="0"/>
              <w:ind w:left="0" w:right="0" w:hanging="0"/>
              <w:jc w:val="both"/>
              <w:rPr/>
            </w:pPr>
            <w:r>
              <w:rPr/>
              <w:t>​</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a)</w:t>
            </w:r>
          </w:p>
        </w:tc>
        <w:tc>
          <w:tcPr>
            <w:tcW w:w="9736"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both"/>
              <w:rPr/>
            </w:pPr>
            <w:r>
              <w:rPr/>
              <w:t>​</w:t>
            </w:r>
          </w:p>
        </w:tc>
        <w:tc>
          <w:tcPr>
            <w:tcW w:w="9736" w:type="dxa"/>
            <w:tcBorders/>
            <w:vAlign w:val="center"/>
          </w:tcPr>
          <w:p>
            <w:pPr>
              <w:pStyle w:val="TableContents"/>
              <w:bidi w:val="0"/>
              <w:spacing w:lineRule="auto" w:line="285" w:before="0" w:after="0"/>
              <w:ind w:left="0" w:right="0" w:hanging="0"/>
              <w:jc w:val="both"/>
              <w:rPr/>
            </w:pPr>
            <w:r>
              <w:rPr/>
              <w:t>​</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b)</w:t>
            </w:r>
          </w:p>
        </w:tc>
        <w:tc>
          <w:tcPr>
            <w:tcW w:w="9736"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Any fraud, whether or not material, that involves management or other employees who have a significant role in the registrant’s internal control over financial reporting.</w:t>
            </w:r>
          </w:p>
        </w:tc>
      </w:tr>
    </w:tbl>
    <w:p>
      <w:pPr>
        <w:pStyle w:val="TextBody"/>
        <w:bidi w:val="0"/>
        <w:spacing w:lineRule="auto" w:line="285" w:before="0" w:after="0"/>
        <w:ind w:left="0" w:right="0" w:hanging="0"/>
        <w:jc w:val="left"/>
        <w:rPr/>
      </w:pPr>
      <w:r>
        <w:rPr/>
        <w:t>​</w:t>
      </w:r>
    </w:p>
    <w:p>
      <w:pPr>
        <w:pStyle w:val="TextBody"/>
        <w:pBdr/>
        <w:bidi w:val="0"/>
        <w:spacing w:lineRule="auto" w:line="285" w:before="0" w:after="0"/>
        <w:ind w:left="0" w:right="0" w:hanging="288"/>
        <w:jc w:val="left"/>
        <w:rPr>
          <w:rFonts w:ascii="Arial;Helvetica;sans-serif" w:hAnsi="Arial;Helvetica;sans-serif"/>
          <w:sz w:val="20"/>
        </w:rPr>
      </w:pPr>
      <w:r>
        <w:rPr>
          <w:rFonts w:ascii="Arial;Helvetica;sans-serif" w:hAnsi="Arial;Helvetica;sans-serif"/>
          <w:sz w:val="20"/>
        </w:rPr>
        <w:t>Date: August 10, 2026</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tbl>
      <w:tblPr>
        <w:tblW w:w="4446" w:type="dxa"/>
        <w:jc w:val="left"/>
        <w:tblInd w:w="0" w:type="dxa"/>
        <w:tblLayout w:type="fixed"/>
        <w:tblCellMar>
          <w:top w:w="0" w:type="dxa"/>
          <w:left w:w="0" w:type="dxa"/>
          <w:bottom w:w="0" w:type="dxa"/>
          <w:right w:w="0" w:type="dxa"/>
        </w:tblCellMar>
      </w:tblPr>
      <w:tblGrid>
        <w:gridCol w:w="124"/>
        <w:gridCol w:w="406"/>
        <w:gridCol w:w="3916"/>
      </w:tblGrid>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916"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391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/s/ KENNETH R. WAGERS, III</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91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Kenneth R. Wagers, III</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91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Chief Financial Officer</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91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(Principal Financial and Accounting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Arial;Helvetica;sans-serif" w:hAnsi="Arial;Helvetica;sans-serif"/>
          <w:b/>
          <w:sz w:val="20"/>
        </w:rPr>
      </w:pPr>
      <w:bookmarkStart w:id="2116" w:name="ttec-20260630xex32d1.htm"/>
      <w:bookmarkStart w:id="2117" w:name="ksttec20260630xex32d1"/>
      <w:bookmarkEnd w:id="2116"/>
      <w:bookmarkEnd w:id="2117"/>
      <w:r>
        <w:rPr>
          <w:rFonts w:ascii="Arial;Helvetica;sans-serif" w:hAnsi="Arial;Helvetica;sans-serif"/>
          <w:b/>
          <w:sz w:val="20"/>
        </w:rPr>
        <w:t>Exhibit 32.1</w:t>
      </w:r>
      <w:r>
        <w:br w:type="page"/>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CERTIFICATION OF CHIEF EXECUTIVE OFFICER</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PURSUANT TO SECTION 906 OF THE SARBANES-OXLEY ACT OF 2002</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 undersigned, the Chief Executive Officer of TTEC Holdings, Inc. (the “Company”), hereby certifies that, to his knowledge on the date hereof:</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lineRule="auto" w:line="285" w:before="0" w:after="0"/>
              <w:jc w:val="both"/>
              <w:rPr>
                <w:rFonts w:ascii="Arial;Helvetica;sans-serif" w:hAnsi="Arial;Helvetica;sans-serif"/>
                <w:sz w:val="20"/>
              </w:rPr>
            </w:pPr>
            <w:r>
              <w:rPr>
                <w:rFonts w:ascii="Arial;Helvetica;sans-serif" w:hAnsi="Arial;Helvetica;sans-serif"/>
                <w:sz w:val="20"/>
              </w:rPr>
              <w:t>(a)</w:t>
            </w:r>
          </w:p>
        </w:tc>
        <w:tc>
          <w:tcPr>
            <w:tcW w:w="9973" w:type="dxa"/>
            <w:tcBorders/>
            <w:vAlign w:val="center"/>
          </w:tcPr>
          <w:p>
            <w:pPr>
              <w:pStyle w:val="TableContents"/>
              <w:bidi w:val="0"/>
              <w:spacing w:lineRule="auto" w:line="285" w:before="0" w:after="0"/>
              <w:jc w:val="both"/>
              <w:rPr>
                <w:rFonts w:ascii="Arial;Helvetica;sans-serif" w:hAnsi="Arial;Helvetica;sans-serif"/>
                <w:sz w:val="20"/>
              </w:rPr>
            </w:pPr>
            <w:r>
              <w:rPr>
                <w:rFonts w:ascii="Arial;Helvetica;sans-serif" w:hAnsi="Arial;Helvetica;sans-serif"/>
                <w:sz w:val="20"/>
              </w:rPr>
              <w:t>the Form 10-Q of the Company for the quarter ended June 30, 2026 filed on the date hereof with the Securities and Exchange Commission (the “Report”) fully complies with the requirements of Section 13(a) or 15(d) of the Securities and Exchange Act of 1934;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1"/>
        <w:gridCol w:w="9951"/>
      </w:tblGrid>
      <w:tr>
        <w:trPr/>
        <w:tc>
          <w:tcPr>
            <w:tcW w:w="2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lineRule="auto" w:line="285" w:before="0" w:after="0"/>
              <w:jc w:val="both"/>
              <w:rPr>
                <w:rFonts w:ascii="Arial;Helvetica;sans-serif" w:hAnsi="Arial;Helvetica;sans-serif"/>
                <w:sz w:val="20"/>
              </w:rPr>
            </w:pPr>
            <w:r>
              <w:rPr>
                <w:rFonts w:ascii="Arial;Helvetica;sans-serif" w:hAnsi="Arial;Helvetica;sans-serif"/>
                <w:sz w:val="20"/>
              </w:rPr>
              <w:t>(b)</w:t>
            </w:r>
          </w:p>
        </w:tc>
        <w:tc>
          <w:tcPr>
            <w:tcW w:w="9951" w:type="dxa"/>
            <w:tcBorders/>
            <w:vAlign w:val="center"/>
          </w:tcPr>
          <w:p>
            <w:pPr>
              <w:pStyle w:val="TableContents"/>
              <w:bidi w:val="0"/>
              <w:spacing w:lineRule="auto" w:line="285" w:before="0" w:after="0"/>
              <w:jc w:val="both"/>
              <w:rPr>
                <w:rFonts w:ascii="Arial;Helvetica;sans-serif" w:hAnsi="Arial;Helvetica;sans-serif"/>
                <w:sz w:val="20"/>
              </w:rPr>
            </w:pPr>
            <w:r>
              <w:rPr>
                <w:rFonts w:ascii="Arial;Helvetica;sans-serif" w:hAnsi="Arial;Helvetica;sans-serif"/>
                <w:sz w:val="20"/>
              </w:rPr>
              <w:t>the information contained in the Report fairly presents, in all material respects, the financial condition and results of operations of the Company.</w:t>
            </w:r>
          </w:p>
        </w:tc>
      </w:tr>
    </w:tbl>
    <w:p>
      <w:pPr>
        <w:pStyle w:val="TextBody"/>
        <w:bidi w:val="0"/>
        <w:spacing w:lineRule="auto" w:line="285" w:before="0" w:after="0"/>
        <w:ind w:left="0" w:right="0" w:hanging="0"/>
        <w:jc w:val="left"/>
        <w:rPr/>
      </w:pPr>
      <w:r>
        <w:rPr/>
        <w:t>​</w:t>
      </w:r>
    </w:p>
    <w:tbl>
      <w:tblPr>
        <w:tblW w:w="3966" w:type="dxa"/>
        <w:jc w:val="left"/>
        <w:tblInd w:w="0" w:type="dxa"/>
        <w:tblLayout w:type="fixed"/>
        <w:tblCellMar>
          <w:top w:w="0" w:type="dxa"/>
          <w:left w:w="0" w:type="dxa"/>
          <w:bottom w:w="0" w:type="dxa"/>
          <w:right w:w="0" w:type="dxa"/>
        </w:tblCellMar>
      </w:tblPr>
      <w:tblGrid>
        <w:gridCol w:w="124"/>
        <w:gridCol w:w="406"/>
        <w:gridCol w:w="3436"/>
      </w:tblGrid>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343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/s/ KENNETH D. TUCHMAN</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43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Kenneth D. Tuchman</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43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Chairman and Chief Executive 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Date: August 10, 2026</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Arial;Helvetica;sans-serif" w:hAnsi="Arial;Helvetica;sans-serif"/>
          <w:b/>
          <w:sz w:val="20"/>
        </w:rPr>
      </w:pPr>
      <w:bookmarkStart w:id="2118" w:name="ttec-20260630xex32d2.htm"/>
      <w:bookmarkStart w:id="2119" w:name="ksttec20260630xex32d2"/>
      <w:bookmarkEnd w:id="2118"/>
      <w:bookmarkEnd w:id="2119"/>
      <w:r>
        <w:rPr>
          <w:rFonts w:ascii="Arial;Helvetica;sans-serif" w:hAnsi="Arial;Helvetica;sans-serif"/>
          <w:b/>
          <w:sz w:val="20"/>
        </w:rPr>
        <w:t>Exhibit 32.2</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CERTIFICATION OF CHIEF FINANCIAL OFFICER</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Arial;Helvetica;sans-serif" w:hAnsi="Arial;Helvetica;sans-serif"/>
          <w:b/>
          <w:sz w:val="20"/>
        </w:rPr>
        <w:t>PURSUANT TO SECTION 906 OF THE SARBANES</w:t>
      </w:r>
      <w:r>
        <w:rPr>
          <w:rFonts w:ascii="Arial;Helvetica;sans-serif" w:hAnsi="Arial;Helvetica;sans-serif"/>
          <w:sz w:val="20"/>
        </w:rPr>
        <w:t>-</w:t>
      </w:r>
      <w:r>
        <w:rPr>
          <w:rFonts w:ascii="Arial;Helvetica;sans-serif" w:hAnsi="Arial;Helvetica;sans-serif"/>
          <w:b/>
          <w:sz w:val="20"/>
        </w:rPr>
        <w:t>OXLEY ACT OF 2002</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 undersigned, the Chief Financial Officer of TTEC Holdings, Inc. (the “Company”), hereby certifies that, to his knowledge on the date hereof:</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lineRule="auto" w:line="285" w:before="0" w:after="0"/>
              <w:jc w:val="both"/>
              <w:rPr>
                <w:rFonts w:ascii="Arial;Helvetica;sans-serif" w:hAnsi="Arial;Helvetica;sans-serif"/>
                <w:sz w:val="20"/>
              </w:rPr>
            </w:pPr>
            <w:r>
              <w:rPr>
                <w:rFonts w:ascii="Arial;Helvetica;sans-serif" w:hAnsi="Arial;Helvetica;sans-serif"/>
                <w:sz w:val="20"/>
              </w:rPr>
              <w:t>(a)</w:t>
            </w:r>
          </w:p>
        </w:tc>
        <w:tc>
          <w:tcPr>
            <w:tcW w:w="9973" w:type="dxa"/>
            <w:tcBorders/>
            <w:vAlign w:val="center"/>
          </w:tcPr>
          <w:p>
            <w:pPr>
              <w:pStyle w:val="TableContents"/>
              <w:bidi w:val="0"/>
              <w:spacing w:lineRule="auto" w:line="285" w:before="0" w:after="0"/>
              <w:jc w:val="both"/>
              <w:rPr>
                <w:rFonts w:ascii="Arial;Helvetica;sans-serif" w:hAnsi="Arial;Helvetica;sans-serif"/>
                <w:sz w:val="20"/>
              </w:rPr>
            </w:pPr>
            <w:r>
              <w:rPr>
                <w:rFonts w:ascii="Arial;Helvetica;sans-serif" w:hAnsi="Arial;Helvetica;sans-serif"/>
                <w:sz w:val="20"/>
              </w:rPr>
              <w:t>the Form 10-Q of the Company for the quarter ended June 30, 2026 filed on the date hereof with the Securities and Exchange Commission (the “Report”) fully complies with the requirements of Section 13(a) or 15(d) of the Securities and Exchange Act of 1934;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1"/>
        <w:gridCol w:w="9951"/>
      </w:tblGrid>
      <w:tr>
        <w:trPr/>
        <w:tc>
          <w:tcPr>
            <w:tcW w:w="2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lineRule="auto" w:line="285" w:before="0" w:after="0"/>
              <w:jc w:val="both"/>
              <w:rPr>
                <w:rFonts w:ascii="Arial;Helvetica;sans-serif" w:hAnsi="Arial;Helvetica;sans-serif"/>
                <w:sz w:val="20"/>
              </w:rPr>
            </w:pPr>
            <w:r>
              <w:rPr>
                <w:rFonts w:ascii="Arial;Helvetica;sans-serif" w:hAnsi="Arial;Helvetica;sans-serif"/>
                <w:sz w:val="20"/>
              </w:rPr>
              <w:t>(b)</w:t>
            </w:r>
          </w:p>
        </w:tc>
        <w:tc>
          <w:tcPr>
            <w:tcW w:w="9951" w:type="dxa"/>
            <w:tcBorders/>
            <w:vAlign w:val="center"/>
          </w:tcPr>
          <w:p>
            <w:pPr>
              <w:pStyle w:val="TableContents"/>
              <w:bidi w:val="0"/>
              <w:spacing w:lineRule="auto" w:line="285" w:before="0" w:after="0"/>
              <w:jc w:val="both"/>
              <w:rPr>
                <w:rFonts w:ascii="Arial;Helvetica;sans-serif" w:hAnsi="Arial;Helvetica;sans-serif"/>
                <w:sz w:val="20"/>
              </w:rPr>
            </w:pPr>
            <w:r>
              <w:rPr>
                <w:rFonts w:ascii="Arial;Helvetica;sans-serif" w:hAnsi="Arial;Helvetica;sans-serif"/>
                <w:sz w:val="20"/>
              </w:rPr>
              <w:t>the information contained in the Report fairly presents, in all material respects, the financial condition and results of operations of the Company.</w:t>
            </w:r>
          </w:p>
        </w:tc>
      </w:tr>
    </w:tbl>
    <w:p>
      <w:pPr>
        <w:pStyle w:val="TextBody"/>
        <w:bidi w:val="0"/>
        <w:spacing w:lineRule="auto" w:line="285" w:before="0" w:after="0"/>
        <w:ind w:left="0" w:right="0" w:hanging="0"/>
        <w:jc w:val="left"/>
        <w:rPr/>
      </w:pPr>
      <w:r>
        <w:rPr/>
        <w:t>​</w:t>
      </w:r>
    </w:p>
    <w:tbl>
      <w:tblPr>
        <w:tblW w:w="3381" w:type="dxa"/>
        <w:jc w:val="left"/>
        <w:tblInd w:w="0" w:type="dxa"/>
        <w:tblLayout w:type="fixed"/>
        <w:tblCellMar>
          <w:top w:w="0" w:type="dxa"/>
          <w:left w:w="0" w:type="dxa"/>
          <w:bottom w:w="0" w:type="dxa"/>
          <w:right w:w="0" w:type="dxa"/>
        </w:tblCellMar>
      </w:tblPr>
      <w:tblGrid>
        <w:gridCol w:w="124"/>
        <w:gridCol w:w="406"/>
        <w:gridCol w:w="2851"/>
      </w:tblGrid>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285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285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/s/ KENNETH R. WAGERS, III</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285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Kenneth R. Wagers, III</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2851"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Chief Financial 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Date: August 10, 2026</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Aptos">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013880/000110465926020532/ttec-20251231x10k.htm" TargetMode="External"/><Relationship Id="rId3" Type="http://schemas.openxmlformats.org/officeDocument/2006/relationships/hyperlink" Target="https://www.sec.gov/ix?doc=/Archives/edgar/data/1013880/000110465926020532/ttec-20251231x10k.htm" TargetMode="External"/><Relationship Id="rId4" Type="http://schemas.openxmlformats.org/officeDocument/2006/relationships/hyperlink" Target="https://www.sec.gov/ix?doc=/Archives/edgar/data/1013880/000110465926066973/tm2615684d1_8k.htm" TargetMode="External"/><Relationship Id="rId5" Type="http://schemas.openxmlformats.org/officeDocument/2006/relationships/hyperlink" Target="https://www.sec.gov/ix?doc=/Archives/edgar/data/1013880/000110465926066973/tm2615684d1_8k.htm" TargetMode="External"/><Relationship Id="rId6" Type="http://schemas.openxmlformats.org/officeDocument/2006/relationships/hyperlink" Target="https://www.sec.gov/Archives/edgar/data/1013880/000110465926042074/tm269728d9_defa14a.htm" TargetMode="External"/><Relationship Id="rId7" Type="http://schemas.openxmlformats.org/officeDocument/2006/relationships/hyperlink" Target="https://www.sec.gov/ix?doc=/Archives/edgar/data/1013880/000110465926020532/ttec-20251231x10k.htm" TargetMode="External"/><Relationship Id="rId8" Type="http://schemas.openxmlformats.org/officeDocument/2006/relationships/hyperlink" Target="https://www.sec.gov/ix?doc=/Archives/edgar/data/1013880/000110465926020532/ttec-20251231x10k.htm" TargetMode="External"/><Relationship Id="rId9" Type="http://schemas.openxmlformats.org/officeDocument/2006/relationships/hyperlink" Target="https://www.sec.gov/ix?doc=/Archives/edgar/data/1013880/000110465926020532/ttec-20251231x10k.htm" TargetMode="External"/><Relationship Id="rId10" Type="http://schemas.openxmlformats.org/officeDocument/2006/relationships/hyperlink" Target="https://www.sec.gov/Archives/edgar/data/1013880/000110465926042074/tm269728d9_defa14a.htm" TargetMode="External"/><Relationship Id="rId11" Type="http://schemas.openxmlformats.org/officeDocument/2006/relationships/hyperlink" Target="https://www.sec.gov/ix?doc=/Archives/edgar/data/1013880/000110465926033089/tm269519d1_8k.htm" TargetMode="External"/><Relationship Id="rId12" Type="http://schemas.openxmlformats.org/officeDocument/2006/relationships/hyperlink" Target="https://www.sec.gov/Archives/edgar/data/1013880/000110465926042074/tm269728d9_defa14a.htm" TargetMode="External"/><Relationship Id="rId13" Type="http://schemas.openxmlformats.org/officeDocument/2006/relationships/hyperlink" Target="https://www.sec.gov/Archives/edgar/data/1013880/000110465926066973/tm2615684d1_ex3-1.htm" TargetMode="External"/><Relationship Id="rId14" Type="http://schemas.openxmlformats.org/officeDocument/2006/relationships/hyperlink" Target="https://www.sec.gov/Archives/edgar/data/1013880/000110465926066973/tm2615684d1_ex3-2.htm" TargetMode="External"/><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2.jpeg"/><Relationship Id="rId18" Type="http://schemas.openxmlformats.org/officeDocument/2006/relationships/image" Target="media/image2.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127931</Words>
  <Characters>689204</Characters>
  <CharactersWithSpaces>820205</CharactersWithSpaces>
  <Paragraphs>11015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