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13, 2018</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TTEC Holdings, Inc.</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9" w:right="239" w:bottom="1440" w:gutter="0" w:footer="0" w:header="0"/>
        </w:sectPr>
      </w:pPr>
    </w:p>
    <w:p>
      <w:pPr>
        <w:spacing w:after="0" w:line="176"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13" w:lineRule="exact"/>
        <w:rPr>
          <w:sz w:val="24"/>
          <w:szCs w:val="24"/>
          <w:color w:val="auto"/>
        </w:rPr>
      </w:pPr>
    </w:p>
    <w:p>
      <w:pPr>
        <w:ind w:left="720"/>
        <w:spacing w:after="0"/>
        <w:rPr>
          <w:sz w:val="20"/>
          <w:szCs w:val="20"/>
          <w:color w:val="auto"/>
        </w:rPr>
      </w:pPr>
      <w:r>
        <w:rPr>
          <w:rFonts w:ascii="Arial" w:cs="Arial" w:eastAsia="Arial" w:hAnsi="Arial"/>
          <w:sz w:val="18"/>
          <w:szCs w:val="18"/>
          <w:color w:val="auto"/>
        </w:rPr>
        <w:t>(State or other jurisdiction of</w:t>
      </w:r>
    </w:p>
    <w:p>
      <w:pPr>
        <w:ind w:left="660"/>
        <w:spacing w:after="0"/>
        <w:rPr>
          <w:sz w:val="20"/>
          <w:szCs w:val="20"/>
          <w:color w:val="auto"/>
        </w:rPr>
      </w:pPr>
      <w:r>
        <w:rPr>
          <w:rFonts w:ascii="Arial" w:cs="Arial" w:eastAsia="Arial" w:hAnsi="Arial"/>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001-11919</w:t>
      </w:r>
    </w:p>
    <w:p>
      <w:pPr>
        <w:spacing w:after="0" w:line="18"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84-1291044</w:t>
      </w:r>
    </w:p>
    <w:p>
      <w:pPr>
        <w:spacing w:after="0" w:line="13"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jc w:val="center"/>
        <w:ind w:right="940"/>
        <w:spacing w:after="0"/>
        <w:rPr>
          <w:sz w:val="20"/>
          <w:szCs w:val="20"/>
          <w:color w:val="auto"/>
        </w:rPr>
      </w:pPr>
      <w:r>
        <w:rPr>
          <w:rFonts w:ascii="Arial" w:cs="Arial" w:eastAsia="Arial" w:hAnsi="Arial"/>
          <w:sz w:val="17"/>
          <w:szCs w:val="17"/>
          <w:color w:val="auto"/>
        </w:rPr>
        <w:t>Identification Number)</w:t>
      </w:r>
    </w:p>
    <w:p>
      <w:pPr>
        <w:spacing w:after="0" w:line="200" w:lineRule="exact"/>
        <w:rPr>
          <w:sz w:val="24"/>
          <w:szCs w:val="24"/>
          <w:color w:val="auto"/>
        </w:rPr>
      </w:pPr>
    </w:p>
    <w:p>
      <w:pPr>
        <w:sectPr>
          <w:pgSz w:w="11900" w:h="16838" w:orient="portrait"/>
          <w:cols w:equalWidth="0" w:num="3">
            <w:col w:w="3940" w:space="720"/>
            <w:col w:w="3340" w:space="720"/>
            <w:col w:w="2700"/>
          </w:cols>
          <w:pgMar w:left="240" w:top="549" w:right="239" w:bottom="1440" w:gutter="0" w:footer="0" w:header="0"/>
          <w:type w:val="continuous"/>
        </w:sectPr>
      </w:pPr>
    </w:p>
    <w:p>
      <w:pPr>
        <w:spacing w:after="0" w:line="1" w:lineRule="exact"/>
        <w:rPr>
          <w:sz w:val="24"/>
          <w:szCs w:val="24"/>
          <w:color w:val="auto"/>
        </w:rPr>
      </w:pPr>
    </w:p>
    <w:p>
      <w:pPr>
        <w:ind w:left="1200"/>
        <w:spacing w:after="0"/>
        <w:rPr>
          <w:sz w:val="20"/>
          <w:szCs w:val="20"/>
          <w:color w:val="auto"/>
        </w:rPr>
      </w:pPr>
      <w:r>
        <w:rPr>
          <w:rFonts w:ascii="Arial" w:cs="Arial" w:eastAsia="Arial" w:hAnsi="Arial"/>
          <w:sz w:val="18"/>
          <w:szCs w:val="18"/>
          <w:b w:val="1"/>
          <w:bCs w:val="1"/>
          <w:color w:val="auto"/>
        </w:rPr>
        <w:t>9197 S. Peoria Street, Englewood, CO</w:t>
      </w:r>
    </w:p>
    <w:p>
      <w:pPr>
        <w:spacing w:after="0" w:line="18"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80112-5833</w:t>
      </w:r>
    </w:p>
    <w:p>
      <w:pPr>
        <w:spacing w:after="0" w:line="29" w:lineRule="exact"/>
        <w:rPr>
          <w:sz w:val="24"/>
          <w:szCs w:val="24"/>
          <w:color w:val="auto"/>
        </w:rPr>
      </w:pPr>
    </w:p>
    <w:p>
      <w:pPr>
        <w:ind w:left="60"/>
        <w:spacing w:after="0"/>
        <w:rPr>
          <w:sz w:val="20"/>
          <w:szCs w:val="20"/>
          <w:color w:val="auto"/>
        </w:rPr>
      </w:pPr>
      <w:r>
        <w:rPr>
          <w:rFonts w:ascii="Arial" w:cs="Arial" w:eastAsia="Arial" w:hAnsi="Arial"/>
          <w:sz w:val="18"/>
          <w:szCs w:val="18"/>
          <w:color w:val="auto"/>
        </w:rPr>
        <w:t>(Zip Code)</w:t>
      </w:r>
    </w:p>
    <w:p>
      <w:pPr>
        <w:spacing w:after="0" w:line="176" w:lineRule="exact"/>
        <w:rPr>
          <w:sz w:val="24"/>
          <w:szCs w:val="24"/>
          <w:color w:val="auto"/>
        </w:rPr>
      </w:pPr>
    </w:p>
    <w:p>
      <w:pPr>
        <w:sectPr>
          <w:pgSz w:w="11900" w:h="16838" w:orient="portrait"/>
          <w:cols w:equalWidth="0" w:num="2">
            <w:col w:w="7420" w:space="720"/>
            <w:col w:w="3280"/>
          </w:cols>
          <w:pgMar w:left="240" w:top="549" w:right="239" w:bottom="1440" w:gutter="0" w:footer="0" w:header="0"/>
          <w:type w:val="continuous"/>
        </w:sectPr>
      </w:pPr>
    </w:p>
    <w:p>
      <w:pPr>
        <w:ind w:left="30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303-397-8100</w:t>
      </w:r>
    </w:p>
    <w:p>
      <w:pPr>
        <w:spacing w:after="0" w:line="198"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Not Applicable</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98"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3" w:lineRule="exact"/>
        <w:rPr>
          <w:sz w:val="24"/>
          <w:szCs w:val="24"/>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ind w:right="18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type w:val="continuous"/>
        </w:sectPr>
      </w:pPr>
    </w:p>
    <w:bookmarkStart w:id="1" w:name="page2"/>
    <w:bookmarkEnd w:id="1"/>
    <w:p>
      <w:pPr>
        <w:ind w:right="860"/>
        <w:spacing w:after="0" w:line="27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December 13, 2018 TTEC Holdings, Inc. (“TTEC”) Board of Directors announced the appointment of Mr. Steven Pollema, as Executive Vice President, TTEC Digital Technology. In this role Mr. Pollema would report to Ken Tuchman, TTEC Chairman and CEO and would have full P&amp;L responsibilities for TTEC Customer Technology Services business segment, known as CTS. In connection with this appointment, the Board designated Mr. Pollema as an Executive Officer for the purpose of U.S. Securities &amp; Exchange Commission’s filing requirements under Section 16(a) of the Exchange Act of 1934.</w:t>
      </w:r>
    </w:p>
    <w:p>
      <w:pPr>
        <w:spacing w:after="0" w:line="18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Mr. Pollema joined TTEC in 2011, as part of the eLoyalty acquisition and has been instrumental in running the TTEC technology business as part of CTS business segment. Pollema has 30 years of experience in technology solutions and consulting, including large-scale system development, integration and maintenance. Prior to TTEC, he held various positions with MarchFirst and Accenture. He holds a B.S. in Finance and an MBA from the University of Iowa.</w:t>
      </w:r>
    </w:p>
    <w:p>
      <w:pPr>
        <w:spacing w:after="0" w:line="188"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Mr. Pollema’s annual compensation arrangements, effective January 1, 2019, will be as follows: base salary - $350,000; short term variable cash incentive bonus - up to $350,000; and equity incentive opportunity - up to $525,000 vesting over a period of years. Mr. Pollema’s actual incentives will depend on performance against TTEC company-wide, CTS specific, and individual goals, as set by TTEC’s chief executive officer and the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79"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TTEC Holdings, Inc.</w:t>
      </w:r>
    </w:p>
    <w:p>
      <w:pPr>
        <w:ind w:left="7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8" w:lineRule="exact"/>
        <w:rPr>
          <w:sz w:val="20"/>
          <w:szCs w:val="20"/>
          <w:color w:val="auto"/>
        </w:rPr>
      </w:pPr>
    </w:p>
    <w:p>
      <w:pPr>
        <w:spacing w:after="0"/>
        <w:tabs>
          <w:tab w:leader="none" w:pos="5720" w:val="left"/>
          <w:tab w:leader="none" w:pos="6380" w:val="left"/>
        </w:tabs>
        <w:rPr>
          <w:sz w:val="20"/>
          <w:szCs w:val="20"/>
          <w:color w:val="auto"/>
        </w:rPr>
      </w:pPr>
      <w:r>
        <w:rPr>
          <w:rFonts w:ascii="Arial" w:cs="Arial" w:eastAsia="Arial" w:hAnsi="Arial"/>
          <w:sz w:val="18"/>
          <w:szCs w:val="18"/>
          <w:color w:val="auto"/>
        </w:rPr>
        <w:t>Date: December 17,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Regina M. Paolillo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-1905</wp:posOffset>
            </wp:positionV>
            <wp:extent cx="3181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Regina M. Paolillo, Executive Vice President,</w:t>
      </w:r>
    </w:p>
    <w:p>
      <w:pPr>
        <w:ind w:left="6400"/>
        <w:spacing w:after="0"/>
        <w:rPr>
          <w:sz w:val="20"/>
          <w:szCs w:val="20"/>
          <w:color w:val="auto"/>
        </w:rPr>
      </w:pPr>
      <w:r>
        <w:rPr>
          <w:rFonts w:ascii="Arial" w:cs="Arial" w:eastAsia="Arial" w:hAnsi="Arial"/>
          <w:sz w:val="18"/>
          <w:szCs w:val="18"/>
          <w:color w:val="auto"/>
        </w:rPr>
        <w:t>Chief Administrative and Financial Officer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2019-12-06T07:23:47Z</dcterms:created>
  <dcterms:modified xsi:type="dcterms:W3CDTF">2019-12-06T07:23:47Z</dcterms:modified>
</cp:coreProperties>
</file>